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3340" w:hanging="325"/>
        <w:spacing w:after="0"/>
        <w:tabs>
          <w:tab w:leader="none" w:pos="3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31"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360" w:hanging="386"/>
        <w:spacing w:after="0"/>
        <w:tabs>
          <w:tab w:leader="none" w:pos="3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20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001-35095</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24765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7420" w:type="dxa"/>
            <w:vAlign w:val="bottom"/>
            <w:gridSpan w:val="4"/>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58-1807304</w:t>
            </w:r>
          </w:p>
        </w:tc>
      </w:tr>
      <w:tr>
        <w:trPr>
          <w:trHeight w:val="238"/>
        </w:trPr>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88"/>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125 Highway 515 East</w:t>
            </w: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45"/>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Blairsville, Georgia</w:t>
            </w:r>
          </w:p>
        </w:tc>
        <w:tc>
          <w:tcPr>
            <w:tcW w:w="7420" w:type="dxa"/>
            <w:vAlign w:val="bottom"/>
            <w:gridSpan w:val="4"/>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30512</w:t>
            </w:r>
          </w:p>
        </w:tc>
      </w:tr>
      <w:tr>
        <w:trPr>
          <w:trHeight w:val="238"/>
        </w:trPr>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7"/>
        </w:trPr>
        <w:tc>
          <w:tcPr>
            <w:tcW w:w="4000" w:type="dxa"/>
            <w:vAlign w:val="bottom"/>
          </w:tcPr>
          <w:p>
            <w:pPr>
              <w:spacing w:after="0"/>
              <w:rPr>
                <w:sz w:val="24"/>
                <w:szCs w:val="24"/>
                <w:color w:val="auto"/>
              </w:rPr>
            </w:pPr>
          </w:p>
        </w:tc>
        <w:tc>
          <w:tcPr>
            <w:tcW w:w="28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(706) 781-2265</w:t>
            </w:r>
          </w:p>
        </w:tc>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38"/>
        </w:trPr>
        <w:tc>
          <w:tcPr>
            <w:tcW w:w="4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c>
          <w:tcPr>
            <w:tcW w:w="4560" w:type="dxa"/>
            <w:vAlign w:val="bottom"/>
            <w:gridSpan w:val="2"/>
          </w:tcPr>
          <w:p>
            <w:pPr>
              <w:spacing w:after="0"/>
              <w:rPr>
                <w:sz w:val="20"/>
                <w:szCs w:val="20"/>
                <w:color w:val="auto"/>
              </w:rPr>
            </w:pPr>
          </w:p>
        </w:tc>
      </w:tr>
    </w:tbl>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0"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0"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4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MS PGothic" w:cs="MS PGothic" w:eastAsia="MS PGothic" w:hAnsi="MS PGothic"/>
                <w:sz w:val="18"/>
                <w:szCs w:val="18"/>
                <w:color w:val="auto"/>
                <w:highlight w:val="black"/>
              </w:rPr>
              <w:t>☒</w:t>
            </w:r>
          </w:p>
        </w:tc>
        <w:tc>
          <w:tcPr>
            <w:tcW w:w="298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Accelerated filer </w:t>
            </w:r>
            <w:r>
              <w:rPr>
                <w:rFonts w:ascii="MS PGothic" w:cs="MS PGothic" w:eastAsia="MS PGothic" w:hAnsi="MS PGothic"/>
                <w:sz w:val="18"/>
                <w:szCs w:val="18"/>
                <w:color w:val="auto"/>
                <w:highlight w:val="black"/>
              </w:rPr>
              <w:t>☐</w:t>
            </w:r>
          </w:p>
        </w:tc>
      </w:tr>
      <w:tr>
        <w:trPr>
          <w:trHeight w:val="432"/>
        </w:trPr>
        <w:tc>
          <w:tcPr>
            <w:tcW w:w="844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(Do not check if a smaller reporting company)</w:t>
            </w:r>
          </w:p>
        </w:tc>
        <w:tc>
          <w:tcPr>
            <w:tcW w:w="298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Smaller Reporting Company </w:t>
            </w:r>
            <w:r>
              <w:rPr>
                <w:rFonts w:ascii="MS PGothic" w:cs="MS PGothic" w:eastAsia="MS PGothic" w:hAnsi="MS PGothic"/>
                <w:sz w:val="18"/>
                <w:szCs w:val="18"/>
                <w:color w:val="auto"/>
                <w:highlight w:val="black"/>
              </w:rPr>
              <w:t>☐</w:t>
            </w:r>
          </w:p>
        </w:tc>
      </w:tr>
      <w:tr>
        <w:trPr>
          <w:trHeight w:val="412"/>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Indicate by check mark whether the registrant is a shell company (as defined in Rule 12b-2 of the Act).</w:t>
            </w:r>
          </w:p>
        </w:tc>
        <w:tc>
          <w:tcPr>
            <w:tcW w:w="2980" w:type="dxa"/>
            <w:vAlign w:val="bottom"/>
          </w:tcPr>
          <w:p>
            <w:pPr>
              <w:spacing w:after="0"/>
              <w:rPr>
                <w:sz w:val="24"/>
                <w:szCs w:val="24"/>
                <w:color w:val="auto"/>
              </w:rPr>
            </w:pPr>
          </w:p>
        </w:tc>
      </w:tr>
      <w:tr>
        <w:trPr>
          <w:trHeight w:val="452"/>
        </w:trPr>
        <w:tc>
          <w:tcPr>
            <w:tcW w:w="8440" w:type="dxa"/>
            <w:vAlign w:val="bottom"/>
          </w:tcPr>
          <w:p>
            <w:pPr>
              <w:ind w:left="518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tc>
        <w:tc>
          <w:tcPr>
            <w:tcW w:w="2980" w:type="dxa"/>
            <w:vAlign w:val="bottom"/>
          </w:tcPr>
          <w:p>
            <w:pPr>
              <w:spacing w:after="0"/>
              <w:rPr>
                <w:sz w:val="24"/>
                <w:szCs w:val="24"/>
                <w:color w:val="auto"/>
              </w:rPr>
            </w:pPr>
          </w:p>
        </w:tc>
      </w:tr>
      <w:tr>
        <w:trPr>
          <w:trHeight w:val="412"/>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par value $1 per share 70,863,730 shares outstanding as of October 31, 2016.</w:t>
            </w:r>
          </w:p>
        </w:tc>
        <w:tc>
          <w:tcPr>
            <w:tcW w:w="2980" w:type="dxa"/>
            <w:vAlign w:val="bottom"/>
          </w:tcPr>
          <w:p>
            <w:pPr>
              <w:spacing w:after="0"/>
              <w:rPr>
                <w:sz w:val="24"/>
                <w:szCs w:val="24"/>
                <w:color w:val="auto"/>
              </w:rPr>
            </w:pPr>
          </w:p>
        </w:tc>
      </w:tr>
      <w:tr>
        <w:trPr>
          <w:trHeight w:val="270"/>
        </w:trPr>
        <w:tc>
          <w:tcPr>
            <w:tcW w:w="844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tcPr>
          <w:p>
            <w:pPr>
              <w:spacing w:after="0"/>
              <w:rPr>
                <w:sz w:val="23"/>
                <w:szCs w:val="23"/>
                <w:color w:val="auto"/>
              </w:rPr>
            </w:pPr>
          </w:p>
        </w:tc>
      </w:tr>
      <w:tr>
        <w:trPr>
          <w:trHeight w:val="28"/>
        </w:trPr>
        <w:tc>
          <w:tcPr>
            <w:tcW w:w="8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459"/>
        </w:trPr>
        <w:tc>
          <w:tcPr>
            <w:tcW w:w="8440" w:type="dxa"/>
            <w:vAlign w:val="bottom"/>
            <w:tcBorders>
              <w:bottom w:val="single" w:sz="8" w:color="DCDCDC"/>
            </w:tcBorders>
          </w:tcPr>
          <w:p>
            <w:pPr>
              <w:spacing w:after="0"/>
              <w:rPr>
                <w:sz w:val="24"/>
                <w:szCs w:val="24"/>
                <w:color w:val="auto"/>
              </w:rPr>
            </w:pPr>
          </w:p>
        </w:tc>
        <w:tc>
          <w:tcPr>
            <w:tcW w:w="29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98"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5"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 Financial Information</w:t>
        </w:r>
      </w:hyperlink>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2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760" w:type="dxa"/>
            <w:vAlign w:val="bottom"/>
            <w:gridSpan w:val="1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Consolidated Statement of Income (unaudited) for the Three and Nine Months Ended September 30, 2016</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and 2015</w:t>
              </w:r>
            </w:hyperlink>
          </w:p>
        </w:tc>
        <w:tc>
          <w:tcPr>
            <w:tcW w:w="7420" w:type="dxa"/>
            <w:vAlign w:val="bottom"/>
            <w:tcBorders>
              <w:top w:val="single" w:sz="8" w:color="0000EE"/>
            </w:tcBorders>
            <w:gridSpan w:val="10"/>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2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9"/>
              </w:rPr>
            </w:pPr>
            <w:hyperlink w:anchor="page5">
              <w:r>
                <w:rPr>
                  <w:rFonts w:ascii="Times New Roman" w:cs="Times New Roman" w:eastAsia="Times New Roman" w:hAnsi="Times New Roman"/>
                  <w:sz w:val="18"/>
                  <w:szCs w:val="18"/>
                  <w:b w:val="1"/>
                  <w:bCs w:val="1"/>
                  <w:color w:val="0000EE"/>
                  <w:w w:val="99"/>
                </w:rPr>
                <w:t>Consolidated Statement of Comprehensive Income (unaudited) for the Three and Nine Months Ended</w:t>
              </w:r>
            </w:hyperlink>
          </w:p>
        </w:tc>
        <w:tc>
          <w:tcPr>
            <w:tcW w:w="94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760" w:type="dxa"/>
            <w:vAlign w:val="bottom"/>
            <w:gridSpan w:val="13"/>
          </w:tcPr>
          <w:p>
            <w:pPr>
              <w:spacing w:after="0" w:line="196" w:lineRule="exact"/>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September 30, 2016 and 2015</w:t>
              </w:r>
            </w:hyperlink>
          </w:p>
        </w:tc>
        <w:tc>
          <w:tcPr>
            <w:tcW w:w="82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6">
              <w:r>
                <w:rPr>
                  <w:rFonts w:ascii="Times New Roman" w:cs="Times New Roman" w:eastAsia="Times New Roman" w:hAnsi="Times New Roman"/>
                  <w:sz w:val="18"/>
                  <w:szCs w:val="18"/>
                  <w:b w:val="1"/>
                  <w:bCs w:val="1"/>
                  <w:color w:val="0000EE"/>
                  <w:w w:val="99"/>
                </w:rPr>
                <w:t>Consolidated Balance Sheet (unaudited) at September 30, 2016 and December 31, 2015</w:t>
              </w:r>
            </w:hyperlink>
          </w:p>
        </w:tc>
        <w:tc>
          <w:tcPr>
            <w:tcW w:w="210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2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9"/>
              </w:rPr>
            </w:pPr>
            <w:hyperlink w:anchor="page7">
              <w:r>
                <w:rPr>
                  <w:rFonts w:ascii="Times New Roman" w:cs="Times New Roman" w:eastAsia="Times New Roman" w:hAnsi="Times New Roman"/>
                  <w:sz w:val="18"/>
                  <w:szCs w:val="18"/>
                  <w:b w:val="1"/>
                  <w:bCs w:val="1"/>
                  <w:color w:val="0000EE"/>
                  <w:w w:val="99"/>
                </w:rPr>
                <w:t>Consolidated Statement of Changes in Shareholders’ Equity (unaudited) for the Nine Months Ended</w:t>
              </w:r>
            </w:hyperlink>
          </w:p>
        </w:tc>
        <w:tc>
          <w:tcPr>
            <w:tcW w:w="104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96"/>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760" w:type="dxa"/>
            <w:vAlign w:val="bottom"/>
            <w:gridSpan w:val="13"/>
          </w:tcPr>
          <w:p>
            <w:pPr>
              <w:spacing w:after="0" w:line="196" w:lineRule="exact"/>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September 30, 2016 and 2015</w:t>
              </w:r>
            </w:hyperlink>
          </w:p>
        </w:tc>
        <w:tc>
          <w:tcPr>
            <w:tcW w:w="82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760" w:type="dxa"/>
            <w:vAlign w:val="bottom"/>
            <w:gridSpan w:val="13"/>
          </w:tcPr>
          <w:p>
            <w:pPr>
              <w:spacing w:after="0"/>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Consolidated Statement of Cash Flows (unaudited) for the Nine Months Ended September 30, 2016 and</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6"/>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b w:val="1"/>
                <w:bCs w:val="1"/>
                <w:color w:val="0000EE"/>
                <w:w w:val="94"/>
              </w:rPr>
            </w:pPr>
            <w:hyperlink w:anchor="page8">
              <w:r>
                <w:rPr>
                  <w:rFonts w:ascii="Times New Roman" w:cs="Times New Roman" w:eastAsia="Times New Roman" w:hAnsi="Times New Roman"/>
                  <w:sz w:val="18"/>
                  <w:szCs w:val="18"/>
                  <w:b w:val="1"/>
                  <w:bCs w:val="1"/>
                  <w:color w:val="0000EE"/>
                  <w:w w:val="94"/>
                </w:rPr>
                <w:t>2015</w:t>
              </w:r>
            </w:hyperlink>
          </w:p>
        </w:tc>
        <w:tc>
          <w:tcPr>
            <w:tcW w:w="34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760" w:type="dxa"/>
            <w:vAlign w:val="bottom"/>
            <w:gridSpan w:val="13"/>
          </w:tcPr>
          <w:p>
            <w:pPr>
              <w:spacing w:after="0"/>
              <w:rPr>
                <w:rFonts w:ascii="Times New Roman" w:cs="Times New Roman" w:eastAsia="Times New Roman" w:hAnsi="Times New Roman"/>
                <w:sz w:val="18"/>
                <w:szCs w:val="18"/>
                <w:b w:val="1"/>
                <w:bCs w:val="1"/>
                <w:color w:val="0000EE"/>
              </w:rPr>
            </w:pPr>
            <w:hyperlink w:anchor="page10">
              <w:r>
                <w:rPr>
                  <w:rFonts w:ascii="Times New Roman" w:cs="Times New Roman" w:eastAsia="Times New Roman" w:hAnsi="Times New Roman"/>
                  <w:sz w:val="18"/>
                  <w:szCs w:val="18"/>
                  <w:b w:val="1"/>
                  <w:bCs w:val="1"/>
                  <w:color w:val="0000EE"/>
                </w:rPr>
                <w:t>Notes to Consolidated Financial Statements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43">
              <w:r>
                <w:rPr>
                  <w:rFonts w:ascii="Times New Roman" w:cs="Times New Roman" w:eastAsia="Times New Roman" w:hAnsi="Times New Roman"/>
                  <w:sz w:val="18"/>
                  <w:szCs w:val="18"/>
                  <w:b w:val="1"/>
                  <w:bCs w:val="1"/>
                  <w:color w:val="0000EE"/>
                  <w:w w:val="96"/>
                </w:rPr>
                <w:t>Item 2.</w:t>
              </w:r>
            </w:hyperlink>
          </w:p>
        </w:tc>
        <w:tc>
          <w:tcPr>
            <w:tcW w:w="640" w:type="dxa"/>
            <w:vAlign w:val="bottom"/>
          </w:tcPr>
          <w:p>
            <w:pPr>
              <w:spacing w:after="0"/>
              <w:rPr>
                <w:sz w:val="24"/>
                <w:szCs w:val="24"/>
                <w:color w:val="auto"/>
              </w:rPr>
            </w:pPr>
          </w:p>
        </w:tc>
        <w:tc>
          <w:tcPr>
            <w:tcW w:w="8760" w:type="dxa"/>
            <w:vAlign w:val="bottom"/>
            <w:gridSpan w:val="13"/>
          </w:tcPr>
          <w:p>
            <w:pPr>
              <w:spacing w:after="0"/>
              <w:rPr>
                <w:rFonts w:ascii="Times New Roman" w:cs="Times New Roman" w:eastAsia="Times New Roman" w:hAnsi="Times New Roman"/>
                <w:sz w:val="18"/>
                <w:szCs w:val="18"/>
                <w:b w:val="1"/>
                <w:bCs w:val="1"/>
                <w:color w:val="0000EE"/>
              </w:rPr>
            </w:pPr>
            <w:hyperlink w:anchor="page43">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5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66">
              <w:r>
                <w:rPr>
                  <w:rFonts w:ascii="Times New Roman" w:cs="Times New Roman" w:eastAsia="Times New Roman" w:hAnsi="Times New Roman"/>
                  <w:sz w:val="18"/>
                  <w:szCs w:val="18"/>
                  <w:b w:val="1"/>
                  <w:bCs w:val="1"/>
                  <w:color w:val="0000EE"/>
                  <w:w w:val="96"/>
                </w:rPr>
                <w:t>Item 3.</w:t>
              </w:r>
            </w:hyperlink>
          </w:p>
        </w:tc>
        <w:tc>
          <w:tcPr>
            <w:tcW w:w="640" w:type="dxa"/>
            <w:vAlign w:val="bottom"/>
          </w:tcPr>
          <w:p>
            <w:pPr>
              <w:spacing w:after="0"/>
              <w:rPr>
                <w:sz w:val="24"/>
                <w:szCs w:val="24"/>
                <w:color w:val="auto"/>
              </w:rPr>
            </w:pPr>
          </w:p>
        </w:tc>
        <w:tc>
          <w:tcPr>
            <w:tcW w:w="47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b w:val="1"/>
                <w:bCs w:val="1"/>
                <w:color w:val="0000EE"/>
                <w:w w:val="99"/>
              </w:rPr>
            </w:pPr>
            <w:hyperlink w:anchor="page66">
              <w:r>
                <w:rPr>
                  <w:rFonts w:ascii="Times New Roman" w:cs="Times New Roman" w:eastAsia="Times New Roman" w:hAnsi="Times New Roman"/>
                  <w:sz w:val="18"/>
                  <w:szCs w:val="18"/>
                  <w:b w:val="1"/>
                  <w:bCs w:val="1"/>
                  <w:color w:val="0000EE"/>
                  <w:w w:val="99"/>
                </w:rPr>
                <w:t>Quantitative and Qualitative Disclosures About Market Risk.</w:t>
              </w:r>
            </w:hyperlink>
          </w:p>
        </w:tc>
        <w:tc>
          <w:tcPr>
            <w:tcW w:w="2160" w:type="dxa"/>
            <w:vAlign w:val="bottom"/>
            <w:tcBorders>
              <w:top w:val="single" w:sz="8" w:color="0000EE"/>
            </w:tcBorders>
            <w:gridSpan w:val="2"/>
          </w:tcPr>
          <w:p>
            <w:pPr>
              <w:spacing w:after="0"/>
              <w:rPr>
                <w:sz w:val="24"/>
                <w:szCs w:val="24"/>
                <w:color w:val="auto"/>
              </w:rPr>
            </w:pPr>
          </w:p>
        </w:tc>
        <w:tc>
          <w:tcPr>
            <w:tcW w:w="188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2"/>
        </w:trPr>
        <w:tc>
          <w:tcPr>
            <w:tcW w:w="5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66">
              <w:r>
                <w:rPr>
                  <w:rFonts w:ascii="Times New Roman" w:cs="Times New Roman" w:eastAsia="Times New Roman" w:hAnsi="Times New Roman"/>
                  <w:sz w:val="18"/>
                  <w:szCs w:val="18"/>
                  <w:b w:val="1"/>
                  <w:bCs w:val="1"/>
                  <w:color w:val="0000EE"/>
                  <w:w w:val="96"/>
                </w:rPr>
                <w:t>Item 4.</w:t>
              </w:r>
            </w:hyperlink>
          </w:p>
        </w:tc>
        <w:tc>
          <w:tcPr>
            <w:tcW w:w="640" w:type="dxa"/>
            <w:vAlign w:val="bottom"/>
          </w:tcPr>
          <w:p>
            <w:pPr>
              <w:spacing w:after="0"/>
              <w:rPr>
                <w:sz w:val="24"/>
                <w:szCs w:val="24"/>
                <w:color w:val="auto"/>
              </w:rPr>
            </w:pPr>
          </w:p>
        </w:tc>
        <w:tc>
          <w:tcPr>
            <w:tcW w:w="19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8"/>
              </w:rPr>
            </w:pPr>
            <w:hyperlink w:anchor="page66">
              <w:r>
                <w:rPr>
                  <w:rFonts w:ascii="Times New Roman" w:cs="Times New Roman" w:eastAsia="Times New Roman" w:hAnsi="Times New Roman"/>
                  <w:sz w:val="18"/>
                  <w:szCs w:val="18"/>
                  <w:b w:val="1"/>
                  <w:bCs w:val="1"/>
                  <w:color w:val="0000EE"/>
                  <w:w w:val="98"/>
                </w:rPr>
                <w:t>Controls and Procedures.</w:t>
              </w:r>
            </w:hyperlink>
          </w:p>
        </w:tc>
        <w:tc>
          <w:tcPr>
            <w:tcW w:w="680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221"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67">
        <w:r>
          <w:rPr>
            <w:rFonts w:ascii="Times New Roman" w:cs="Times New Roman" w:eastAsia="Times New Roman" w:hAnsi="Times New Roman"/>
            <w:sz w:val="18"/>
            <w:szCs w:val="18"/>
            <w:b w:val="1"/>
            <w:bCs w:val="1"/>
            <w:u w:val="single" w:color="auto"/>
            <w:color w:val="0000EE"/>
          </w:rPr>
          <w:t>PART II - Other Information</w:t>
        </w:r>
      </w:hyperlink>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2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rPr>
            </w:pPr>
            <w:hyperlink w:anchor="page67">
              <w:r>
                <w:rPr>
                  <w:rFonts w:ascii="Times New Roman" w:cs="Times New Roman" w:eastAsia="Times New Roman" w:hAnsi="Times New Roman"/>
                  <w:sz w:val="18"/>
                  <w:szCs w:val="18"/>
                  <w:b w:val="1"/>
                  <w:bCs w:val="1"/>
                  <w:color w:val="0000EE"/>
                </w:rPr>
                <w:t>Item 1.</w:t>
              </w:r>
            </w:hyperlink>
          </w:p>
        </w:tc>
        <w:tc>
          <w:tcPr>
            <w:tcW w:w="560" w:type="dxa"/>
            <w:vAlign w:val="bottom"/>
            <w:gridSpan w:val="2"/>
          </w:tcPr>
          <w:p>
            <w:pPr>
              <w:spacing w:after="0"/>
              <w:rPr>
                <w:sz w:val="18"/>
                <w:szCs w:val="18"/>
                <w:color w:val="auto"/>
              </w:rPr>
            </w:pPr>
          </w:p>
        </w:tc>
        <w:tc>
          <w:tcPr>
            <w:tcW w:w="14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9"/>
              </w:rPr>
            </w:pPr>
            <w:hyperlink w:anchor="page67">
              <w:r>
                <w:rPr>
                  <w:rFonts w:ascii="Times New Roman" w:cs="Times New Roman" w:eastAsia="Times New Roman" w:hAnsi="Times New Roman"/>
                  <w:sz w:val="18"/>
                  <w:szCs w:val="18"/>
                  <w:b w:val="1"/>
                  <w:bCs w:val="1"/>
                  <w:color w:val="0000EE"/>
                  <w:w w:val="99"/>
                </w:rPr>
                <w:t>Legal Proceedings.</w:t>
              </w:r>
            </w:hyperlink>
          </w:p>
        </w:tc>
        <w:tc>
          <w:tcPr>
            <w:tcW w:w="5540" w:type="dxa"/>
            <w:vAlign w:val="bottom"/>
            <w:gridSpan w:val="5"/>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196"/>
        </w:trPr>
        <w:tc>
          <w:tcPr>
            <w:tcW w:w="1180" w:type="dxa"/>
            <w:vAlign w:val="bottom"/>
            <w:gridSpan w:val="4"/>
          </w:tcPr>
          <w:p>
            <w:pPr>
              <w:spacing w:after="0" w:line="196" w:lineRule="exact"/>
              <w:rPr>
                <w:rFonts w:ascii="Times New Roman" w:cs="Times New Roman" w:eastAsia="Times New Roman" w:hAnsi="Times New Roman"/>
                <w:sz w:val="18"/>
                <w:szCs w:val="18"/>
                <w:b w:val="1"/>
                <w:bCs w:val="1"/>
                <w:color w:val="0000EE"/>
              </w:rPr>
            </w:pPr>
            <w:hyperlink w:anchor="page67">
              <w:r>
                <w:rPr>
                  <w:rFonts w:ascii="Times New Roman" w:cs="Times New Roman" w:eastAsia="Times New Roman" w:hAnsi="Times New Roman"/>
                  <w:sz w:val="18"/>
                  <w:szCs w:val="18"/>
                  <w:b w:val="1"/>
                  <w:bCs w:val="1"/>
                  <w:color w:val="0000EE"/>
                </w:rPr>
                <w:t>Item 1A.</w:t>
              </w:r>
            </w:hyperlink>
          </w:p>
        </w:tc>
        <w:tc>
          <w:tcPr>
            <w:tcW w:w="7000" w:type="dxa"/>
            <w:vAlign w:val="bottom"/>
            <w:gridSpan w:val="8"/>
          </w:tcPr>
          <w:p>
            <w:pPr>
              <w:spacing w:after="0" w:line="196" w:lineRule="exact"/>
              <w:rPr>
                <w:rFonts w:ascii="Times New Roman" w:cs="Times New Roman" w:eastAsia="Times New Roman" w:hAnsi="Times New Roman"/>
                <w:sz w:val="18"/>
                <w:szCs w:val="18"/>
                <w:b w:val="1"/>
                <w:bCs w:val="1"/>
                <w:color w:val="0000EE"/>
              </w:rPr>
            </w:pPr>
            <w:hyperlink w:anchor="page67">
              <w:r>
                <w:rPr>
                  <w:rFonts w:ascii="Times New Roman" w:cs="Times New Roman" w:eastAsia="Times New Roman" w:hAnsi="Times New Roman"/>
                  <w:sz w:val="18"/>
                  <w:szCs w:val="18"/>
                  <w:b w:val="1"/>
                  <w:bCs w:val="1"/>
                  <w:color w:val="0000EE"/>
                </w:rPr>
                <w:t>Risk Factors.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67">
              <w:r>
                <w:rPr>
                  <w:rFonts w:ascii="Times New Roman" w:cs="Times New Roman" w:eastAsia="Times New Roman" w:hAnsi="Times New Roman"/>
                  <w:sz w:val="18"/>
                  <w:szCs w:val="18"/>
                  <w:b w:val="1"/>
                  <w:bCs w:val="1"/>
                  <w:color w:val="0000EE"/>
                  <w:w w:val="96"/>
                </w:rPr>
                <w:t>Item 2.</w:t>
              </w:r>
            </w:hyperlink>
          </w:p>
        </w:tc>
        <w:tc>
          <w:tcPr>
            <w:tcW w:w="1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4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b w:val="1"/>
                <w:bCs w:val="1"/>
                <w:color w:val="0000EE"/>
                <w:w w:val="99"/>
              </w:rPr>
            </w:pPr>
            <w:hyperlink w:anchor="page67">
              <w:r>
                <w:rPr>
                  <w:rFonts w:ascii="Times New Roman" w:cs="Times New Roman" w:eastAsia="Times New Roman" w:hAnsi="Times New Roman"/>
                  <w:sz w:val="18"/>
                  <w:szCs w:val="18"/>
                  <w:b w:val="1"/>
                  <w:bCs w:val="1"/>
                  <w:color w:val="0000EE"/>
                  <w:w w:val="99"/>
                </w:rPr>
                <w:t>Unregistered Sales of Equity Securities and Use of Proceeds.</w:t>
              </w:r>
            </w:hyperlink>
          </w:p>
        </w:tc>
        <w:tc>
          <w:tcPr>
            <w:tcW w:w="238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67">
              <w:r>
                <w:rPr>
                  <w:rFonts w:ascii="Times New Roman" w:cs="Times New Roman" w:eastAsia="Times New Roman" w:hAnsi="Times New Roman"/>
                  <w:sz w:val="18"/>
                  <w:szCs w:val="18"/>
                  <w:b w:val="1"/>
                  <w:bCs w:val="1"/>
                  <w:color w:val="0000EE"/>
                  <w:w w:val="96"/>
                </w:rPr>
                <w:t>Item 3.</w:t>
              </w:r>
            </w:hyperlink>
          </w:p>
        </w:tc>
        <w:tc>
          <w:tcPr>
            <w:tcW w:w="640" w:type="dxa"/>
            <w:vAlign w:val="bottom"/>
            <w:gridSpan w:val="3"/>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b w:val="1"/>
                <w:bCs w:val="1"/>
                <w:color w:val="0000EE"/>
                <w:w w:val="99"/>
              </w:rPr>
            </w:pPr>
            <w:hyperlink w:anchor="page67">
              <w:r>
                <w:rPr>
                  <w:rFonts w:ascii="Times New Roman" w:cs="Times New Roman" w:eastAsia="Times New Roman" w:hAnsi="Times New Roman"/>
                  <w:sz w:val="18"/>
                  <w:szCs w:val="18"/>
                  <w:b w:val="1"/>
                  <w:bCs w:val="1"/>
                  <w:color w:val="0000EE"/>
                  <w:w w:val="99"/>
                </w:rPr>
                <w:t>Defaults Upon Senior Securities.</w:t>
              </w:r>
            </w:hyperlink>
          </w:p>
        </w:tc>
        <w:tc>
          <w:tcPr>
            <w:tcW w:w="4500" w:type="dxa"/>
            <w:vAlign w:val="bottom"/>
            <w:gridSpan w:val="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67">
              <w:r>
                <w:rPr>
                  <w:rFonts w:ascii="Times New Roman" w:cs="Times New Roman" w:eastAsia="Times New Roman" w:hAnsi="Times New Roman"/>
                  <w:sz w:val="18"/>
                  <w:szCs w:val="18"/>
                  <w:b w:val="1"/>
                  <w:bCs w:val="1"/>
                  <w:color w:val="0000EE"/>
                  <w:w w:val="96"/>
                </w:rPr>
                <w:t>Item 4.</w:t>
              </w:r>
            </w:hyperlink>
          </w:p>
        </w:tc>
        <w:tc>
          <w:tcPr>
            <w:tcW w:w="640" w:type="dxa"/>
            <w:vAlign w:val="bottom"/>
            <w:gridSpan w:val="3"/>
          </w:tcPr>
          <w:p>
            <w:pPr>
              <w:spacing w:after="0"/>
              <w:rPr>
                <w:sz w:val="17"/>
                <w:szCs w:val="17"/>
                <w:color w:val="auto"/>
              </w:rPr>
            </w:pPr>
          </w:p>
        </w:tc>
        <w:tc>
          <w:tcPr>
            <w:tcW w:w="7000" w:type="dxa"/>
            <w:vAlign w:val="bottom"/>
            <w:gridSpan w:val="8"/>
          </w:tcPr>
          <w:p>
            <w:pPr>
              <w:spacing w:after="0" w:line="196" w:lineRule="exact"/>
              <w:rPr>
                <w:rFonts w:ascii="Times New Roman" w:cs="Times New Roman" w:eastAsia="Times New Roman" w:hAnsi="Times New Roman"/>
                <w:sz w:val="18"/>
                <w:szCs w:val="18"/>
                <w:b w:val="1"/>
                <w:bCs w:val="1"/>
                <w:color w:val="0000EE"/>
              </w:rPr>
            </w:pPr>
            <w:hyperlink w:anchor="page67">
              <w:r>
                <w:rPr>
                  <w:rFonts w:ascii="Times New Roman" w:cs="Times New Roman" w:eastAsia="Times New Roman" w:hAnsi="Times New Roman"/>
                  <w:sz w:val="18"/>
                  <w:szCs w:val="18"/>
                  <w:b w:val="1"/>
                  <w:bCs w:val="1"/>
                  <w:color w:val="0000EE"/>
                </w:rPr>
                <w:t>Mine Safety Disclosures.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67">
              <w:r>
                <w:rPr>
                  <w:rFonts w:ascii="Times New Roman" w:cs="Times New Roman" w:eastAsia="Times New Roman" w:hAnsi="Times New Roman"/>
                  <w:sz w:val="18"/>
                  <w:szCs w:val="18"/>
                  <w:b w:val="1"/>
                  <w:bCs w:val="1"/>
                  <w:color w:val="0000EE"/>
                  <w:w w:val="96"/>
                </w:rPr>
                <w:t>Item 5.</w:t>
              </w:r>
            </w:hyperlink>
          </w:p>
        </w:tc>
        <w:tc>
          <w:tcPr>
            <w:tcW w:w="640" w:type="dxa"/>
            <w:vAlign w:val="bottom"/>
            <w:gridSpan w:val="3"/>
          </w:tcPr>
          <w:p>
            <w:pPr>
              <w:spacing w:after="0"/>
              <w:rPr>
                <w:sz w:val="17"/>
                <w:szCs w:val="17"/>
                <w:color w:val="auto"/>
              </w:rPr>
            </w:pPr>
          </w:p>
        </w:tc>
        <w:tc>
          <w:tcPr>
            <w:tcW w:w="15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b w:val="1"/>
                <w:bCs w:val="1"/>
                <w:color w:val="0000EE"/>
                <w:w w:val="99"/>
              </w:rPr>
            </w:pPr>
            <w:hyperlink w:anchor="page67">
              <w:r>
                <w:rPr>
                  <w:rFonts w:ascii="Times New Roman" w:cs="Times New Roman" w:eastAsia="Times New Roman" w:hAnsi="Times New Roman"/>
                  <w:sz w:val="18"/>
                  <w:szCs w:val="18"/>
                  <w:b w:val="1"/>
                  <w:bCs w:val="1"/>
                  <w:color w:val="0000EE"/>
                  <w:w w:val="99"/>
                </w:rPr>
                <w:t>Other Information.</w:t>
              </w:r>
            </w:hyperlink>
          </w:p>
        </w:tc>
        <w:tc>
          <w:tcPr>
            <w:tcW w:w="380" w:type="dxa"/>
            <w:vAlign w:val="bottom"/>
            <w:tcBorders>
              <w:top w:val="single" w:sz="8" w:color="0000EE"/>
            </w:tcBorders>
          </w:tcPr>
          <w:p>
            <w:pPr>
              <w:spacing w:after="0"/>
              <w:rPr>
                <w:sz w:val="17"/>
                <w:szCs w:val="17"/>
                <w:color w:val="auto"/>
              </w:rPr>
            </w:pPr>
          </w:p>
        </w:tc>
        <w:tc>
          <w:tcPr>
            <w:tcW w:w="5120" w:type="dxa"/>
            <w:vAlign w:val="bottom"/>
            <w:gridSpan w:val="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68">
              <w:r>
                <w:rPr>
                  <w:rFonts w:ascii="Times New Roman" w:cs="Times New Roman" w:eastAsia="Times New Roman" w:hAnsi="Times New Roman"/>
                  <w:sz w:val="18"/>
                  <w:szCs w:val="18"/>
                  <w:b w:val="1"/>
                  <w:bCs w:val="1"/>
                  <w:color w:val="0000EE"/>
                  <w:w w:val="96"/>
                </w:rPr>
                <w:t>Item 6.</w:t>
              </w:r>
            </w:hyperlink>
          </w:p>
        </w:tc>
        <w:tc>
          <w:tcPr>
            <w:tcW w:w="640" w:type="dxa"/>
            <w:vAlign w:val="bottom"/>
            <w:gridSpan w:val="3"/>
          </w:tcPr>
          <w:p>
            <w:pPr>
              <w:spacing w:after="0"/>
              <w:rPr>
                <w:sz w:val="17"/>
                <w:szCs w:val="17"/>
                <w:color w:val="auto"/>
              </w:rPr>
            </w:pPr>
          </w:p>
        </w:tc>
        <w:tc>
          <w:tcPr>
            <w:tcW w:w="7000" w:type="dxa"/>
            <w:vAlign w:val="bottom"/>
            <w:gridSpan w:val="8"/>
          </w:tcPr>
          <w:p>
            <w:pPr>
              <w:spacing w:after="0" w:line="196" w:lineRule="exact"/>
              <w:rPr>
                <w:rFonts w:ascii="Times New Roman" w:cs="Times New Roman" w:eastAsia="Times New Roman" w:hAnsi="Times New Roman"/>
                <w:sz w:val="18"/>
                <w:szCs w:val="18"/>
                <w:b w:val="1"/>
                <w:bCs w:val="1"/>
                <w:color w:val="0000EE"/>
              </w:rPr>
            </w:pPr>
            <w:hyperlink w:anchor="page68">
              <w:r>
                <w:rPr>
                  <w:rFonts w:ascii="Times New Roman" w:cs="Times New Roman" w:eastAsia="Times New Roman" w:hAnsi="Times New Roman"/>
                  <w:sz w:val="18"/>
                  <w:szCs w:val="18"/>
                  <w:b w:val="1"/>
                  <w:bCs w:val="1"/>
                  <w:color w:val="0000EE"/>
                </w:rPr>
                <w:t>Exhibits.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Income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7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Interest revenue:</w:t>
            </w: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including fees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69,440</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57,174</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196,888</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Investment securities, including tax exempt of $134, $177, $449</w:t>
            </w:r>
          </w:p>
        </w:tc>
        <w:tc>
          <w:tcPr>
            <w:tcW w:w="30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46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46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2"/>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and $516</w:t>
            </w:r>
          </w:p>
        </w:tc>
        <w:tc>
          <w:tcPr>
            <w:tcW w:w="30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15,418</w:t>
            </w:r>
          </w:p>
        </w:tc>
        <w:tc>
          <w:tcPr>
            <w:tcW w:w="46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12,801</w:t>
            </w:r>
          </w:p>
        </w:tc>
        <w:tc>
          <w:tcPr>
            <w:tcW w:w="280" w:type="dxa"/>
            <w:vAlign w:val="bottom"/>
            <w:shd w:val="clear" w:color="auto" w:fill="F0FFFF"/>
          </w:tcPr>
          <w:p>
            <w:pPr>
              <w:spacing w:after="0"/>
              <w:rPr>
                <w:sz w:val="20"/>
                <w:szCs w:val="20"/>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48,039</w:t>
            </w:r>
          </w:p>
        </w:tc>
        <w:tc>
          <w:tcPr>
            <w:tcW w:w="46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36,896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Deposits in banks and short-term investments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581</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853</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F0FFFF"/>
              <w:bottom w:val="single" w:sz="8" w:color="F0FFFF"/>
            </w:tcBorders>
            <w:gridSpan w:val="2"/>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Total interest revenue</w:t>
            </w:r>
          </w:p>
        </w:tc>
        <w:tc>
          <w:tcPr>
            <w:tcW w:w="300" w:type="dxa"/>
            <w:vAlign w:val="bottom"/>
            <w:tcBorders>
              <w:top w:val="single" w:sz="8" w:color="auto"/>
              <w:bottom w:val="single" w:sz="8" w:color="auto"/>
            </w:tcBorders>
            <w:shd w:val="clear" w:color="auto" w:fill="F0FFFF"/>
          </w:tcPr>
          <w:p>
            <w:pPr>
              <w:spacing w:after="0"/>
              <w:rPr>
                <w:sz w:val="19"/>
                <w:szCs w:val="19"/>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85,439</w:t>
            </w:r>
          </w:p>
        </w:tc>
        <w:tc>
          <w:tcPr>
            <w:tcW w:w="240" w:type="dxa"/>
            <w:vAlign w:val="bottom"/>
            <w:tcBorders>
              <w:top w:val="single" w:sz="8" w:color="F0FFFF"/>
              <w:bottom w:val="single" w:sz="8" w:color="F0FFFF"/>
            </w:tcBorders>
            <w:shd w:val="clear" w:color="auto" w:fill="F0FFFF"/>
          </w:tcPr>
          <w:p>
            <w:pPr>
              <w:spacing w:after="0"/>
              <w:rPr>
                <w:sz w:val="19"/>
                <w:szCs w:val="19"/>
                <w:color w:val="auto"/>
              </w:rPr>
            </w:pPr>
          </w:p>
        </w:tc>
        <w:tc>
          <w:tcPr>
            <w:tcW w:w="46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70,828</w:t>
            </w:r>
          </w:p>
        </w:tc>
        <w:tc>
          <w:tcPr>
            <w:tcW w:w="24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247,242</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46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199,170</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NOW</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452</w:t>
            </w: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1,347</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981</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3,661</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Savings</w:t>
            </w: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Time</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667</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830</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F0FFFF"/>
            </w:tcBorders>
            <w:gridSpan w:val="2"/>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Total deposit interest expense</w:t>
            </w:r>
          </w:p>
        </w:tc>
        <w:tc>
          <w:tcPr>
            <w:tcW w:w="3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4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4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22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1,015</w:t>
            </w: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2,731</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2,828</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2,669</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8,178</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Borders>
              <w:top w:val="single" w:sz="8" w:color="F0FFFF"/>
              <w:bottom w:val="single" w:sz="8" w:color="F0FFFF"/>
            </w:tcBorders>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interest expense</w:t>
            </w:r>
          </w:p>
        </w:tc>
        <w:tc>
          <w:tcPr>
            <w:tcW w:w="300" w:type="dxa"/>
            <w:vAlign w:val="bottom"/>
            <w:tcBorders>
              <w:top w:val="single" w:sz="8" w:color="auto"/>
              <w:bottom w:val="single" w:sz="8" w:color="auto"/>
            </w:tcBorders>
            <w:shd w:val="clear" w:color="auto" w:fill="F0FFFF"/>
          </w:tcPr>
          <w:p>
            <w:pPr>
              <w:spacing w:after="0"/>
              <w:rPr>
                <w:sz w:val="20"/>
                <w:szCs w:val="20"/>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46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46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Net interest revenue</w:t>
            </w: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78,989</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65,426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228,859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183,659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4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F0FFFF"/>
              <w:bottom w:val="single" w:sz="8" w:color="F0FF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Net interest revenue after provision for credit losses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79,289</w:t>
            </w:r>
          </w:p>
        </w:tc>
        <w:tc>
          <w:tcPr>
            <w:tcW w:w="240" w:type="dxa"/>
            <w:vAlign w:val="bottom"/>
            <w:tcBorders>
              <w:top w:val="single" w:sz="8" w:color="F0FFFF"/>
              <w:bottom w:val="single" w:sz="8" w:color="F0FF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64,726</w:t>
            </w:r>
          </w:p>
        </w:tc>
        <w:tc>
          <w:tcPr>
            <w:tcW w:w="24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229,659</w:t>
            </w:r>
          </w:p>
        </w:tc>
        <w:tc>
          <w:tcPr>
            <w:tcW w:w="220" w:type="dxa"/>
            <w:vAlign w:val="bottom"/>
            <w:tcBorders>
              <w:top w:val="single" w:sz="8" w:color="F0FFFF"/>
              <w:bottom w:val="single" w:sz="8" w:color="F0FF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180,259</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Fee revenue: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Service charges and fees</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10,819</w:t>
            </w: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9,335</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31,460</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 loan and other related fees</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6,039</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3,840</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13,776</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Brokerage fees</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1,199</w:t>
            </w: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3,369</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Gains from sales of government guaranteed loans</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2,479</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1,646</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6,517</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Securities gains, net</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261</w:t>
            </w: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922</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from prepayment of debt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5,564</w:t>
            </w:r>
          </w:p>
        </w:tc>
        <w:tc>
          <w:tcPr>
            <w:tcW w:w="46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2,207</w:t>
            </w:r>
          </w:p>
        </w:tc>
        <w:tc>
          <w:tcPr>
            <w:tcW w:w="28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12,420</w:t>
            </w:r>
          </w:p>
        </w:tc>
        <w:tc>
          <w:tcPr>
            <w:tcW w:w="4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6,771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F0FFFF"/>
              <w:bottom w:val="single" w:sz="8" w:color="F0FF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fee revenue</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26,361</w:t>
            </w:r>
          </w:p>
        </w:tc>
        <w:tc>
          <w:tcPr>
            <w:tcW w:w="240" w:type="dxa"/>
            <w:vAlign w:val="bottom"/>
            <w:tcBorders>
              <w:top w:val="single" w:sz="8" w:color="F0FFFF"/>
              <w:bottom w:val="single" w:sz="8" w:color="F0FF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18,297</w:t>
            </w:r>
          </w:p>
        </w:tc>
        <w:tc>
          <w:tcPr>
            <w:tcW w:w="24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68,464</w:t>
            </w:r>
          </w:p>
        </w:tc>
        <w:tc>
          <w:tcPr>
            <w:tcW w:w="220" w:type="dxa"/>
            <w:vAlign w:val="bottom"/>
            <w:tcBorders>
              <w:top w:val="single" w:sz="8" w:color="F0FFFF"/>
              <w:bottom w:val="single" w:sz="8" w:color="F0FF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51,245</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F0FFFF"/>
            </w:tcBorders>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105,650</w:t>
            </w:r>
          </w:p>
        </w:tc>
        <w:tc>
          <w:tcPr>
            <w:tcW w:w="240" w:type="dxa"/>
            <w:vAlign w:val="bottom"/>
            <w:tcBorders>
              <w:bottom w:val="single" w:sz="8" w:color="F0FFFF"/>
            </w:tcBorders>
            <w:shd w:val="clear" w:color="auto" w:fill="F0FFFF"/>
          </w:tcPr>
          <w:p>
            <w:pPr>
              <w:spacing w:after="0"/>
              <w:rPr>
                <w:sz w:val="19"/>
                <w:szCs w:val="19"/>
                <w:color w:val="auto"/>
              </w:rPr>
            </w:pPr>
          </w:p>
        </w:tc>
        <w:tc>
          <w:tcPr>
            <w:tcW w:w="46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83,023</w:t>
            </w:r>
          </w:p>
        </w:tc>
        <w:tc>
          <w:tcPr>
            <w:tcW w:w="24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298,123</w:t>
            </w:r>
          </w:p>
        </w:tc>
        <w:tc>
          <w:tcPr>
            <w:tcW w:w="220" w:type="dxa"/>
            <w:vAlign w:val="bottom"/>
            <w:tcBorders>
              <w:bottom w:val="single" w:sz="8" w:color="F0FFFF"/>
            </w:tcBorders>
            <w:shd w:val="clear" w:color="auto" w:fill="F0FFFF"/>
          </w:tcPr>
          <w:p>
            <w:pPr>
              <w:spacing w:after="0"/>
              <w:rPr>
                <w:sz w:val="19"/>
                <w:szCs w:val="19"/>
                <w:color w:val="auto"/>
              </w:rPr>
            </w:pPr>
          </w:p>
        </w:tc>
        <w:tc>
          <w:tcPr>
            <w:tcW w:w="46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231,504</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36,478</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29,342</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103,112</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Communications and equipment</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4,919</w:t>
            </w: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3,963</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13,602</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5,132</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4,013</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14,393</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Advertising and public relations</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1,088</w:t>
            </w: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812</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3,275</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Postage, printing and supplies</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1,451</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1,049</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4,029</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3,160</w:t>
            </w: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2,668</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9,049</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FDIC assessments and other regulatory charges</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1,412</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1,136</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4,453</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1,119</w:t>
            </w: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714</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3,116</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Merger-related and other charges</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3,152</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5,744</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6,981</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6,112</w:t>
            </w:r>
          </w:p>
        </w:tc>
        <w:tc>
          <w:tcPr>
            <w:tcW w:w="46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4,828</w:t>
            </w:r>
          </w:p>
        </w:tc>
        <w:tc>
          <w:tcPr>
            <w:tcW w:w="28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17,958</w:t>
            </w:r>
          </w:p>
        </w:tc>
        <w:tc>
          <w:tcPr>
            <w:tcW w:w="4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F0FFFF"/>
              <w:bottom w:val="single" w:sz="8" w:color="F0FF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64,023</w:t>
            </w:r>
          </w:p>
        </w:tc>
        <w:tc>
          <w:tcPr>
            <w:tcW w:w="240" w:type="dxa"/>
            <w:vAlign w:val="bottom"/>
            <w:tcBorders>
              <w:top w:val="single" w:sz="8" w:color="F0FFFF"/>
              <w:bottom w:val="single" w:sz="8" w:color="F0FF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54,269</w:t>
            </w:r>
          </w:p>
        </w:tc>
        <w:tc>
          <w:tcPr>
            <w:tcW w:w="24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179,968</w:t>
            </w:r>
          </w:p>
        </w:tc>
        <w:tc>
          <w:tcPr>
            <w:tcW w:w="220" w:type="dxa"/>
            <w:vAlign w:val="bottom"/>
            <w:tcBorders>
              <w:top w:val="single" w:sz="8" w:color="F0FFFF"/>
              <w:bottom w:val="single" w:sz="8" w:color="F0FF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145,750</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41,627</w:t>
            </w:r>
          </w:p>
        </w:tc>
        <w:tc>
          <w:tcPr>
            <w:tcW w:w="2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28,754</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118,155</w:t>
            </w: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85,754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15,753</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10,867</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44,720</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F0FFFF"/>
            </w:tcBorders>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24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24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73,435</w:t>
            </w:r>
          </w:p>
        </w:tc>
        <w:tc>
          <w:tcPr>
            <w:tcW w:w="22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53,370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Preferred stock dividends and discount accretion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top w:val="single" w:sz="8" w:color="F0FFFF"/>
              <w:bottom w:val="single" w:sz="8" w:color="F0FFFF"/>
            </w:tcBorders>
            <w:gridSpan w:val="2"/>
            <w:shd w:val="clear" w:color="auto" w:fill="F0FFFF"/>
          </w:tcPr>
          <w:p>
            <w:pPr>
              <w:ind w:left="320"/>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300" w:type="dxa"/>
            <w:vAlign w:val="bottom"/>
            <w:tcBorders>
              <w:top w:val="single" w:sz="8" w:color="auto"/>
              <w:bottom w:val="single" w:sz="8" w:color="auto"/>
            </w:tcBorders>
            <w:shd w:val="clear" w:color="auto" w:fill="F0FF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460" w:type="dxa"/>
            <w:vAlign w:val="bottom"/>
            <w:tcBorders>
              <w:top w:val="single" w:sz="8" w:color="auto"/>
              <w:bottom w:val="single" w:sz="8" w:color="auto"/>
            </w:tcBorders>
            <w:shd w:val="clear" w:color="auto" w:fill="F0FF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73,414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460" w:type="dxa"/>
            <w:vAlign w:val="bottom"/>
            <w:tcBorders>
              <w:top w:val="single" w:sz="8" w:color="auto"/>
              <w:bottom w:val="single" w:sz="8" w:color="auto"/>
            </w:tcBorders>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53,328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71,556</w:t>
            </w:r>
          </w:p>
        </w:tc>
        <w:tc>
          <w:tcPr>
            <w:tcW w:w="4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66,294</w:t>
            </w:r>
          </w:p>
        </w:tc>
        <w:tc>
          <w:tcPr>
            <w:tcW w:w="2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71,992</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63,297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71,561</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66,300</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71,996</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63,302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900" w:right="239" w:bottom="23"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33655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Comprehensive Income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2"/>
                <w:szCs w:val="22"/>
                <w:color w:val="auto"/>
              </w:rPr>
            </w:pPr>
          </w:p>
        </w:tc>
        <w:tc>
          <w:tcPr>
            <w:tcW w:w="390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8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Before-</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Before-</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0" w:type="dxa"/>
            <w:vAlign w:val="bottom"/>
          </w:tcPr>
          <w:p>
            <w:pPr>
              <w:spacing w:after="0"/>
              <w:rPr>
                <w:sz w:val="1"/>
                <w:szCs w:val="1"/>
                <w:color w:val="auto"/>
              </w:rPr>
            </w:pPr>
          </w:p>
        </w:tc>
      </w:tr>
      <w:tr>
        <w:trPr>
          <w:trHeight w:val="245"/>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4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41,627</w:t>
            </w:r>
          </w:p>
        </w:tc>
        <w:tc>
          <w:tcPr>
            <w:tcW w:w="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(15,753)</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25,874</w:t>
            </w:r>
          </w:p>
        </w:tc>
        <w:tc>
          <w:tcPr>
            <w:tcW w:w="2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118,155</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(44,720)</w:t>
            </w:r>
          </w:p>
        </w:tc>
        <w:tc>
          <w:tcPr>
            <w:tcW w:w="2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Unrealized gains on available-for-sale</w:t>
            </w: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rPr>
              <w:t>Unrealized holding gains arising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during period</w:t>
            </w: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(1,927)</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37,990</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4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gains</w:t>
            </w: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320" w:type="dxa"/>
            <w:vAlign w:val="bottom"/>
            <w:gridSpan w:val="2"/>
            <w:shd w:val="clear" w:color="auto" w:fill="F0FFFF"/>
          </w:tcPr>
          <w:p>
            <w:pPr>
              <w:ind w:left="600"/>
              <w:spacing w:after="0"/>
              <w:rPr>
                <w:sz w:val="20"/>
                <w:szCs w:val="20"/>
                <w:color w:val="auto"/>
              </w:rPr>
            </w:pPr>
            <w:r>
              <w:rPr>
                <w:rFonts w:ascii="Times New Roman" w:cs="Times New Roman" w:eastAsia="Times New Roman" w:hAnsi="Times New Roman"/>
                <w:sz w:val="18"/>
                <w:szCs w:val="18"/>
                <w:color w:val="auto"/>
              </w:rPr>
              <w:t>included in net income</w:t>
            </w:r>
          </w:p>
        </w:tc>
        <w:tc>
          <w:tcPr>
            <w:tcW w:w="160" w:type="dxa"/>
            <w:vAlign w:val="bottom"/>
            <w:shd w:val="clear" w:color="auto" w:fill="F0FFFF"/>
          </w:tcPr>
          <w:p>
            <w:pPr>
              <w:spacing w:after="0"/>
              <w:rPr>
                <w:sz w:val="23"/>
                <w:szCs w:val="23"/>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F0FFFF"/>
          </w:tcPr>
          <w:p>
            <w:pPr>
              <w:spacing w:after="0"/>
              <w:rPr>
                <w:sz w:val="23"/>
                <w:szCs w:val="23"/>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11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(922)</w:t>
            </w:r>
          </w:p>
        </w:tc>
        <w:tc>
          <w:tcPr>
            <w:tcW w:w="140" w:type="dxa"/>
            <w:vAlign w:val="bottom"/>
            <w:shd w:val="clear" w:color="auto" w:fill="F0FFFF"/>
          </w:tcPr>
          <w:p>
            <w:pPr>
              <w:spacing w:after="0"/>
              <w:rPr>
                <w:sz w:val="23"/>
                <w:szCs w:val="23"/>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1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Borders>
              <w:top w:val="single" w:sz="8" w:color="F0FFFF"/>
            </w:tcBorders>
            <w:gridSpan w:val="2"/>
          </w:tcPr>
          <w:p>
            <w:pPr>
              <w:ind w:left="480"/>
              <w:spacing w:after="0" w:line="203" w:lineRule="exact"/>
              <w:rPr>
                <w:sz w:val="20"/>
                <w:szCs w:val="20"/>
                <w:color w:val="auto"/>
              </w:rPr>
            </w:pPr>
            <w:r>
              <w:rPr>
                <w:rFonts w:ascii="Times New Roman" w:cs="Times New Roman" w:eastAsia="Times New Roman" w:hAnsi="Times New Roman"/>
                <w:sz w:val="18"/>
                <w:szCs w:val="18"/>
                <w:color w:val="auto"/>
              </w:rPr>
              <w:t>Net unrealized gains</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4,666</w:t>
            </w: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(1,826)</w:t>
            </w:r>
          </w:p>
        </w:tc>
        <w:tc>
          <w:tcPr>
            <w:tcW w:w="2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2,840</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37,068</w:t>
            </w:r>
          </w:p>
        </w:tc>
        <w:tc>
          <w:tcPr>
            <w:tcW w:w="2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(14,140)</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22,928</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losses included in net</w:t>
            </w: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income on available-for-sale securities</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transferred to held-to-maturity</w:t>
            </w:r>
          </w:p>
        </w:tc>
        <w:tc>
          <w:tcPr>
            <w:tcW w:w="16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losses included in net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income on terminated derivative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financial instruments that were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previously accounted for as cash flow</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1,426</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actuarial losses included in net periodic</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pension cost for defined benefit pension</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plan</w:t>
            </w:r>
          </w:p>
        </w:tc>
        <w:tc>
          <w:tcPr>
            <w:tcW w:w="160" w:type="dxa"/>
            <w:vAlign w:val="bottom"/>
            <w:shd w:val="clear" w:color="auto" w:fill="F0FFFF"/>
          </w:tcPr>
          <w:p>
            <w:pPr>
              <w:spacing w:after="0"/>
              <w:rPr>
                <w:sz w:val="22"/>
                <w:szCs w:val="22"/>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F0FFFF"/>
          </w:tcPr>
          <w:p>
            <w:pPr>
              <w:spacing w:after="0"/>
              <w:rPr>
                <w:sz w:val="22"/>
                <w:szCs w:val="22"/>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shd w:val="clear" w:color="auto" w:fill="F0FFFF"/>
          </w:tcPr>
          <w:p>
            <w:pPr>
              <w:spacing w:after="0"/>
              <w:rPr>
                <w:sz w:val="22"/>
                <w:szCs w:val="22"/>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shd w:val="clear" w:color="auto" w:fill="F0FFFF"/>
          </w:tcPr>
          <w:p>
            <w:pPr>
              <w:ind w:left="64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6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3,653</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40,596</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(15,486)</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gridSpan w:val="2"/>
            <w:shd w:val="clear" w:color="auto" w:fill="F0FFFF"/>
          </w:tcPr>
          <w:p>
            <w:pPr>
              <w:ind w:left="64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47,589</w:t>
            </w:r>
          </w:p>
        </w:tc>
        <w:tc>
          <w:tcPr>
            <w:tcW w:w="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(18,062)</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29,527</w:t>
            </w:r>
          </w:p>
        </w:tc>
        <w:tc>
          <w:tcPr>
            <w:tcW w:w="2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158,751</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(60,206)</w:t>
            </w:r>
          </w:p>
        </w:tc>
        <w:tc>
          <w:tcPr>
            <w:tcW w:w="20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98,545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 w:type="dxa"/>
            <w:vAlign w:val="bottom"/>
            <w:vMerge w:val="continue"/>
          </w:tcPr>
          <w:p>
            <w:pPr>
              <w:spacing w:after="0"/>
              <w:rPr>
                <w:sz w:val="22"/>
                <w:szCs w:val="22"/>
                <w:color w:val="auto"/>
              </w:rPr>
            </w:pPr>
          </w:p>
        </w:tc>
        <w:tc>
          <w:tcPr>
            <w:tcW w:w="318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0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0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0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98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0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0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28,754</w:t>
            </w:r>
          </w:p>
        </w:tc>
        <w:tc>
          <w:tcPr>
            <w:tcW w:w="24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(10,867)</w:t>
            </w:r>
          </w:p>
        </w:tc>
        <w:tc>
          <w:tcPr>
            <w:tcW w:w="1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17,887</w:t>
            </w:r>
          </w:p>
        </w:tc>
        <w:tc>
          <w:tcPr>
            <w:tcW w:w="24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85,754</w:t>
            </w:r>
          </w:p>
        </w:tc>
        <w:tc>
          <w:tcPr>
            <w:tcW w:w="1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(32,384)</w:t>
            </w:r>
          </w:p>
        </w:tc>
        <w:tc>
          <w:tcPr>
            <w:tcW w:w="20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53,370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Unrealized gains on available-for-sale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480"/>
              <w:spacing w:after="0" w:line="198" w:lineRule="exact"/>
              <w:rPr>
                <w:sz w:val="20"/>
                <w:szCs w:val="20"/>
                <w:color w:val="auto"/>
              </w:rPr>
            </w:pPr>
            <w:r>
              <w:rPr>
                <w:rFonts w:ascii="Times New Roman" w:cs="Times New Roman" w:eastAsia="Times New Roman" w:hAnsi="Times New Roman"/>
                <w:sz w:val="18"/>
                <w:szCs w:val="18"/>
                <w:color w:val="auto"/>
              </w:rPr>
              <w:t>Unrealized holding gains arising</w:t>
            </w: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F0FFFF"/>
          </w:tcPr>
          <w:p>
            <w:pPr>
              <w:ind w:left="600"/>
              <w:spacing w:after="0"/>
              <w:rPr>
                <w:sz w:val="20"/>
                <w:szCs w:val="20"/>
                <w:color w:val="auto"/>
              </w:rPr>
            </w:pPr>
            <w:r>
              <w:rPr>
                <w:rFonts w:ascii="Times New Roman" w:cs="Times New Roman" w:eastAsia="Times New Roman" w:hAnsi="Times New Roman"/>
                <w:sz w:val="18"/>
                <w:szCs w:val="18"/>
                <w:color w:val="auto"/>
              </w:rPr>
              <w:t>during the period</w:t>
            </w:r>
          </w:p>
        </w:tc>
        <w:tc>
          <w:tcPr>
            <w:tcW w:w="16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5,426</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gains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included in net income</w:t>
            </w:r>
          </w:p>
        </w:tc>
        <w:tc>
          <w:tcPr>
            <w:tcW w:w="16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(1,877)</w:t>
            </w:r>
          </w:p>
        </w:tc>
        <w:tc>
          <w:tcPr>
            <w:tcW w:w="1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gridSpan w:val="2"/>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Net unrealized gains</w:t>
            </w:r>
          </w:p>
        </w:tc>
        <w:tc>
          <w:tcPr>
            <w:tcW w:w="1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losses included in net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income on available-for-sale securities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transferred to held-to-maturity</w:t>
            </w: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losses included in net</w:t>
            </w: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income on terminated derivative</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financial instruments that were</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previously accounted for as cash flow</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1,430</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Unrealized losses on derivative financial</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instruments accounted for as cash flow</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gridSpan w:val="2"/>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Net cash flow hedge activity</w:t>
            </w:r>
          </w:p>
        </w:tc>
        <w:tc>
          <w:tcPr>
            <w:tcW w:w="1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actuarial losses included in net periodic</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pension cost for defined benefit pension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plan</w:t>
            </w:r>
          </w:p>
        </w:tc>
        <w:tc>
          <w:tcPr>
            <w:tcW w:w="16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(1,124)</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6,027</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31,720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19,729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91,781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(34,749)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53" w:orient="portrait"/>
          <w:cols w:equalWidth="0" w:num="1">
            <w:col w:w="11420"/>
          </w:cols>
          <w:pgMar w:left="240" w:top="900" w:right="239" w:bottom="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131,415</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153,451</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Borders>
              <w:top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226,159</w:t>
            </w: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240,363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2,215,113</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2,291,511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held to maturity (fair value $357,550 and $371,658)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Mortgage loans held for sale (includes $279 and $0 at fair value)</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30,814</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24,231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net of unearned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6,725,110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5,995,441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5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(62,961)</w:t>
            </w:r>
          </w:p>
        </w:tc>
        <w:tc>
          <w:tcPr>
            <w:tcW w:w="120" w:type="dxa"/>
            <w:vAlign w:val="bottom"/>
            <w:shd w:val="clear" w:color="auto" w:fill="F0FFFF"/>
          </w:tcPr>
          <w:p>
            <w:pPr>
              <w:spacing w:after="0"/>
              <w:rPr>
                <w:sz w:val="21"/>
                <w:szCs w:val="21"/>
                <w:color w:val="auto"/>
              </w:rPr>
            </w:pPr>
          </w:p>
        </w:tc>
        <w:tc>
          <w:tcPr>
            <w:tcW w:w="1340" w:type="dxa"/>
            <w:vAlign w:val="bottom"/>
            <w:gridSpan w:val="3"/>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(68,448)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Borders>
              <w:top w:val="single" w:sz="8" w:color="F0FFFF"/>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rPr>
              <w:t>Loans, net</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6,662,149</w:t>
            </w: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5,926,993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189,302</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178,165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26,494</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25,786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deferred tax asset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197,613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25,463</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20,082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140,379</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94,075</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Borders>
              <w:top w:val="single" w:sz="8" w:color="F0FF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10,297,615</w:t>
            </w: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9,616,428</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Demand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2,568,756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2,204,755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NOW</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1,821,353</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1,975,884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Savings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544,029</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471,129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1,282,803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Brokered</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359,370</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338,985</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Borders>
              <w:top w:val="single" w:sz="8" w:color="F0FFFF"/>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8,441,599</w:t>
            </w: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7,873,193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35,050</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16,640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174,959</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163,836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32,548</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84,759</w:t>
            </w: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85,524</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9,218,322</w:t>
            </w:r>
          </w:p>
        </w:tc>
        <w:tc>
          <w:tcPr>
            <w:tcW w:w="2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8,598,143</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$1 par value; 10,000,000 shares authorized; Series H; $1,000 stated value; 0 and 9,992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issued and 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20" w:type="dxa"/>
            <w:vAlign w:val="bottom"/>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$1 par value; 150,000,000 shares authorized; 70,861,025 and 66,198,477 shares issued and</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70,861</w:t>
            </w:r>
          </w:p>
        </w:tc>
        <w:tc>
          <w:tcPr>
            <w:tcW w:w="120" w:type="dxa"/>
            <w:vAlign w:val="bottom"/>
            <w:shd w:val="clear" w:color="auto" w:fill="F0FFFF"/>
          </w:tcPr>
          <w:p>
            <w:pPr>
              <w:spacing w:after="0"/>
              <w:rPr>
                <w:sz w:val="20"/>
                <w:szCs w:val="20"/>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66,198</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non-voting, $1 par value; 26,000,000 shares authorized; 0 and 5,285,516 shares issued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Common stock issuable; 520,014 and 458,953 shares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6,779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surplus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1,274,909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1,286,361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(273,314)</w:t>
            </w:r>
          </w:p>
        </w:tc>
        <w:tc>
          <w:tcPr>
            <w:tcW w:w="120" w:type="dxa"/>
            <w:vAlign w:val="bottom"/>
            <w:shd w:val="clear" w:color="auto" w:fill="F0FFFF"/>
          </w:tcPr>
          <w:p>
            <w:pPr>
              <w:spacing w:after="0"/>
              <w:rPr>
                <w:sz w:val="18"/>
                <w:szCs w:val="18"/>
                <w:color w:val="auto"/>
              </w:rPr>
            </w:pPr>
          </w:p>
        </w:tc>
        <w:tc>
          <w:tcPr>
            <w:tcW w:w="1340" w:type="dxa"/>
            <w:vAlign w:val="bottom"/>
            <w:gridSpan w:val="3"/>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(330,879)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20"/>
                <w:szCs w:val="20"/>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(25,452)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2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1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1,079,293</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1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1,018,285</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10,297,615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9,616,428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8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Series</w:t>
            </w:r>
          </w:p>
        </w:tc>
        <w:tc>
          <w:tcPr>
            <w:tcW w:w="780" w:type="dxa"/>
            <w:vAlign w:val="bottom"/>
            <w:gridSpan w:val="3"/>
            <w:vMerge w:val="continue"/>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2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7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per share data)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1"/>
              </w:rPr>
              <w:t>H</w:t>
            </w:r>
          </w:p>
        </w:tc>
        <w:tc>
          <w:tcPr>
            <w:tcW w:w="10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40" w:type="dxa"/>
            <w:vAlign w:val="bottom"/>
          </w:tcPr>
          <w:p>
            <w:pPr>
              <w:spacing w:after="0"/>
              <w:rPr>
                <w:sz w:val="15"/>
                <w:szCs w:val="15"/>
                <w:color w:val="auto"/>
              </w:rPr>
            </w:pPr>
          </w:p>
        </w:tc>
        <w:tc>
          <w:tcPr>
            <w:tcW w:w="8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14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2014</w:t>
            </w:r>
          </w:p>
        </w:tc>
        <w:tc>
          <w:tcPr>
            <w:tcW w:w="200" w:type="dxa"/>
            <w:vAlign w:val="bottom"/>
            <w:gridSpan w:val="2"/>
            <w:shd w:val="clear" w:color="auto" w:fill="F0FF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50,178</w:t>
            </w:r>
          </w:p>
        </w:tc>
        <w:tc>
          <w:tcPr>
            <w:tcW w:w="1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10,081</w:t>
            </w:r>
          </w:p>
        </w:tc>
        <w:tc>
          <w:tcPr>
            <w:tcW w:w="1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5,168</w:t>
            </w:r>
          </w:p>
        </w:tc>
        <w:tc>
          <w:tcPr>
            <w:tcW w:w="8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$1,080,508</w:t>
            </w:r>
          </w:p>
        </w:tc>
        <w:tc>
          <w:tcPr>
            <w:tcW w:w="1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(387,568)</w:t>
            </w:r>
          </w:p>
        </w:tc>
        <w:tc>
          <w:tcPr>
            <w:tcW w:w="260" w:type="dxa"/>
            <w:vAlign w:val="bottom"/>
            <w:gridSpan w:val="2"/>
            <w:shd w:val="clear" w:color="auto" w:fill="F0FF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F0FF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(18,790)</w:t>
            </w:r>
          </w:p>
        </w:tc>
        <w:tc>
          <w:tcPr>
            <w:tcW w:w="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739,577</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53,370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53,370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3,662</w:t>
            </w:r>
          </w:p>
        </w:tc>
        <w:tc>
          <w:tcPr>
            <w:tcW w:w="10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3,662</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to dividend reinvestment plan and employee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192</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benefit plans (11,761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Conversion of non-voting common stock to voting (1,795,271 shares)</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1,795</w:t>
            </w: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(1,795)</w:t>
            </w: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and preferred stock issued for acquisition (11,058,515 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9,992</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11,059</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203,092</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224,143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 and 9,992 preferred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Amortization of stock option and restricted stock awards</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3,343</w:t>
            </w: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3,343</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stock, net of shares surrendered to cover payroll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1,444</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(3,009)</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taxes (118,672 shares issued, 106,935 shares deferred)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 plan, net, including dividend equivalents</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88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from deferred compensation plan (23,613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Common stock dividends ($.16 per share)</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(10,506)</w:t>
            </w: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3"/>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on restricted stock vesting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Preferred stock dividends: Series H</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39"/>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3"/>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Borders>
              <w:top w:val="single" w:sz="8" w:color="F0FF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September 30, 2015</w:t>
            </w: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9,992</w:t>
            </w:r>
          </w:p>
        </w:tc>
        <w:tc>
          <w:tcPr>
            <w:tcW w:w="2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63,186</w:t>
            </w:r>
          </w:p>
        </w:tc>
        <w:tc>
          <w:tcPr>
            <w:tcW w:w="20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8,286</w:t>
            </w:r>
          </w:p>
        </w:tc>
        <w:tc>
          <w:tcPr>
            <w:tcW w:w="2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6,670</w:t>
            </w:r>
          </w:p>
        </w:tc>
        <w:tc>
          <w:tcPr>
            <w:tcW w:w="220" w:type="dxa"/>
            <w:vAlign w:val="bottom"/>
            <w:tcBorders>
              <w:top w:val="single" w:sz="8" w:color="F0FF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$ 1,284,877</w:t>
            </w:r>
          </w:p>
        </w:tc>
        <w:tc>
          <w:tcPr>
            <w:tcW w:w="20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(344,746</w:t>
            </w:r>
          </w:p>
        </w:tc>
        <w:tc>
          <w:tcPr>
            <w:tcW w:w="120" w:type="dxa"/>
            <w:vAlign w:val="bottom"/>
            <w:tcBorders>
              <w:top w:val="single" w:sz="8" w:color="F0FF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(15,128</w:t>
            </w:r>
          </w:p>
        </w:tc>
        <w:tc>
          <w:tcPr>
            <w:tcW w:w="200" w:type="dxa"/>
            <w:vAlign w:val="bottom"/>
            <w:tcBorders>
              <w:top w:val="single" w:sz="8" w:color="F0FFFF"/>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1,013,137</w:t>
            </w:r>
          </w:p>
        </w:tc>
        <w:tc>
          <w:tcPr>
            <w:tcW w:w="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2015</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9,992</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66,198</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5,286</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6,779</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$ 1,286,361</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(330,879)</w:t>
            </w: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(25,452)</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1,018,285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73,435</w:t>
            </w: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73,435</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25,110</w:t>
            </w: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25,110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Redemption of Series H preferred stock (9,992 shares)</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(9,992)</w:t>
            </w: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3"/>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(9,992)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to dividend reinvestment plan and employee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254</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benefit plans (15,844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Conversion of non-voting common stock to voting (5,285,516 shares)</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5,286</w:t>
            </w: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(5,286)</w:t>
            </w: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stock option and restricted stock awards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3,257</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20" w:type="dxa"/>
            <w:vAlign w:val="bottom"/>
            <w:shd w:val="clear" w:color="auto" w:fill="F0FFFF"/>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stock, net of shares surrendered to cover payroll</w:t>
            </w:r>
          </w:p>
        </w:tc>
        <w:tc>
          <w:tcPr>
            <w:tcW w:w="1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68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68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1,384</w:t>
            </w:r>
          </w:p>
        </w:tc>
        <w:tc>
          <w:tcPr>
            <w:tcW w:w="880" w:type="dxa"/>
            <w:vAlign w:val="bottom"/>
            <w:gridSpan w:val="2"/>
            <w:vMerge w:val="restart"/>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(2,428)</w:t>
            </w:r>
          </w:p>
        </w:tc>
        <w:tc>
          <w:tcPr>
            <w:tcW w:w="14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700" w:type="dxa"/>
            <w:vAlign w:val="bottom"/>
            <w:gridSpan w:val="3"/>
            <w:vMerge w:val="restart"/>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taxes (79,430 shares issued, 94,497 shares deferred)</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gridSpan w:val="2"/>
            <w:vMerge w:val="continue"/>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gridSpan w:val="2"/>
            <w:vMerge w:val="continue"/>
            <w:shd w:val="clear" w:color="auto" w:fill="F0FFFF"/>
          </w:tcPr>
          <w:p>
            <w:pPr>
              <w:spacing w:after="0"/>
              <w:rPr>
                <w:sz w:val="14"/>
                <w:szCs w:val="14"/>
                <w:color w:val="auto"/>
              </w:rPr>
            </w:pPr>
          </w:p>
        </w:tc>
        <w:tc>
          <w:tcPr>
            <w:tcW w:w="880" w:type="dxa"/>
            <w:vAlign w:val="bottom"/>
            <w:gridSpan w:val="2"/>
            <w:vMerge w:val="continue"/>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gridSpan w:val="3"/>
            <w:vMerge w:val="continue"/>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 (764,000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(12,895)</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 plan, net, including dividend equivalents</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from deferred compensation plan (45,758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(1,275)</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1,229</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Common stock dividends ($.22 per share)</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(15,849)</w:t>
            </w: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3"/>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on restricted stock vesting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Preferred stock dividends: Series H</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3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3"/>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Borders>
              <w:top w:val="single" w:sz="8" w:color="F0FF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September 30, 2016</w:t>
            </w: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70,861</w:t>
            </w:r>
          </w:p>
        </w:tc>
        <w:tc>
          <w:tcPr>
            <w:tcW w:w="20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7,179</w:t>
            </w:r>
          </w:p>
        </w:tc>
        <w:tc>
          <w:tcPr>
            <w:tcW w:w="220" w:type="dxa"/>
            <w:vAlign w:val="bottom"/>
            <w:tcBorders>
              <w:top w:val="single" w:sz="8" w:color="F0FF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$ 1,274,909</w:t>
            </w:r>
          </w:p>
        </w:tc>
        <w:tc>
          <w:tcPr>
            <w:tcW w:w="20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(273,314</w:t>
            </w:r>
          </w:p>
        </w:tc>
        <w:tc>
          <w:tcPr>
            <w:tcW w:w="120" w:type="dxa"/>
            <w:vAlign w:val="bottom"/>
            <w:tcBorders>
              <w:top w:val="single" w:sz="8" w:color="F0FF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200" w:type="dxa"/>
            <w:vAlign w:val="bottom"/>
            <w:tcBorders>
              <w:top w:val="single" w:sz="8" w:color="F0FFFF"/>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1,079,293</w:t>
            </w:r>
          </w:p>
        </w:tc>
        <w:tc>
          <w:tcPr>
            <w:tcW w:w="20" w:type="dxa"/>
            <w:vAlign w:val="bottom"/>
            <w:tcBorders>
              <w:top w:val="single" w:sz="8" w:color="F0FFFF"/>
              <w:bottom w:val="single" w:sz="8" w:color="auto"/>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Cash Flows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73,435</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22,612</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(800)</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45,308</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28,495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gains,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(922)</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Gains from sales of government guaranteed loans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(6,517)</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gains on sale of other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Net gains and write downs on sales of other real estate owned</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prepayment of borrowings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and accrued interest receivable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(41,886)</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(2,753)</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(6,441)</w:t>
            </w:r>
          </w:p>
        </w:tc>
        <w:tc>
          <w:tcPr>
            <w:tcW w:w="4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00" w:type="dxa"/>
            <w:vAlign w:val="bottom"/>
            <w:tcBorders>
              <w:top w:val="single" w:sz="8" w:color="auto"/>
              <w:bottom w:val="single" w:sz="8" w:color="auto"/>
            </w:tcBorders>
            <w:shd w:val="clear" w:color="auto" w:fill="F0FFFF"/>
          </w:tcPr>
          <w:p>
            <w:pPr>
              <w:spacing w:after="0"/>
              <w:rPr>
                <w:sz w:val="19"/>
                <w:szCs w:val="19"/>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84,853</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46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102,588</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Proceeds from maturities and calls of securities held to maturity</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49,968</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57,721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securities held to maturity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(20,656)</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Proceeds from maturities and calls of securities available for sale</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292,200</w:t>
            </w: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212,383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securities available for sale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(308,800)</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Net increase in loans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(453,541)</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Funds paid to FDIC under loss sharing agreements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(13,716)</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Net cash received for acquisition</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other real estate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00" w:type="dxa"/>
            <w:vAlign w:val="bottom"/>
            <w:tcBorders>
              <w:top w:val="single" w:sz="8" w:color="auto"/>
              <w:bottom w:val="single" w:sz="8" w:color="auto"/>
            </w:tcBorders>
            <w:shd w:val="clear" w:color="auto" w:fill="F0FFFF"/>
          </w:tcPr>
          <w:p>
            <w:pPr>
              <w:spacing w:after="0"/>
              <w:rPr>
                <w:sz w:val="19"/>
                <w:szCs w:val="19"/>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(249,061</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(224,743</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change in deposits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trust preferred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7,080,000</w:t>
            </w: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1,495,000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FHLB advances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(7,074,000)</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senior debt, net of issuance costs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84,141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for dividend reinvestment and employee benefit plans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Retirement of preferred stock</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(9,992)</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(13,659)</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(10,085)</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00" w:type="dxa"/>
            <w:vAlign w:val="bottom"/>
            <w:tcBorders>
              <w:top w:val="single" w:sz="8" w:color="auto"/>
              <w:bottom w:val="single" w:sz="8" w:color="auto"/>
            </w:tcBorders>
            <w:shd w:val="clear" w:color="auto" w:fill="F0FFFF"/>
          </w:tcPr>
          <w:p>
            <w:pPr>
              <w:spacing w:after="0"/>
              <w:rPr>
                <w:sz w:val="19"/>
                <w:szCs w:val="19"/>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150,004</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46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136,439</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(14,204)</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14,284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240,363</w:t>
            </w:r>
          </w:p>
        </w:tc>
        <w:tc>
          <w:tcPr>
            <w:tcW w:w="220" w:type="dxa"/>
            <w:vAlign w:val="bottom"/>
            <w:shd w:val="clear" w:color="auto" w:fill="F0FFFF"/>
          </w:tcPr>
          <w:p>
            <w:pPr>
              <w:spacing w:after="0"/>
              <w:rPr>
                <w:sz w:val="20"/>
                <w:szCs w:val="20"/>
                <w:color w:val="auto"/>
              </w:rPr>
            </w:pPr>
          </w:p>
        </w:tc>
        <w:tc>
          <w:tcPr>
            <w:tcW w:w="46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192,655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4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226,159</w:t>
            </w:r>
          </w:p>
        </w:tc>
        <w:tc>
          <w:tcPr>
            <w:tcW w:w="220" w:type="dxa"/>
            <w:vAlign w:val="bottom"/>
            <w:shd w:val="clear" w:color="auto" w:fill="F0FFFF"/>
          </w:tcPr>
          <w:p>
            <w:pPr>
              <w:spacing w:after="0"/>
              <w:rPr>
                <w:sz w:val="22"/>
                <w:szCs w:val="22"/>
                <w:color w:val="auto"/>
              </w:rPr>
            </w:pPr>
          </w:p>
        </w:tc>
        <w:tc>
          <w:tcPr>
            <w:tcW w:w="460" w:type="dxa"/>
            <w:vAlign w:val="bottom"/>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206,939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25,815</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Income taxes paid</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Significant non-cash investing and financing transactions: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Unsettled government guaranteed loan sales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22,355</w:t>
            </w: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Unsettled purchases of securities available for sale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Transfers of loans to foreclosed properties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Assets acquired</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450,958</w:t>
            </w: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1,736,203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Liabilities assumed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439,749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1,427,358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F0FFFF"/>
          </w:tcPr>
          <w:p>
            <w:pPr>
              <w:ind w:left="480"/>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308,845</w:t>
            </w:r>
          </w:p>
        </w:tc>
        <w:tc>
          <w:tcPr>
            <w:tcW w:w="0" w:type="dxa"/>
            <w:vAlign w:val="bottom"/>
          </w:tcPr>
          <w:p>
            <w:pPr>
              <w:spacing w:after="0"/>
              <w:rPr>
                <w:sz w:val="1"/>
                <w:szCs w:val="1"/>
                <w:color w:val="auto"/>
              </w:rPr>
            </w:pPr>
          </w:p>
        </w:tc>
      </w:tr>
    </w:tbl>
    <w:p>
      <w:pPr>
        <w:sectPr>
          <w:pgSz w:w="11900" w:h="16897" w:orient="portrait"/>
          <w:cols w:equalWidth="0" w:num="1">
            <w:col w:w="11420"/>
          </w:cols>
          <w:pgMar w:left="240" w:top="900"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 issued in acquisitions</w:t>
            </w:r>
          </w:p>
        </w:tc>
        <w:tc>
          <w:tcPr>
            <w:tcW w:w="3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214,151</w:t>
            </w:r>
          </w:p>
        </w:tc>
      </w:tr>
      <w:tr>
        <w:trPr>
          <w:trHeight w:val="216"/>
        </w:trPr>
        <w:tc>
          <w:tcPr>
            <w:tcW w:w="6420" w:type="dxa"/>
            <w:vAlign w:val="bottom"/>
            <w:shd w:val="clear" w:color="auto" w:fill="F0FFFF"/>
          </w:tcPr>
          <w:p>
            <w:pPr>
              <w:ind w:left="500"/>
              <w:spacing w:after="0"/>
              <w:rPr>
                <w:sz w:val="20"/>
                <w:szCs w:val="20"/>
                <w:color w:val="auto"/>
              </w:rPr>
            </w:pPr>
            <w:r>
              <w:rPr>
                <w:rFonts w:ascii="Times New Roman" w:cs="Times New Roman" w:eastAsia="Times New Roman" w:hAnsi="Times New Roman"/>
                <w:sz w:val="18"/>
                <w:szCs w:val="18"/>
                <w:color w:val="auto"/>
              </w:rPr>
              <w:t>Preferred stock issued in acquisitions</w:t>
            </w:r>
          </w:p>
        </w:tc>
        <w:tc>
          <w:tcPr>
            <w:tcW w:w="3800" w:type="dxa"/>
            <w:vAlign w:val="bottom"/>
            <w:shd w:val="clear" w:color="auto" w:fill="F0FF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rPr>
              <w:t>9,992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and financial reporting policies of United Community Banks, Inc. (“United”) and its subsidiaries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statement. The results for interim periods are not necessarily indicative of results for the full year or any other interim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2015 amounts have been reclassified to conform to the 2016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Standards Updates and Recently Adopted Standards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Financial Accounting Standards Board (“FASB”) issued ASU No. 2015-03, </w:t>
      </w:r>
      <w:r>
        <w:rPr>
          <w:rFonts w:ascii="Times New Roman" w:cs="Times New Roman" w:eastAsia="Times New Roman" w:hAnsi="Times New Roman"/>
          <w:sz w:val="18"/>
          <w:szCs w:val="18"/>
          <w:i w:val="1"/>
          <w:iCs w:val="1"/>
          <w:color w:val="auto"/>
        </w:rPr>
        <w:t>Interest – Imputation of Interest (Subtopic 835-30) Simplifying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Presentation of Debt Issuance Costs</w:t>
      </w:r>
      <w:r>
        <w:rPr>
          <w:rFonts w:ascii="Times New Roman" w:cs="Times New Roman" w:eastAsia="Times New Roman" w:hAnsi="Times New Roman"/>
          <w:sz w:val="18"/>
          <w:szCs w:val="18"/>
          <w:color w:val="auto"/>
        </w:rPr>
        <w:t>. To simplify presentation of debt issuance costs, the amendments in this update require that debt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a recognized debt liability be presented in the balance sheet as a direct deduction from the carrying amount of that debt liability consistent with debt discounts. The standard was effective January 1, 2016 and has been retrospectively reflected in the accompanying consolidated balance sheet, with a corresponding reclassification for December 31, 2015 between other assets for $9.68 million, brokered deposits for $7.90 million and long-term debt for $1.78 million.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This update requires a lessee to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not to recognize lease assets and lease liabilities. For public entities, this update is effective for fiscal years beginning after December 15, 2018, with modified retrospective application to prior periods presented. Upon adoption, United will gross up its balance sheet by the present value of future minimum lease payments. Such payments amounted to $23.5 million at December 31, 2015.</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2016-05, </w:t>
      </w:r>
      <w:r>
        <w:rPr>
          <w:rFonts w:ascii="Times New Roman" w:cs="Times New Roman" w:eastAsia="Times New Roman" w:hAnsi="Times New Roman"/>
          <w:sz w:val="18"/>
          <w:szCs w:val="18"/>
          <w:i w:val="1"/>
          <w:iCs w:val="1"/>
          <w:color w:val="auto"/>
        </w:rPr>
        <w:t>Derivatives and Hedging (Topic 815): Effect of Derivative Contract Novations on Existing Hedge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Relationships</w:t>
      </w:r>
      <w:r>
        <w:rPr>
          <w:rFonts w:ascii="Times New Roman" w:cs="Times New Roman" w:eastAsia="Times New Roman" w:hAnsi="Times New Roman"/>
          <w:sz w:val="18"/>
          <w:szCs w:val="18"/>
          <w:color w:val="auto"/>
        </w:rPr>
        <w:t>. This update clarifies that a change in the counterparty to a derivative instrument that has been designated as the hedging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Topic 815 does not, in and of itself, require dedesignation of that hedging relationship provided that all other hedge accounting criteria continue to be met. For public entities, this update is effective for fiscal years beginning after December 15, 2016, with application on either a prospective or modified retrospective basis. The adoption of this update is not expected to have a material impact on United’s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2016-06, </w:t>
      </w:r>
      <w:r>
        <w:rPr>
          <w:rFonts w:ascii="Times New Roman" w:cs="Times New Roman" w:eastAsia="Times New Roman" w:hAnsi="Times New Roman"/>
          <w:sz w:val="18"/>
          <w:szCs w:val="18"/>
          <w:i w:val="1"/>
          <w:iCs w:val="1"/>
          <w:color w:val="auto"/>
        </w:rPr>
        <w:t>Derivatives and Hedging (Topic 815): Contingent Put and Call Options in Debt Instruments</w:t>
      </w:r>
      <w:r>
        <w:rPr>
          <w:rFonts w:ascii="Times New Roman" w:cs="Times New Roman" w:eastAsia="Times New Roman" w:hAnsi="Times New Roman"/>
          <w:sz w:val="18"/>
          <w:szCs w:val="18"/>
          <w:color w:val="auto"/>
        </w:rPr>
        <w:t>. This update clarifies the requirements for assessing whether contingent call (put) options that can accelerate the payment of principal on debt instruments are clearly and closely related to their debt hosts. An entity performing the assessment under this update is required to assess the embedded call (put) options solely in accordance with a four-step decision sequence as outlined in the guidance. Consequently, when a call (put) option is contingently exercisable, an entity does not have to assess whether the event that triggers the ability to exercise a call (put) option is related to interest rates or credit risks. For public entities, this update is effective for fiscal years beginning after December 15, 2016, with application on a modified retrospective basis. The adoption of this update is not expected to have a material impact on United’s consolidated financial statements.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2016-07, </w:t>
      </w:r>
      <w:r>
        <w:rPr>
          <w:rFonts w:ascii="Times New Roman" w:cs="Times New Roman" w:eastAsia="Times New Roman" w:hAnsi="Times New Roman"/>
          <w:sz w:val="18"/>
          <w:szCs w:val="18"/>
          <w:i w:val="1"/>
          <w:iCs w:val="1"/>
          <w:color w:val="auto"/>
        </w:rPr>
        <w:t>Investments – Equity Method and Joint Ventures (Topic 323): Simplifying the Transition to the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of Accounting</w:t>
      </w:r>
      <w:r>
        <w:rPr>
          <w:rFonts w:ascii="Times New Roman" w:cs="Times New Roman" w:eastAsia="Times New Roman" w:hAnsi="Times New Roman"/>
          <w:sz w:val="18"/>
          <w:szCs w:val="18"/>
          <w:color w:val="auto"/>
        </w:rPr>
        <w:t>. This update eliminates the requirement that when an investment qualifies for use of the equity method as a result of an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For public entities, this update is effective for fiscal years beginning after December 15, 2016, with application on a prospective basis. The adoption of this update is not expected to have a material impact on United’s consolidated financial statements.</w:t>
      </w: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This update simplifies several aspects of the accounting for share-based payment transactions, including the income tax consequences,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of awards as either equity or liabilities, and classification on the statement of cash flows. The amendments require that excess tax benefits and deficiencies be recognized as income tax expense or benefit in the income statement and as an operating activity in the statement of cash flows. In addition, an entity can make a policy election to either estimate the number of awards that are expected to vest or account for forfeitures as they occur. The guidance modifies the threshold to qualify for equity classification to permit withholding up to the maximum statutory tax rate and clarifies that cash paid by an employer when directly withholding shares for tax-withholding purposes should be classified as a financing activity. For public entities, this update is effective for fiscal years beginning after December 15, 2016. The adoption of this update is not expected to have a material impact on United’s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new guidance replaces the incurred loss impairment methodology in current GAAP with an expected credit loss methodology and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of a broader range of information to determine credit loss estimates. Financial assets measured at amortized cost will be presented at the net amount expected to be collected by using an allowance for credit losses. Purchased credit impaired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 approach, although the guidance for debt securities for which an other-than-temporary impairment has been recognized before the effective date and for loans previously covered by ASC 310-30, </w:t>
      </w:r>
      <w:r>
        <w:rPr>
          <w:rFonts w:ascii="Times New Roman" w:cs="Times New Roman" w:eastAsia="Times New Roman" w:hAnsi="Times New Roman"/>
          <w:sz w:val="18"/>
          <w:szCs w:val="18"/>
          <w:i w:val="1"/>
          <w:iCs w:val="1"/>
          <w:color w:val="auto"/>
        </w:rPr>
        <w:t>Receivables – Loans and Debt Securities Acquired with Deteriorated Credit Quality</w:t>
      </w:r>
      <w:r>
        <w:rPr>
          <w:rFonts w:ascii="Times New Roman" w:cs="Times New Roman" w:eastAsia="Times New Roman" w:hAnsi="Times New Roman"/>
          <w:sz w:val="18"/>
          <w:szCs w:val="18"/>
          <w:color w:val="auto"/>
        </w:rPr>
        <w:t xml:space="preserve"> will be applied on a prospective basis. For public entities, this update is effective for fiscal years beginning after December 15, 2019. United is currently evaluating the impact of this guidance on its consolidated financial statements.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This update provides guidance on the treatment of eight specific cash flow issues for which there was diversity in practice. For example, cash payments for debt prepayment should be classified as cash outflows for financing activities. Cash payments for contingent consideration after a business combination if made soon after the acquisition date should be classified as investing outflows, while similar payments not made soon after the acquisition date should be classified as financing outflows (up to the amount of the contingent consideration liability recognized at the acquisition date, including measurement period adjustments) or operating activities (for any excess). Cash proceeds from the settlement of insurance claims should be classified on the basis of the related insurance coverage, while proceeds from the settlement of bank owned life insurance should be classified as investing inflows. For public entities, this update is effective for fiscal years beginning after December 15, 2017. The adoption of this update is not expected to have a material impact on United’s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Tidelands Bancshares,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 2016, United completed the acquisition of Tidelands Bancshares, Inc. (“Tidelands”) and its wholly-owned bank subsidiary Tidelands Bank. Tidelands operated seven branches in coastal South Carolina. In connection with the acquisition, United acquired $440 million of assets and assumed $440 million of liabilities. Under the terms of the merger agreement, Tidelands shareholders received cash equal to $0.52 per common share, or an aggregate of $2.22 million. Additionally, at closing, United redeemed all of Tidelands’ fixed-rate cumulative preferred stock that was issued to the United States Department of the Treasury (the “Treasury”) under the Treasury’s Capital Purchase Program, plus unpaid dividends, for $8.98 million in aggregate. The fair value of consideration paid exceeded the fair value of the identifiable assets and liabilities acquired and resulted in the establishment of goodwill in the amount of $10.7 million, representing the intangible value of Tidelands’ business and reputation within the market it served. None of the goodwill recognized is expected to be deductible for income tax purposes. United will amortize the related core deposit intangible of $1.57 million using the sum-of-the-years-digits method over five years, which represents the expected useful life of the asset.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acquisition date, United assumed long-term debt obligations with an aggregate balance of $14.4 million and an aggregate fair value of $10.8 million related to Tidelands’ outstanding trust preferred securities and paid all amounts required to bring current the payment of interest (including deferred interest) on such trust preferred securities. The $8.25 million of debt related to Tidelands Statutory Trust I has a stated maturity date of March 30, 2036 and a rate equal to LIBOR plus 1.38%, which resets quarterly. The $6.19 million of debt related to Tidelands Statutory Trust II has a stated maturity date of June 30, 2038 and a rate equal to LIBOR plus 5.075%, which resets quarterly.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United’s operating results for the period ended September 30, 2016 include the operating results of the acquired assets and assumed liabilities for the period subsequent to the acquisition date of July 1, 2016.</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 w:name="page12"/>
    <w:bookmarkEnd w:id="11"/>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purchased assets and assumed liabilities were recorded at their acquisition date fair values and are summarized in the table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4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Recorded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As Recorded by</w:t>
            </w: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by Tidelands</w:t>
            </w:r>
          </w:p>
        </w:tc>
        <w:tc>
          <w:tcPr>
            <w:tcW w:w="100" w:type="dxa"/>
            <w:vAlign w:val="bottom"/>
          </w:tcPr>
          <w:p>
            <w:pPr>
              <w:spacing w:after="0"/>
              <w:rPr>
                <w:sz w:val="24"/>
                <w:szCs w:val="24"/>
                <w:color w:val="auto"/>
              </w:rPr>
            </w:pPr>
          </w:p>
        </w:tc>
        <w:tc>
          <w:tcPr>
            <w:tcW w:w="1360" w:type="dxa"/>
            <w:vAlign w:val="bottom"/>
            <w:gridSpan w:val="3"/>
          </w:tcPr>
          <w:p>
            <w:pPr>
              <w:jc w:val="right"/>
              <w:ind w:right="120"/>
              <w:spacing w:after="0" w:line="275" w:lineRule="exact"/>
              <w:rPr>
                <w:sz w:val="20"/>
                <w:szCs w:val="20"/>
                <w:color w:val="auto"/>
              </w:rPr>
            </w:pPr>
            <w:r>
              <w:rPr>
                <w:rFonts w:ascii="Times New Roman" w:cs="Times New Roman" w:eastAsia="Times New Roman" w:hAnsi="Times New Roman"/>
                <w:sz w:val="18"/>
                <w:szCs w:val="18"/>
                <w:b w:val="1"/>
                <w:bCs w:val="1"/>
                <w:color w:val="auto"/>
                <w:w w:val="93"/>
              </w:rPr>
              <w:t xml:space="preserve">Adjustments </w:t>
            </w:r>
            <w:r>
              <w:rPr>
                <w:rFonts w:ascii="Times New Roman" w:cs="Times New Roman" w:eastAsia="Times New Roman" w:hAnsi="Times New Roman"/>
                <w:sz w:val="30"/>
                <w:szCs w:val="30"/>
                <w:b w:val="1"/>
                <w:bCs w:val="1"/>
                <w:color w:val="auto"/>
                <w:w w:val="93"/>
                <w:vertAlign w:val="superscript"/>
              </w:rPr>
              <w:t>(1)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United</w:t>
            </w:r>
          </w:p>
        </w:tc>
        <w:tc>
          <w:tcPr>
            <w:tcW w:w="0" w:type="dxa"/>
            <w:vAlign w:val="bottom"/>
          </w:tcPr>
          <w:p>
            <w:pPr>
              <w:spacing w:after="0"/>
              <w:rPr>
                <w:sz w:val="1"/>
                <w:szCs w:val="1"/>
                <w:color w:val="auto"/>
              </w:rPr>
            </w:pPr>
          </w:p>
        </w:tc>
      </w:tr>
      <w:tr>
        <w:trPr>
          <w:trHeight w:val="216"/>
        </w:trPr>
        <w:tc>
          <w:tcPr>
            <w:tcW w:w="482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65,676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65,521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Loans, net</w:t>
            </w:r>
          </w:p>
        </w:tc>
        <w:tc>
          <w:tcPr>
            <w:tcW w:w="1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317,938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(12,035)</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305,903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15,639</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Core deposit intangible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1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(2,386)</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820" w:type="dxa"/>
            <w:vAlign w:val="bottom"/>
            <w:tcBorders>
              <w:top w:val="single" w:sz="8" w:color="F0FFFF"/>
              <w:bottom w:val="single" w:sz="8" w:color="F0FFFF"/>
            </w:tcBorders>
            <w:shd w:val="clear" w:color="auto" w:fill="F0FF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2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445,884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20" w:type="dxa"/>
            <w:vAlign w:val="bottom"/>
            <w:tcBorders>
              <w:top w:val="single" w:sz="8" w:color="F0FFFF"/>
              <w:bottom w:val="single" w:sz="8" w:color="F0FFFF"/>
            </w:tcBorders>
            <w:shd w:val="clear" w:color="auto" w:fill="F0FFFF"/>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440,245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F0FFFF"/>
              <w:bottom w:val="single" w:sz="8" w:color="F0FF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Deposits</w:t>
            </w:r>
          </w:p>
        </w:tc>
        <w:tc>
          <w:tcPr>
            <w:tcW w:w="13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398,108</w:t>
            </w:r>
          </w:p>
        </w:tc>
        <w:tc>
          <w:tcPr>
            <w:tcW w:w="12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shd w:val="clear" w:color="auto" w:fill="F0FFFF"/>
          </w:tcPr>
          <w:p>
            <w:pPr>
              <w:spacing w:after="0"/>
              <w:rPr>
                <w:sz w:val="18"/>
                <w:szCs w:val="18"/>
                <w:color w:val="auto"/>
              </w:rPr>
            </w:pPr>
          </w:p>
        </w:tc>
        <w:tc>
          <w:tcPr>
            <w:tcW w:w="2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399,873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(5,986)</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F0FFFF"/>
              <w:bottom w:val="single" w:sz="8" w:color="F0FF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26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447,129</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(7,380</w:t>
            </w:r>
          </w:p>
        </w:tc>
        <w:tc>
          <w:tcPr>
            <w:tcW w:w="120" w:type="dxa"/>
            <w:vAlign w:val="bottom"/>
            <w:tcBorders>
              <w:top w:val="single" w:sz="8" w:color="F0FFFF"/>
              <w:bottom w:val="single" w:sz="8" w:color="F0FFFF"/>
            </w:tcBorders>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439,749</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Excess of assets acquired over liabilities assumed</w:t>
            </w:r>
          </w:p>
        </w:tc>
        <w:tc>
          <w:tcPr>
            <w:tcW w:w="13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F0FFFF"/>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F0FFFF"/>
              <w:bottom w:val="single" w:sz="8" w:color="F0FFFF"/>
            </w:tcBorders>
            <w:vMerge w:val="restart"/>
          </w:tcPr>
          <w:p>
            <w:pPr>
              <w:spacing w:after="0"/>
              <w:rPr>
                <w:sz w:val="20"/>
                <w:szCs w:val="20"/>
                <w:color w:val="auto"/>
              </w:rPr>
            </w:pPr>
            <w:r>
              <w:rPr>
                <w:rFonts w:ascii="Times New Roman" w:cs="Times New Roman" w:eastAsia="Times New Roman" w:hAnsi="Times New Roman"/>
                <w:sz w:val="18"/>
                <w:szCs w:val="18"/>
                <w:color w:val="auto"/>
              </w:rPr>
              <w:t>Aggregate fair value adjustments</w:t>
            </w:r>
          </w:p>
        </w:tc>
        <w:tc>
          <w:tcPr>
            <w:tcW w:w="12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F0FF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F0FFFF"/>
              <w:bottom w:val="single" w:sz="8" w:color="F0FF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F0FFFF"/>
            </w:tcBorders>
          </w:tcPr>
          <w:p>
            <w:pPr>
              <w:spacing w:after="0" w:line="20" w:lineRule="exact"/>
              <w:rPr>
                <w:sz w:val="1"/>
                <w:szCs w:val="1"/>
                <w:color w:val="auto"/>
              </w:rPr>
            </w:pPr>
          </w:p>
        </w:tc>
        <w:tc>
          <w:tcPr>
            <w:tcW w:w="12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1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8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2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4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8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F0FFFF"/>
              <w:bottom w:val="single" w:sz="8" w:color="F0FF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12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120"/>
          </w:cols>
          <w:pgMar w:left="240" w:top="900" w:right="539" w:bottom="1440" w:gutter="0" w:footer="0" w:header="0"/>
        </w:sectPr>
      </w:pPr>
    </w:p>
    <w:p>
      <w:pPr>
        <w:ind w:left="580"/>
        <w:spacing w:after="0"/>
        <w:rPr>
          <w:sz w:val="20"/>
          <w:szCs w:val="20"/>
          <w:color w:val="auto"/>
        </w:rPr>
      </w:pPr>
      <w:r>
        <w:rPr>
          <w:rFonts w:ascii="Times New Roman" w:cs="Times New Roman" w:eastAsia="Times New Roman" w:hAnsi="Times New Roman"/>
          <w:sz w:val="18"/>
          <w:szCs w:val="18"/>
          <w:color w:val="auto"/>
        </w:rPr>
        <w:t>Cash paid to redeem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-119380</wp:posOffset>
            </wp:positionV>
            <wp:extent cx="65176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43" w:lineRule="exact"/>
        <w:rPr>
          <w:sz w:val="20"/>
          <w:szCs w:val="20"/>
          <w:color w:val="auto"/>
        </w:rPr>
      </w:pPr>
    </w:p>
    <w:p>
      <w:pPr>
        <w:ind w:left="580" w:right="2376"/>
        <w:spacing w:after="0" w:line="279" w:lineRule="auto"/>
        <w:rPr>
          <w:sz w:val="20"/>
          <w:szCs w:val="20"/>
          <w:color w:val="auto"/>
        </w:rPr>
      </w:pPr>
      <w:r>
        <w:rPr>
          <w:rFonts w:ascii="Times New Roman" w:cs="Times New Roman" w:eastAsia="Times New Roman" w:hAnsi="Times New Roman"/>
          <w:sz w:val="18"/>
          <w:szCs w:val="18"/>
          <w:color w:val="auto"/>
        </w:rPr>
        <w:t>Cash paid to redeem preferred stock issued under the Treasury's Capital Purchase Program</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Total 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-125095</wp:posOffset>
            </wp:positionV>
            <wp:extent cx="651764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88595"/>
                    </a:xfrm>
                    <a:prstGeom prst="rect">
                      <a:avLst/>
                    </a:prstGeom>
                    <a:noFill/>
                  </pic:spPr>
                </pic:pic>
              </a:graphicData>
            </a:graphic>
          </wp:anchor>
        </w:drawing>
      </w:r>
    </w:p>
    <w:p>
      <w:pPr>
        <w:spacing w:after="0" w:line="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br w:type="column"/>
      </w:r>
    </w:p>
    <w:p>
      <w:pPr>
        <w:jc w:val="right"/>
        <w:ind w:right="360"/>
        <w:spacing w:after="0"/>
        <w:rPr>
          <w:sz w:val="20"/>
          <w:szCs w:val="20"/>
          <w:color w:val="auto"/>
        </w:rPr>
      </w:pPr>
      <w:r>
        <w:rPr>
          <w:rFonts w:ascii="Times New Roman" w:cs="Times New Roman" w:eastAsia="Times New Roman" w:hAnsi="Times New Roman"/>
          <w:sz w:val="18"/>
          <w:szCs w:val="18"/>
          <w:color w:val="auto"/>
        </w:rPr>
        <w:t>2,224</w:t>
      </w:r>
    </w:p>
    <w:p>
      <w:pPr>
        <w:spacing w:after="0" w:line="266"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8,985</w:t>
      </w:r>
    </w:p>
    <w:p>
      <w:pPr>
        <w:spacing w:after="0" w:line="117"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11,209</w:t>
      </w:r>
    </w:p>
    <w:p>
      <w:pPr>
        <w:spacing w:after="0" w:line="50" w:lineRule="exact"/>
        <w:rPr>
          <w:sz w:val="20"/>
          <w:szCs w:val="20"/>
          <w:color w:val="auto"/>
        </w:rPr>
      </w:pPr>
    </w:p>
    <w:p>
      <w:pPr>
        <w:ind w:left="724" w:hanging="724"/>
        <w:spacing w:after="0"/>
        <w:tabs>
          <w:tab w:leader="none" w:pos="7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16" w:space="720"/>
            <w:col w:w="1584"/>
          </w:cols>
          <w:pgMar w:left="240" w:top="900" w:right="539" w:bottom="1440" w:gutter="0" w:footer="0" w:header="0"/>
          <w:type w:val="continuous"/>
        </w:sectPr>
      </w:pPr>
    </w:p>
    <w:p>
      <w:pPr>
        <w:spacing w:after="0" w:line="120" w:lineRule="exact"/>
        <w:rPr>
          <w:sz w:val="20"/>
          <w:szCs w:val="20"/>
          <w:color w:val="auto"/>
        </w:rPr>
      </w:pPr>
    </w:p>
    <w:p>
      <w:pPr>
        <w:ind w:left="400" w:hanging="3"/>
        <w:spacing w:after="0" w:line="213" w:lineRule="auto"/>
        <w:tabs>
          <w:tab w:leader="none" w:pos="612"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Fair values are preliminary and are subject to refinement for a period not to exceed one year after the closing date of an acquisition as information relative to closing date fair values becomes available.</w:t>
      </w:r>
    </w:p>
    <w:p>
      <w:pPr>
        <w:sectPr>
          <w:pgSz w:w="11900" w:h="16838" w:orient="portrait"/>
          <w:cols w:equalWidth="0" w:num="1">
            <w:col w:w="11120"/>
          </w:cols>
          <w:pgMar w:left="240" w:top="900" w:right="5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additional information related to the acquired loan portfolio at the acquisition date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301625</wp:posOffset>
            </wp:positionV>
            <wp:extent cx="61575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7595" cy="15430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Accounted for pursuant to ASC 310-30:</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Contractually required principal and interest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Non-accretable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615759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Cash flows expected to be collected</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Accretable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615759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51435</wp:posOffset>
            </wp:positionV>
            <wp:extent cx="615759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7595" cy="154305"/>
                    </a:xfrm>
                    <a:prstGeom prst="rect">
                      <a:avLst/>
                    </a:prstGeom>
                    <a:noFill/>
                  </pic:spPr>
                </pic:pic>
              </a:graphicData>
            </a:graphic>
          </wp:anchor>
        </w:drawing>
      </w:r>
    </w:p>
    <w:p>
      <w:pPr>
        <w:spacing w:after="0" w:line="2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Excluded from ASC 310-30:</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615759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Gross contractual amounts receivable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Estimate of contractual cash flows not expected to be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615759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July 1, 2016</w:t>
      </w:r>
    </w:p>
    <w:p>
      <w:pPr>
        <w:spacing w:after="0" w:line="256" w:lineRule="exact"/>
        <w:rPr>
          <w:sz w:val="20"/>
          <w:szCs w:val="20"/>
          <w:color w:val="auto"/>
        </w:rPr>
      </w:pPr>
    </w:p>
    <w:p>
      <w:pPr>
        <w:ind w:left="660" w:hanging="660"/>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50,660</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13,483</w:t>
      </w:r>
    </w:p>
    <w:p>
      <w:pPr>
        <w:spacing w:after="0" w:line="42"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37,177</w:t>
      </w:r>
    </w:p>
    <w:p>
      <w:pPr>
        <w:spacing w:after="0" w:line="38"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2,113</w:t>
      </w:r>
    </w:p>
    <w:p>
      <w:pPr>
        <w:spacing w:after="0" w:line="56" w:lineRule="exact"/>
        <w:rPr>
          <w:sz w:val="20"/>
          <w:szCs w:val="20"/>
          <w:color w:val="auto"/>
        </w:rPr>
      </w:pPr>
    </w:p>
    <w:p>
      <w:pPr>
        <w:ind w:left="660" w:hanging="660"/>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560" w:hanging="560"/>
        <w:spacing w:after="0"/>
        <w:tabs>
          <w:tab w:leader="none" w:pos="5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270,839</w:t>
      </w:r>
    </w:p>
    <w:p>
      <w:pPr>
        <w:spacing w:after="0" w:line="38"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302,331</w:t>
      </w:r>
    </w:p>
    <w:p>
      <w:pPr>
        <w:spacing w:after="0" w:line="20"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3,859</w:t>
      </w:r>
    </w:p>
    <w:p>
      <w:pPr>
        <w:spacing w:after="0" w:line="211" w:lineRule="exact"/>
        <w:rPr>
          <w:sz w:val="20"/>
          <w:szCs w:val="20"/>
          <w:color w:val="auto"/>
        </w:rPr>
      </w:pPr>
    </w:p>
    <w:p>
      <w:pPr>
        <w:sectPr>
          <w:pgSz w:w="11900" w:h="16838" w:orient="portrait"/>
          <w:cols w:equalWidth="0" w:num="2">
            <w:col w:w="9160" w:space="160"/>
            <w:col w:w="1800"/>
          </w:cols>
          <w:pgMar w:left="240" w:top="900" w:right="539" w:bottom="1440" w:gutter="0" w:footer="0" w:header="0"/>
          <w:type w:val="continuous"/>
        </w:sectPr>
      </w:pPr>
    </w:p>
    <w:p>
      <w:pPr>
        <w:spacing w:after="0" w:line="2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0" w:right="5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Palmetto Bancshares,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 2015, United completed the acquisition of Palmetto Bancshares, Inc. (“Palmetto”) and its wholly-owned bank subsidiary The Palmetto Bank. Information related to the fair value of assets and liabilities acquired from Palmetto is included in United’s Annual Report on Form 10-K for the year ended December 31, 2015. During second quarter 2016, within the one year measurement period, United received additional information regarding the acquisition date fair values of premises and equipment and other real estate owned (“OREO”). As a result the provisional values assigned to the acquired premises and equipment and OREO have been adjusted to $17.0 million and $2.63 million, respectively, which represent a decrease of $640,000 and $497,000, respectively, from amounts previously disclosed. The tax effect of these adjustments was reflected as an increase to the deferred tax asset of $437,000, with the net amount of $700,000 reflected as an increase to goodwill.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MoneyTree Corporation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 2015, United completed the acquisition of MoneyTree Corporation (“MoneyTree”) and its wholly-owned bank subsidiary, First National Bank. Information related to the fair value of assets and liabilities acquired from MoneyTree is included in United’s Annual Report on Form 10-K for the year ended December 31,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discloses the impact of the mergers with Tidelands, Palmetto and MoneyTree since their respective acquisition dates through September 30 of the year of acquisition. The table also presents certain pro forma information as if Tidelands had been acquired on January 1, 2015 and Palmetto and MoneyTree had been acquired on January 1, 2014. These results combine the historical results of the acquired entities with United’s consolidated statement of income and, while adjustments were made for the estimated impact of certain fair value adjustments and other acquisition-related activity, they are not necessarily indicative of what would have occurred had the acquisition taken place in earlier years.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presents the actual results and pro forma information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Merger-related costs of $2.93 million from the Tidelands acquisition have been excluded from the 2016 pro forma information presented below and included in the 2015 pro forma information below. Merger-related costs of $8.92 million from the Palmetto and MoneyTree acquisitions have been excluded from the 2015 pro forma information presented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1"/>
                <w:szCs w:val="21"/>
                <w:color w:val="auto"/>
              </w:rPr>
            </w:pPr>
          </w:p>
        </w:tc>
        <w:tc>
          <w:tcPr>
            <w:tcW w:w="2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vMerge w:val="continue"/>
          </w:tcPr>
          <w:p>
            <w:pPr>
              <w:spacing w:after="0"/>
              <w:rPr>
                <w:sz w:val="22"/>
                <w:szCs w:val="22"/>
                <w:color w:val="auto"/>
              </w:rPr>
            </w:pPr>
          </w:p>
        </w:tc>
        <w:tc>
          <w:tcPr>
            <w:tcW w:w="350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520" w:type="dxa"/>
            <w:vAlign w:val="bottom"/>
            <w:tcBorders>
              <w:bottom w:val="single" w:sz="8" w:color="auto"/>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2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4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20" w:type="dxa"/>
            <w:vAlign w:val="bottom"/>
            <w:gridSpan w:val="2"/>
          </w:tcPr>
          <w:p>
            <w:pPr>
              <w:spacing w:after="0" w:line="187" w:lineRule="exact"/>
              <w:rPr>
                <w:sz w:val="20"/>
                <w:szCs w:val="20"/>
                <w:color w:val="auto"/>
              </w:rPr>
            </w:pPr>
            <w:r>
              <w:rPr>
                <w:rFonts w:ascii="Times New Roman" w:cs="Times New Roman" w:eastAsia="Times New Roman" w:hAnsi="Times New Roman"/>
                <w:sz w:val="18"/>
                <w:szCs w:val="18"/>
                <w:color w:val="auto"/>
              </w:rPr>
              <w:t>Actual Tidelands results included in statement of income since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date</w:t>
            </w: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3,988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gridSpan w:val="4"/>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Supplemental consolidated pro forma as if Tidelands had been</w:t>
            </w:r>
          </w:p>
        </w:tc>
        <w:tc>
          <w:tcPr>
            <w:tcW w:w="12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acquired January 1, 2015</w:t>
            </w:r>
          </w:p>
        </w:tc>
        <w:tc>
          <w:tcPr>
            <w:tcW w:w="15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5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105,281</w:t>
            </w:r>
          </w:p>
        </w:tc>
        <w:tc>
          <w:tcPr>
            <w:tcW w:w="160" w:type="dxa"/>
            <w:vAlign w:val="bottom"/>
            <w:shd w:val="clear" w:color="auto" w:fill="F0FFFF"/>
          </w:tcPr>
          <w:p>
            <w:pPr>
              <w:spacing w:after="0"/>
              <w:rPr>
                <w:sz w:val="20"/>
                <w:szCs w:val="20"/>
                <w:color w:val="auto"/>
              </w:rPr>
            </w:pPr>
          </w:p>
        </w:tc>
        <w:tc>
          <w:tcPr>
            <w:tcW w:w="14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27,499</w:t>
            </w:r>
          </w:p>
        </w:tc>
        <w:tc>
          <w:tcPr>
            <w:tcW w:w="100" w:type="dxa"/>
            <w:vAlign w:val="bottom"/>
            <w:shd w:val="clear" w:color="auto" w:fill="F0FFFF"/>
          </w:tcPr>
          <w:p>
            <w:pPr>
              <w:spacing w:after="0"/>
              <w:rPr>
                <w:sz w:val="20"/>
                <w:szCs w:val="20"/>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305,273</w:t>
            </w:r>
          </w:p>
        </w:tc>
        <w:tc>
          <w:tcPr>
            <w:tcW w:w="160" w:type="dxa"/>
            <w:vAlign w:val="bottom"/>
            <w:shd w:val="clear" w:color="auto" w:fill="F0FFFF"/>
          </w:tcPr>
          <w:p>
            <w:pPr>
              <w:spacing w:after="0"/>
              <w:rPr>
                <w:sz w:val="20"/>
                <w:szCs w:val="20"/>
                <w:color w:val="auto"/>
              </w:rPr>
            </w:pPr>
          </w:p>
        </w:tc>
        <w:tc>
          <w:tcPr>
            <w:tcW w:w="1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72,436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vMerge w:val="continue"/>
          </w:tcPr>
          <w:p>
            <w:pPr>
              <w:spacing w:after="0"/>
              <w:rPr>
                <w:sz w:val="22"/>
                <w:szCs w:val="22"/>
                <w:color w:val="auto"/>
              </w:rPr>
            </w:pPr>
          </w:p>
        </w:tc>
        <w:tc>
          <w:tcPr>
            <w:tcW w:w="350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520" w:type="dxa"/>
            <w:vAlign w:val="bottom"/>
            <w:tcBorders>
              <w:bottom w:val="single" w:sz="8" w:color="auto"/>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2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4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Actual Palmetto results included in statement of</w:t>
            </w:r>
          </w:p>
        </w:tc>
        <w:tc>
          <w:tcPr>
            <w:tcW w:w="152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auto"/>
              </w:rPr>
              <w:t>income since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date</w:t>
            </w: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gridSpan w:val="4"/>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Actual MoneyTree results included in statement of income since</w:t>
            </w:r>
          </w:p>
        </w:tc>
        <w:tc>
          <w:tcPr>
            <w:tcW w:w="12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acquisition date</w:t>
            </w:r>
          </w:p>
        </w:tc>
        <w:tc>
          <w:tcPr>
            <w:tcW w:w="15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5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3,081</w:t>
            </w:r>
          </w:p>
        </w:tc>
        <w:tc>
          <w:tcPr>
            <w:tcW w:w="160" w:type="dxa"/>
            <w:vAlign w:val="bottom"/>
            <w:shd w:val="clear" w:color="auto" w:fill="F0FFFF"/>
          </w:tcPr>
          <w:p>
            <w:pPr>
              <w:spacing w:after="0"/>
              <w:rPr>
                <w:sz w:val="20"/>
                <w:szCs w:val="20"/>
                <w:color w:val="auto"/>
              </w:rPr>
            </w:pPr>
          </w:p>
        </w:tc>
        <w:tc>
          <w:tcPr>
            <w:tcW w:w="14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F0FFFF"/>
          </w:tcPr>
          <w:p>
            <w:pPr>
              <w:spacing w:after="0"/>
              <w:rPr>
                <w:sz w:val="20"/>
                <w:szCs w:val="20"/>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5,365</w:t>
            </w:r>
          </w:p>
        </w:tc>
        <w:tc>
          <w:tcPr>
            <w:tcW w:w="160" w:type="dxa"/>
            <w:vAlign w:val="bottom"/>
            <w:shd w:val="clear" w:color="auto" w:fill="F0FFFF"/>
          </w:tcPr>
          <w:p>
            <w:pPr>
              <w:spacing w:after="0"/>
              <w:rPr>
                <w:sz w:val="20"/>
                <w:szCs w:val="20"/>
                <w:color w:val="auto"/>
              </w:rPr>
            </w:pPr>
          </w:p>
        </w:tc>
        <w:tc>
          <w:tcPr>
            <w:tcW w:w="1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Supplemental consolidated pro forma as if Tidelands had been</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acquired January 1, 2015 and Palmetto and MoneyTree had been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acquired January 1, 2014</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95,385</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20,805</w:t>
            </w: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284,799</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Offsetting and Repurchase Agreements Accounted for as Secured Borrowings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Times New Roman" w:cs="Times New Roman" w:eastAsia="Times New Roman" w:hAnsi="Times New Roman"/>
          <w:sz w:val="18"/>
          <w:szCs w:val="18"/>
          <w:i w:val="1"/>
          <w:iCs w:val="1"/>
          <w:color w:val="auto"/>
        </w:rPr>
        <w:t>Offsetting.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900" w:right="239"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0956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36"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Repurchase agreements / reverse repurchase agreements Derivatives</w:t>
      </w: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interest rate of reverse repurchase agreements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Gross Amounts not Offset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7"/>
                <w:szCs w:val="17"/>
                <w:color w:val="auto"/>
              </w:rPr>
            </w:pPr>
          </w:p>
        </w:tc>
        <w:tc>
          <w:tcPr>
            <w:tcW w:w="102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Amounts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Amounts of</w:t>
            </w:r>
          </w:p>
        </w:tc>
        <w:tc>
          <w:tcPr>
            <w:tcW w:w="8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Offset on</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the Balance Sheet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gridSpan w:val="3"/>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Recognized</w:t>
            </w:r>
          </w:p>
        </w:tc>
        <w:tc>
          <w:tcPr>
            <w:tcW w:w="110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the Balance</w:t>
            </w:r>
          </w:p>
        </w:tc>
        <w:tc>
          <w:tcPr>
            <w:tcW w:w="10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Net Asset</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88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Collateral</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22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4"/>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25,463</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25,463</w:t>
            </w: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w:t>
            </w:r>
          </w:p>
        </w:tc>
        <w:tc>
          <w:tcPr>
            <w:tcW w:w="2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175,463</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Gross Amounts not Offset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Amounts of</w:t>
            </w:r>
          </w:p>
        </w:tc>
        <w:tc>
          <w:tcPr>
            <w:tcW w:w="8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Offset on</w:t>
            </w:r>
          </w:p>
        </w:tc>
        <w:tc>
          <w:tcPr>
            <w:tcW w:w="160" w:type="dxa"/>
            <w:vAlign w:val="bottom"/>
          </w:tcPr>
          <w:p>
            <w:pPr>
              <w:spacing w:after="0"/>
              <w:rPr>
                <w:sz w:val="21"/>
                <w:szCs w:val="21"/>
                <w:color w:val="auto"/>
              </w:rPr>
            </w:pPr>
          </w:p>
        </w:tc>
        <w:tc>
          <w:tcPr>
            <w:tcW w:w="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21"/>
                <w:szCs w:val="21"/>
                <w:color w:val="auto"/>
              </w:rPr>
            </w:pPr>
          </w:p>
        </w:tc>
        <w:tc>
          <w:tcPr>
            <w:tcW w:w="21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the Balance Sheet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-1311275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-1019810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-694055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40" w:space="360"/>
            <w:col w:w="6420"/>
          </w:cols>
          <w:pgMar w:left="240" w:top="900" w:right="239" w:bottom="188" w:gutter="0" w:footer="0" w:header="0"/>
          <w:type w:val="continuous"/>
        </w:sectPr>
      </w:pPr>
    </w:p>
    <w:tbl>
      <w:tblPr>
        <w:tblLayout w:type="fixed"/>
        <w:tblInd w:w="5000" w:type="dxa"/>
        <w:tblCellMar>
          <w:top w:w="0" w:type="dxa"/>
          <w:left w:w="0" w:type="dxa"/>
          <w:bottom w:w="0" w:type="dxa"/>
          <w:right w:w="0" w:type="dxa"/>
        </w:tblCellMar>
      </w:tblPr>
      <w:tr>
        <w:trPr>
          <w:trHeight w:val="201"/>
        </w:trPr>
        <w:tc>
          <w:tcPr>
            <w:tcW w:w="116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Recognized</w:t>
            </w:r>
          </w:p>
        </w:tc>
        <w:tc>
          <w:tcPr>
            <w:tcW w:w="110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the Balance</w:t>
            </w:r>
          </w:p>
        </w:tc>
        <w:tc>
          <w:tcPr>
            <w:tcW w:w="100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118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8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Collateral</w:t>
            </w:r>
          </w:p>
        </w:tc>
        <w:tc>
          <w:tcPr>
            <w:tcW w:w="20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Pledged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1">
            <w:col w:w="11420"/>
          </w:cols>
          <w:pgMar w:left="240" w:top="900" w:right="239" w:bottom="188" w:gutter="0" w:footer="0" w:header="0"/>
          <w:type w:val="continuous"/>
        </w:sect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Repurchase agreements / reverse repurchase agreements Derivatives</w:t>
      </w: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interest rate of repurchase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32,548</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32,548</w:t>
            </w:r>
          </w:p>
        </w:tc>
        <w:tc>
          <w:tcPr>
            <w:tcW w:w="28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w:t>
            </w:r>
          </w:p>
        </w:tc>
        <w:tc>
          <w:tcPr>
            <w:tcW w:w="2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(31,960)</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182,548</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32,548</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(31,960</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-479425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-187960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4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14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660" w:type="dxa"/>
            <w:vAlign w:val="bottom"/>
          </w:tcPr>
          <w:p>
            <w:pPr>
              <w:spacing w:after="0"/>
              <w:rPr>
                <w:sz w:val="24"/>
                <w:szCs w:val="24"/>
                <w:color w:val="auto"/>
              </w:rPr>
            </w:pPr>
          </w:p>
        </w:tc>
      </w:tr>
      <w:tr>
        <w:trPr>
          <w:trHeight w:val="216"/>
        </w:trPr>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26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Gross Amounts not Offset</w:t>
            </w:r>
          </w:p>
        </w:tc>
      </w:tr>
      <w:tr>
        <w:trPr>
          <w:trHeight w:val="252"/>
        </w:trPr>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Amounts of</w:t>
            </w:r>
          </w:p>
        </w:tc>
        <w:tc>
          <w:tcPr>
            <w:tcW w:w="14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Offset on</w:t>
            </w:r>
          </w:p>
        </w:tc>
        <w:tc>
          <w:tcPr>
            <w:tcW w:w="26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in the Balance Sheet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-694055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80" w:space="720"/>
            <w:col w:w="6420"/>
          </w:cols>
          <w:pgMar w:left="240" w:top="900" w:right="239" w:bottom="188"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7"/>
              </w:rPr>
              <w:t>Recognized</w:t>
            </w:r>
          </w:p>
        </w:tc>
        <w:tc>
          <w:tcPr>
            <w:tcW w:w="11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the Balance</w:t>
            </w:r>
          </w:p>
        </w:tc>
        <w:tc>
          <w:tcPr>
            <w:tcW w:w="1000" w:type="dxa"/>
            <w:vAlign w:val="bottom"/>
            <w:gridSpan w:val="3"/>
          </w:tcPr>
          <w:p>
            <w:pPr>
              <w:jc w:val="right"/>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Net Asset</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88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Collateral</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5"/>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1"/>
                <w:szCs w:val="21"/>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Sheet</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60" w:type="dxa"/>
            <w:vAlign w:val="bottom"/>
          </w:tcPr>
          <w:p>
            <w:pPr>
              <w:spacing w:after="0"/>
              <w:rPr>
                <w:sz w:val="21"/>
                <w:szCs w:val="21"/>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Repurchase agreements / reverse repurchase agreements</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20,082</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20,082</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15,834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86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420,082</w:t>
            </w:r>
          </w:p>
        </w:tc>
        <w:tc>
          <w:tcPr>
            <w:tcW w:w="2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Borders>
              <w:top w:val="single" w:sz="8" w:color="F0FFFF"/>
              <w:bottom w:val="single" w:sz="8" w:color="F0FFFF"/>
            </w:tcBorders>
            <w:shd w:val="clear" w:color="auto" w:fill="F0FF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0" w:right="239" w:bottom="188"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Weighted average interest rate of reverse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Repurchase agreements / reverse repurchase agreements Derivatives</w:t>
      </w: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Gross Amounts not Offset</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9"/>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Amounts of</w:t>
            </w:r>
          </w:p>
        </w:tc>
        <w:tc>
          <w:tcPr>
            <w:tcW w:w="80" w:type="dxa"/>
            <w:vAlign w:val="bottom"/>
          </w:tcPr>
          <w:p>
            <w:pPr>
              <w:spacing w:after="0"/>
              <w:rPr>
                <w:sz w:val="22"/>
                <w:szCs w:val="2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Offset on</w:t>
            </w:r>
          </w:p>
        </w:tc>
        <w:tc>
          <w:tcPr>
            <w:tcW w:w="160" w:type="dxa"/>
            <w:vAlign w:val="bottom"/>
          </w:tcPr>
          <w:p>
            <w:pPr>
              <w:spacing w:after="0"/>
              <w:rPr>
                <w:sz w:val="22"/>
                <w:szCs w:val="22"/>
                <w:color w:val="auto"/>
              </w:rPr>
            </w:pPr>
          </w:p>
        </w:tc>
        <w:tc>
          <w:tcPr>
            <w:tcW w:w="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22"/>
                <w:szCs w:val="22"/>
                <w:color w:val="auto"/>
              </w:rPr>
            </w:pPr>
          </w:p>
        </w:tc>
        <w:tc>
          <w:tcPr>
            <w:tcW w:w="21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the Balance Sheet</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Recognized</w:t>
            </w:r>
          </w:p>
        </w:tc>
        <w:tc>
          <w:tcPr>
            <w:tcW w:w="110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the Balance</w:t>
            </w:r>
          </w:p>
        </w:tc>
        <w:tc>
          <w:tcPr>
            <w:tcW w:w="10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88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Collateral</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right"/>
              <w:ind w:right="92"/>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22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Pledged</w:t>
            </w:r>
          </w:p>
        </w:tc>
        <w:tc>
          <w:tcPr>
            <w:tcW w:w="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414"/>
        </w:trPr>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55"/>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28,825</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28,825</w:t>
            </w: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(30,917)</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428,825</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-1619885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-479425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-187960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360"/>
            <w:col w:w="6420"/>
          </w:cols>
          <w:pgMar w:left="240" w:top="900" w:right="239" w:bottom="188"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Weighted average interest rate of repurchase agreements</w:t>
            </w:r>
          </w:p>
        </w:tc>
        <w:tc>
          <w:tcPr>
            <w:tcW w:w="6560" w:type="dxa"/>
            <w:vAlign w:val="bottom"/>
            <w:shd w:val="clear" w:color="auto" w:fill="F0FFFF"/>
          </w:tcPr>
          <w:p>
            <w:pPr>
              <w:jc w:val="right"/>
              <w:ind w:right="529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2016, United recognized the right to reclaim cash collateral of $32.3 million and the obligation to return cash collateral of $3.31 million. At December 31, 2015, United recognized the right to reclaim cash collateral of $6.26 million and the obligation to return cash collateral of $3.73 million. The right to reclaim cash collateral and the obligation to return cash collateral were included in the consolidated balance sheet in other assets and other liabilities, respectively.</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88"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additional detail regarding repurchase agreements accounted for as secured borrowings and the securities underlying these agreements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 of September 30, 2016</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U.S. Treasuries</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Gross amount of recognized liabilities for repurchase agreements in offsetting disclosure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related to agreements not included in offsetting disclosure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 of December 31, 2015</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U.S. Treasuries</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U.S. Government agencies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1060" w:firstLine="953"/>
        <w:spacing w:after="0" w:line="279" w:lineRule="auto"/>
        <w:rPr>
          <w:sz w:val="20"/>
          <w:szCs w:val="20"/>
          <w:color w:val="auto"/>
        </w:rPr>
      </w:pPr>
      <w:r>
        <w:rPr>
          <w:rFonts w:ascii="Times New Roman" w:cs="Times New Roman" w:eastAsia="Times New Roman" w:hAnsi="Times New Roman"/>
          <w:sz w:val="18"/>
          <w:szCs w:val="18"/>
          <w:b w:val="1"/>
          <w:bCs w:val="1"/>
          <w:color w:val="auto"/>
        </w:rPr>
        <w:t>Remaining Contractual Maturity of the Agreements Overnight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37560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Continuous</w:t>
            </w:r>
          </w:p>
        </w:tc>
        <w:tc>
          <w:tcPr>
            <w:tcW w:w="2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Up to 30 Days</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30 to 90 Days</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91 to 110 days</w:t>
            </w:r>
          </w:p>
        </w:tc>
        <w:tc>
          <w:tcPr>
            <w:tcW w:w="14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7"/>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10,050</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10,050</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5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110,050</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160,050</w:t>
            </w:r>
          </w:p>
        </w:tc>
        <w:tc>
          <w:tcPr>
            <w:tcW w:w="0" w:type="dxa"/>
            <w:vAlign w:val="bottom"/>
          </w:tcPr>
          <w:p>
            <w:pPr>
              <w:spacing w:after="0"/>
              <w:rPr>
                <w:sz w:val="1"/>
                <w:szCs w:val="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5040" w:type="dxa"/>
            <w:vAlign w:val="bottom"/>
            <w:gridSpan w:val="11"/>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Remaining Contractual Maturity of the Agreements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11"/>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Overnight and</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Continuous</w:t>
            </w:r>
          </w:p>
        </w:tc>
        <w:tc>
          <w:tcPr>
            <w:tcW w:w="20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Up to 30 Days</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30 to 90 Days</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91 to 110 days</w:t>
            </w:r>
          </w:p>
        </w:tc>
        <w:tc>
          <w:tcPr>
            <w:tcW w:w="14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-2270760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-1979295</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-1661795</wp:posOffset>
            </wp:positionV>
            <wp:extent cx="72466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-1198880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-272415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80" w:space="520"/>
            <w:col w:w="602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12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60" w:type="dxa"/>
            <w:vAlign w:val="bottom"/>
            <w:shd w:val="clear" w:color="auto" w:fill="F0FFFF"/>
          </w:tcPr>
          <w:p>
            <w:pPr>
              <w:spacing w:after="0"/>
              <w:rPr>
                <w:sz w:val="19"/>
                <w:szCs w:val="19"/>
                <w:color w:val="auto"/>
              </w:rPr>
            </w:pPr>
          </w:p>
        </w:tc>
        <w:tc>
          <w:tcPr>
            <w:tcW w:w="360" w:type="dxa"/>
            <w:vAlign w:val="bottom"/>
            <w:shd w:val="clear" w:color="auto" w:fill="F0FFFF"/>
          </w:tcPr>
          <w:p>
            <w:pPr>
              <w:spacing w:after="0"/>
              <w:rPr>
                <w:sz w:val="19"/>
                <w:szCs w:val="19"/>
                <w:color w:val="auto"/>
              </w:rPr>
            </w:pPr>
          </w:p>
        </w:tc>
        <w:tc>
          <w:tcPr>
            <w:tcW w:w="9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16,608</w:t>
            </w:r>
          </w:p>
        </w:tc>
        <w:tc>
          <w:tcPr>
            <w:tcW w:w="34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F0FFFF"/>
          </w:tcPr>
          <w:p>
            <w:pPr>
              <w:spacing w:after="0"/>
              <w:rPr>
                <w:sz w:val="19"/>
                <w:szCs w:val="19"/>
                <w:color w:val="auto"/>
              </w:rPr>
            </w:pPr>
          </w:p>
        </w:tc>
        <w:tc>
          <w:tcPr>
            <w:tcW w:w="9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175,000</w:t>
            </w:r>
          </w:p>
        </w:tc>
        <w:tc>
          <w:tcPr>
            <w:tcW w:w="280" w:type="dxa"/>
            <w:vAlign w:val="bottom"/>
            <w:shd w:val="clear" w:color="auto" w:fill="F0FFFF"/>
          </w:tcPr>
          <w:p>
            <w:pPr>
              <w:spacing w:after="0"/>
              <w:rPr>
                <w:sz w:val="19"/>
                <w:szCs w:val="19"/>
                <w:color w:val="auto"/>
              </w:rPr>
            </w:pPr>
          </w:p>
        </w:tc>
        <w:tc>
          <w:tcPr>
            <w:tcW w:w="7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6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316,608</w:t>
            </w:r>
          </w:p>
        </w:tc>
        <w:tc>
          <w:tcPr>
            <w:tcW w:w="8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shd w:val="clear" w:color="auto" w:fill="F0FF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16,640</w:t>
            </w:r>
          </w:p>
        </w:tc>
        <w:tc>
          <w:tcPr>
            <w:tcW w:w="340" w:type="dxa"/>
            <w:vAlign w:val="bottom"/>
            <w:shd w:val="clear" w:color="auto" w:fill="F0FF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F0FF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275,000</w:t>
            </w:r>
          </w:p>
        </w:tc>
        <w:tc>
          <w:tcPr>
            <w:tcW w:w="280" w:type="dxa"/>
            <w:vAlign w:val="bottom"/>
            <w:shd w:val="clear" w:color="auto" w:fill="F0FF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416,640</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2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Gross amount of recognized liabilities for repurchase agreements in</w:t>
            </w:r>
          </w:p>
        </w:tc>
        <w:tc>
          <w:tcPr>
            <w:tcW w:w="26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1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offsetting disclosure</w:t>
            </w:r>
          </w:p>
        </w:tc>
        <w:tc>
          <w:tcPr>
            <w:tcW w:w="260" w:type="dxa"/>
            <w:vAlign w:val="bottom"/>
            <w:shd w:val="clear" w:color="auto" w:fill="F0FFFF"/>
          </w:tcPr>
          <w:p>
            <w:pPr>
              <w:spacing w:after="0"/>
              <w:rPr>
                <w:sz w:val="24"/>
                <w:szCs w:val="24"/>
                <w:color w:val="auto"/>
              </w:rPr>
            </w:pPr>
          </w:p>
        </w:tc>
        <w:tc>
          <w:tcPr>
            <w:tcW w:w="360" w:type="dxa"/>
            <w:vAlign w:val="bottom"/>
            <w:shd w:val="clear" w:color="auto" w:fill="F0FFFF"/>
          </w:tcPr>
          <w:p>
            <w:pPr>
              <w:spacing w:after="0"/>
              <w:rPr>
                <w:sz w:val="24"/>
                <w:szCs w:val="24"/>
                <w:color w:val="auto"/>
              </w:rPr>
            </w:pPr>
          </w:p>
        </w:tc>
        <w:tc>
          <w:tcPr>
            <w:tcW w:w="78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34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6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78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F0FFFF"/>
              <w:bottom w:val="single" w:sz="8" w:color="F0FFFF"/>
            </w:tcBorders>
            <w:vMerge w:val="restart"/>
          </w:tcPr>
          <w:p>
            <w:pPr>
              <w:spacing w:after="0"/>
              <w:rPr>
                <w:sz w:val="20"/>
                <w:szCs w:val="20"/>
                <w:color w:val="auto"/>
              </w:rPr>
            </w:pPr>
            <w:r>
              <w:rPr>
                <w:rFonts w:ascii="Times New Roman" w:cs="Times New Roman" w:eastAsia="Times New Roman" w:hAnsi="Times New Roman"/>
                <w:sz w:val="18"/>
                <w:szCs w:val="18"/>
                <w:color w:val="auto"/>
              </w:rPr>
              <w:t>Amounts related to agreements not included in offsetting disclosure</w:t>
            </w:r>
          </w:p>
        </w:tc>
        <w:tc>
          <w:tcPr>
            <w:tcW w:w="26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16,640</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securities held-to-maturity as of the dates indicated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90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As of September 30, 2016</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State and political subdivisions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Mortgage-backed securities </w:t>
      </w:r>
      <w:r>
        <w:rPr>
          <w:rFonts w:ascii="Times New Roman" w:cs="Times New Roman" w:eastAsia="Times New Roman" w:hAnsi="Times New Roman"/>
          <w:sz w:val="28"/>
          <w:szCs w:val="28"/>
          <w:color w:val="auto"/>
          <w:vertAlign w:val="superscript"/>
        </w:rPr>
        <w:t>(1)</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As of December 31, 2015</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45"/>
        </w:trPr>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432"/>
        </w:trPr>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4"/>
                <w:szCs w:val="24"/>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61,395</w:t>
            </w:r>
          </w:p>
        </w:tc>
      </w:tr>
      <w:tr>
        <w:trPr>
          <w:trHeight w:val="277"/>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287,006</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296,155</w:t>
            </w:r>
          </w:p>
        </w:tc>
      </w:tr>
      <w:tr>
        <w:trPr>
          <w:trHeight w:val="459"/>
        </w:trPr>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344,917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24"/>
                <w:szCs w:val="24"/>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357,550</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-650875</wp:posOffset>
            </wp:positionV>
            <wp:extent cx="687768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-334010</wp:posOffset>
            </wp:positionV>
            <wp:extent cx="687768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-16510</wp:posOffset>
            </wp:positionV>
            <wp:extent cx="687768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77685" cy="154305"/>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4460" w:space="720"/>
            <w:col w:w="6240"/>
          </w:cols>
          <w:pgMar w:left="240" w:top="900" w:right="239" w:bottom="1440" w:gutter="0" w:footer="0" w:header="0"/>
          <w:type w:val="continuous"/>
        </w:sectPr>
      </w:pPr>
    </w:p>
    <w:tbl>
      <w:tblPr>
        <w:tblLayout w:type="fixed"/>
        <w:tblInd w:w="300" w:type="dxa"/>
        <w:tblCellMar>
          <w:top w:w="0" w:type="dxa"/>
          <w:left w:w="0" w:type="dxa"/>
          <w:bottom w:w="0" w:type="dxa"/>
          <w:right w:w="0" w:type="dxa"/>
        </w:tblCellMar>
      </w:tblPr>
      <w:tr>
        <w:trPr>
          <w:trHeight w:val="196"/>
        </w:trPr>
        <w:tc>
          <w:tcPr>
            <w:tcW w:w="366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4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r>
      <w:tr>
        <w:trPr>
          <w:trHeight w:val="216"/>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62,073</w:t>
            </w: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120" w:type="dxa"/>
            <w:vAlign w:val="bottom"/>
          </w:tcPr>
          <w:p>
            <w:pPr>
              <w:spacing w:after="0"/>
              <w:rPr>
                <w:sz w:val="18"/>
                <w:szCs w:val="18"/>
                <w:color w:val="auto"/>
              </w:rPr>
            </w:pPr>
          </w:p>
        </w:tc>
      </w:tr>
      <w:tr>
        <w:trPr>
          <w:trHeight w:val="277"/>
        </w:trPr>
        <w:tc>
          <w:tcPr>
            <w:tcW w:w="3660" w:type="dxa"/>
            <w:vAlign w:val="bottom"/>
            <w:tcBorders>
              <w:bottom w:val="single" w:sz="8" w:color="F0FFFF"/>
            </w:tcBorders>
            <w:shd w:val="clear" w:color="auto" w:fill="F0FFFF"/>
          </w:tcPr>
          <w:p>
            <w:pPr>
              <w:ind w:left="200"/>
              <w:spacing w:after="0" w:line="269"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30"/>
                <w:szCs w:val="30"/>
                <w:color w:val="auto"/>
                <w:vertAlign w:val="superscript"/>
              </w:rPr>
              <w:t>(1)</w:t>
            </w:r>
          </w:p>
        </w:tc>
        <w:tc>
          <w:tcPr>
            <w:tcW w:w="124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auto"/>
            </w:tcBorders>
            <w:shd w:val="clear" w:color="auto" w:fill="F0FFFF"/>
          </w:tcPr>
          <w:p>
            <w:pPr>
              <w:spacing w:after="0"/>
              <w:rPr>
                <w:sz w:val="24"/>
                <w:szCs w:val="24"/>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302,623</w:t>
            </w:r>
          </w:p>
        </w:tc>
        <w:tc>
          <w:tcPr>
            <w:tcW w:w="200" w:type="dxa"/>
            <w:vAlign w:val="bottom"/>
            <w:tcBorders>
              <w:bottom w:val="single" w:sz="8" w:color="F0FFFF"/>
            </w:tcBorders>
            <w:shd w:val="clear" w:color="auto" w:fill="F0FFFF"/>
          </w:tcPr>
          <w:p>
            <w:pPr>
              <w:spacing w:after="0"/>
              <w:rPr>
                <w:sz w:val="24"/>
                <w:szCs w:val="24"/>
                <w:color w:val="auto"/>
              </w:rPr>
            </w:pPr>
          </w:p>
        </w:tc>
        <w:tc>
          <w:tcPr>
            <w:tcW w:w="500" w:type="dxa"/>
            <w:vAlign w:val="bottom"/>
            <w:tcBorders>
              <w:bottom w:val="single" w:sz="8" w:color="auto"/>
            </w:tcBorders>
            <w:shd w:val="clear" w:color="auto" w:fill="F0FFFF"/>
          </w:tcPr>
          <w:p>
            <w:pPr>
              <w:spacing w:after="0"/>
              <w:rPr>
                <w:sz w:val="24"/>
                <w:szCs w:val="24"/>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220" w:type="dxa"/>
            <w:vAlign w:val="bottom"/>
            <w:tcBorders>
              <w:bottom w:val="single" w:sz="8" w:color="F0FFFF"/>
            </w:tcBorders>
            <w:shd w:val="clear" w:color="auto" w:fill="F0FFFF"/>
          </w:tcPr>
          <w:p>
            <w:pPr>
              <w:spacing w:after="0"/>
              <w:rPr>
                <w:sz w:val="24"/>
                <w:szCs w:val="24"/>
                <w:color w:val="auto"/>
              </w:rPr>
            </w:pPr>
          </w:p>
        </w:tc>
        <w:tc>
          <w:tcPr>
            <w:tcW w:w="480" w:type="dxa"/>
            <w:vAlign w:val="bottom"/>
            <w:tcBorders>
              <w:bottom w:val="single" w:sz="8" w:color="auto"/>
            </w:tcBorders>
            <w:shd w:val="clear" w:color="auto" w:fill="F0FFFF"/>
          </w:tcPr>
          <w:p>
            <w:pPr>
              <w:spacing w:after="0"/>
              <w:rPr>
                <w:sz w:val="24"/>
                <w:szCs w:val="24"/>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20" w:type="dxa"/>
            <w:vAlign w:val="bottom"/>
            <w:tcBorders>
              <w:bottom w:val="single" w:sz="8" w:color="F0FFFF"/>
            </w:tcBorders>
            <w:shd w:val="clear" w:color="auto" w:fill="F0FFFF"/>
          </w:tcPr>
          <w:p>
            <w:pPr>
              <w:spacing w:after="0"/>
              <w:rPr>
                <w:sz w:val="24"/>
                <w:szCs w:val="24"/>
                <w:color w:val="auto"/>
              </w:rPr>
            </w:pPr>
          </w:p>
        </w:tc>
        <w:tc>
          <w:tcPr>
            <w:tcW w:w="38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306,374</w:t>
            </w:r>
          </w:p>
        </w:tc>
        <w:tc>
          <w:tcPr>
            <w:tcW w:w="120" w:type="dxa"/>
            <w:vAlign w:val="bottom"/>
            <w:tcBorders>
              <w:bottom w:val="single" w:sz="8" w:color="F0FFFF"/>
            </w:tcBorders>
            <w:shd w:val="clear" w:color="auto" w:fill="F0FFFF"/>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3"/>
        </w:trPr>
        <w:tc>
          <w:tcPr>
            <w:tcW w:w="366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shd w:val="clear" w:color="auto" w:fill="F0F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364,696</w:t>
            </w:r>
          </w:p>
        </w:tc>
        <w:tc>
          <w:tcPr>
            <w:tcW w:w="700" w:type="dxa"/>
            <w:vAlign w:val="bottom"/>
            <w:gridSpan w:val="2"/>
            <w:shd w:val="clear" w:color="auto" w:fill="F0FF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700" w:type="dxa"/>
            <w:vAlign w:val="bottom"/>
            <w:gridSpan w:val="2"/>
            <w:shd w:val="clear" w:color="auto" w:fill="F0FF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600" w:type="dxa"/>
            <w:vAlign w:val="bottom"/>
            <w:gridSpan w:val="2"/>
            <w:shd w:val="clear" w:color="auto" w:fill="F0F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371,658</w:t>
            </w:r>
          </w:p>
        </w:tc>
        <w:tc>
          <w:tcPr>
            <w:tcW w:w="120" w:type="dxa"/>
            <w:vAlign w:val="bottom"/>
            <w:shd w:val="clear" w:color="auto" w:fill="F0FFFF"/>
          </w:tcPr>
          <w:p>
            <w:pPr>
              <w:spacing w:after="0"/>
              <w:rPr>
                <w:sz w:val="22"/>
                <w:szCs w:val="22"/>
                <w:color w:val="auto"/>
              </w:rPr>
            </w:pPr>
          </w:p>
        </w:tc>
      </w:tr>
      <w:tr>
        <w:trPr>
          <w:trHeight w:val="20"/>
        </w:trPr>
        <w:tc>
          <w:tcPr>
            <w:tcW w:w="3660" w:type="dxa"/>
            <w:vAlign w:val="bottom"/>
            <w:tcBorders>
              <w:top w:val="single" w:sz="8" w:color="F0FFFF"/>
            </w:tcBorders>
          </w:tcPr>
          <w:p>
            <w:pPr>
              <w:spacing w:after="0" w:line="20" w:lineRule="exact"/>
              <w:rPr>
                <w:sz w:val="1"/>
                <w:szCs w:val="1"/>
                <w:color w:val="auto"/>
              </w:rPr>
            </w:pPr>
          </w:p>
        </w:tc>
        <w:tc>
          <w:tcPr>
            <w:tcW w:w="124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cost basis, unrealized gains and losses, and fair value of securities available-for-sale as of the dates indicated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September 30, 2016</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3540" w:type="dxa"/>
            <w:vAlign w:val="bottom"/>
            <w:gridSpan w:val="4"/>
            <w:vMerge w:val="continue"/>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50"/>
              <w:spacing w:after="0" w:line="164" w:lineRule="exact"/>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70"/>
              <w:spacing w:after="0" w:line="164" w:lineRule="exact"/>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90"/>
              <w:spacing w:after="0" w:line="164"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center"/>
              <w:ind w:right="360"/>
              <w:spacing w:after="0" w:line="164"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41"/>
        </w:trPr>
        <w:tc>
          <w:tcPr>
            <w:tcW w:w="20" w:type="dxa"/>
            <w:vAlign w:val="bottom"/>
            <w:tcBorders>
              <w:top w:val="single" w:sz="8" w:color="auto"/>
            </w:tcBorders>
          </w:tcPr>
          <w:p>
            <w:pPr>
              <w:spacing w:after="0"/>
              <w:rPr>
                <w:sz w:val="3"/>
                <w:szCs w:val="3"/>
                <w:color w:val="auto"/>
              </w:rPr>
            </w:pPr>
          </w:p>
        </w:tc>
        <w:tc>
          <w:tcPr>
            <w:tcW w:w="18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140,500</w:t>
            </w:r>
          </w:p>
        </w:tc>
        <w:tc>
          <w:tcPr>
            <w:tcW w:w="3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3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144,874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63,001</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64,886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29"/>
                <w:szCs w:val="29"/>
                <w:color w:val="auto"/>
                <w:vertAlign w:val="superscript"/>
              </w:rPr>
              <w:t>(1)</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1,151,570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307,240</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312,559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Borders>
              <w:bottom w:val="single" w:sz="8" w:color="F0FFFF"/>
            </w:tcBorders>
            <w:gridSpan w:val="3"/>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spacing w:after="0"/>
              <w:rPr>
                <w:sz w:val="20"/>
                <w:szCs w:val="20"/>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20" w:type="dxa"/>
            <w:vAlign w:val="bottom"/>
            <w:gridSpan w:val="3"/>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2,178,927</w:t>
            </w:r>
          </w:p>
        </w:tc>
        <w:tc>
          <w:tcPr>
            <w:tcW w:w="3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3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4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2,215,113</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66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20" w:type="dxa"/>
            <w:vAlign w:val="bottom"/>
            <w:gridSpan w:val="3"/>
            <w:shd w:val="clear" w:color="auto" w:fill="F0FFFF"/>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2015</w:t>
            </w:r>
          </w:p>
        </w:tc>
        <w:tc>
          <w:tcPr>
            <w:tcW w:w="1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6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8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9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169,034</w:t>
            </w:r>
          </w:p>
        </w:tc>
        <w:tc>
          <w:tcPr>
            <w:tcW w:w="3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168,706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56,265</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56,268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29"/>
                <w:szCs w:val="29"/>
                <w:color w:val="auto"/>
                <w:vertAlign w:val="superscript"/>
              </w:rPr>
              <w:t>(1)</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1,108,206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308,102</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306,026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Borders>
              <w:bottom w:val="single" w:sz="8" w:color="F0FFFF"/>
            </w:tcBorders>
            <w:gridSpan w:val="3"/>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spacing w:after="0"/>
              <w:rPr>
                <w:sz w:val="20"/>
                <w:szCs w:val="20"/>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20" w:type="dxa"/>
            <w:vAlign w:val="bottom"/>
            <w:gridSpan w:val="3"/>
            <w:shd w:val="clear" w:color="auto" w:fill="F0FF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2,294,491</w:t>
            </w:r>
          </w:p>
        </w:tc>
        <w:tc>
          <w:tcPr>
            <w:tcW w:w="3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3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17,561</w:t>
            </w:r>
          </w:p>
        </w:tc>
        <w:tc>
          <w:tcPr>
            <w:tcW w:w="4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2,291,511</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66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are residential type mortgage-backed securities or U.S. government agency commercial mortgage backed securities.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$1.34 billion and $1.63 billion were pledged to secure public deposits, derivatives and other secured borrowings at September 30, 2016 and December 31, 2015,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held-to-maturity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1"/>
                <w:szCs w:val="21"/>
                <w:color w:val="auto"/>
              </w:rPr>
            </w:pPr>
          </w:p>
        </w:tc>
        <w:tc>
          <w:tcPr>
            <w:tcW w:w="25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40" w:type="dxa"/>
            <w:vAlign w:val="bottom"/>
          </w:tcPr>
          <w:p>
            <w:pPr>
              <w:spacing w:after="0"/>
              <w:rPr>
                <w:sz w:val="21"/>
                <w:szCs w:val="21"/>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September 30, 2016</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220" w:type="dxa"/>
            <w:vAlign w:val="bottom"/>
            <w:gridSpan w:val="2"/>
          </w:tcPr>
          <w:p>
            <w:pPr>
              <w:jc w:val="right"/>
              <w:ind w:right="380"/>
              <w:spacing w:after="0" w:line="16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8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18,332</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18,332</w:t>
            </w:r>
          </w:p>
        </w:tc>
        <w:tc>
          <w:tcPr>
            <w:tcW w:w="1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320" w:type="dxa"/>
            <w:vAlign w:val="bottom"/>
            <w:tcBorders>
              <w:top w:val="single" w:sz="8" w:color="F0FFFF"/>
              <w:bottom w:val="single" w:sz="8" w:color="F0FFFF"/>
            </w:tcBorders>
            <w:gridSpan w:val="3"/>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37,869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37,869</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4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gridSpan w:val="3"/>
            <w:shd w:val="clear" w:color="auto" w:fill="F0FFFF"/>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2015</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4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140,362</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13,127</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153,489</w:t>
            </w:r>
          </w:p>
        </w:tc>
        <w:tc>
          <w:tcPr>
            <w:tcW w:w="1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top w:val="single" w:sz="8" w:color="F0FF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140,362</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153,489</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available-for-sale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4"/>
                <w:szCs w:val="24"/>
                <w:color w:val="auto"/>
              </w:rPr>
            </w:pPr>
          </w:p>
        </w:tc>
        <w:tc>
          <w:tcPr>
            <w:tcW w:w="25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4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September 30, 2016</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220" w:type="dxa"/>
            <w:vAlign w:val="bottom"/>
            <w:gridSpan w:val="2"/>
          </w:tcPr>
          <w:p>
            <w:pPr>
              <w:jc w:val="right"/>
              <w:ind w:right="380"/>
              <w:spacing w:after="0" w:line="16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40"/>
              <w:spacing w:after="0" w:line="164"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8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101,786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54,607</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20,481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75,088</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2,201</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174,221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320" w:type="dxa"/>
            <w:vAlign w:val="bottom"/>
            <w:tcBorders>
              <w:top w:val="single" w:sz="8" w:color="F0FFFF"/>
              <w:bottom w:val="single" w:sz="8" w:color="F0FFFF"/>
            </w:tcBorders>
            <w:gridSpan w:val="3"/>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121,908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230,204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352,112</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4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2015</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126,066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74,189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74,189</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274,005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173,254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4,585</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447,259</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7,165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221,337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358,940</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5,746</w:t>
            </w:r>
          </w:p>
        </w:tc>
        <w:tc>
          <w:tcPr>
            <w:tcW w:w="1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363,756</w:t>
            </w:r>
          </w:p>
        </w:tc>
        <w:tc>
          <w:tcPr>
            <w:tcW w:w="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6,006</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top w:val="single" w:sz="8" w:color="F0FF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unrealized loss position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1,081,551</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178,820</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1,260,371</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17,561</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2016, there were 53 available-for-sale securities and seven held-to-maturity securities that were in an unrealized loss position. United does not intend to sell nor believes it will be required to sell securities in an unrealized loss position prior to the recovery of their amortized cost basis. Unrealized losses at September 30, 2016 were primarily attributable to changes in interest rates and spread relationships.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or nine months ended September 30, 2016 or 2015.</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Realized gains and losses are derived using the specific identification method for determining the cost of securities sold. The following table summarizes available-for-sale securities sales activity for the three and nine months ended September 30, 2016 and 2015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7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300" w:type="dxa"/>
            <w:vAlign w:val="bottom"/>
            <w:shd w:val="clear" w:color="auto" w:fill="F0FF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100,867</w:t>
            </w:r>
          </w:p>
        </w:tc>
        <w:tc>
          <w:tcPr>
            <w:tcW w:w="460" w:type="dxa"/>
            <w:vAlign w:val="bottom"/>
            <w:shd w:val="clear" w:color="auto" w:fill="F0FF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137,702</w:t>
            </w:r>
          </w:p>
        </w:tc>
        <w:tc>
          <w:tcPr>
            <w:tcW w:w="280" w:type="dxa"/>
            <w:vAlign w:val="bottom"/>
            <w:shd w:val="clear" w:color="auto" w:fill="F0FF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189,164</w:t>
            </w:r>
          </w:p>
        </w:tc>
        <w:tc>
          <w:tcPr>
            <w:tcW w:w="460" w:type="dxa"/>
            <w:vAlign w:val="bottom"/>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274,519</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Gross gains on sales</w:t>
            </w:r>
          </w:p>
        </w:tc>
        <w:tc>
          <w:tcPr>
            <w:tcW w:w="300" w:type="dxa"/>
            <w:vAlign w:val="bottom"/>
            <w:shd w:val="clear" w:color="auto" w:fill="F0FF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607</w:t>
            </w:r>
          </w:p>
        </w:tc>
        <w:tc>
          <w:tcPr>
            <w:tcW w:w="460" w:type="dxa"/>
            <w:vAlign w:val="bottom"/>
            <w:shd w:val="clear" w:color="auto" w:fill="F0FF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shd w:val="clear" w:color="auto" w:fill="F0FF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460" w:type="dxa"/>
            <w:vAlign w:val="bottom"/>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Gross losses on sales</w:t>
            </w:r>
          </w:p>
        </w:tc>
        <w:tc>
          <w:tcPr>
            <w:tcW w:w="3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w:t>
            </w:r>
          </w:p>
        </w:tc>
        <w:tc>
          <w:tcPr>
            <w:tcW w:w="4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w:t>
            </w:r>
          </w:p>
        </w:tc>
        <w:tc>
          <w:tcPr>
            <w:tcW w:w="4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gains on sales of securities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261</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attributable to sales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amortized cost and fair value of held-to-maturity and available-for-sale securities at September 30, 2016, by contractual maturity, are presented in the following table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65,957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67,453</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74,543</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77,421</w:t>
            </w:r>
          </w:p>
        </w:tc>
        <w:tc>
          <w:tcPr>
            <w:tcW w:w="1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140,500</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144,874</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shd w:val="clear" w:color="auto" w:fill="F0FFFF"/>
          </w:tcPr>
          <w:p>
            <w:pPr>
              <w:spacing w:after="0"/>
              <w:rPr>
                <w:sz w:val="21"/>
                <w:szCs w:val="21"/>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8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20,205</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20,455</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Within 1 year</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23,673</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24,516</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22,152</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24,774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spacing w:after="0"/>
              <w:rPr>
                <w:sz w:val="19"/>
                <w:szCs w:val="19"/>
                <w:color w:val="auto"/>
              </w:rPr>
            </w:pPr>
          </w:p>
        </w:tc>
        <w:tc>
          <w:tcPr>
            <w:tcW w:w="32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63,001</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64,886</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57,911</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61,395</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72,416</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74,584</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spacing w:after="0"/>
              <w:rPr>
                <w:sz w:val="19"/>
                <w:szCs w:val="19"/>
                <w:color w:val="auto"/>
              </w:rPr>
            </w:pPr>
          </w:p>
        </w:tc>
        <w:tc>
          <w:tcPr>
            <w:tcW w:w="32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307,240</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312,559</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333,434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333,831</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spacing w:after="0"/>
              <w:rPr>
                <w:sz w:val="19"/>
                <w:szCs w:val="19"/>
                <w:color w:val="auto"/>
              </w:rPr>
            </w:pPr>
          </w:p>
        </w:tc>
        <w:tc>
          <w:tcPr>
            <w:tcW w:w="32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495,286</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495,433</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spacing w:after="0"/>
              <w:rPr>
                <w:sz w:val="19"/>
                <w:szCs w:val="19"/>
                <w:color w:val="auto"/>
              </w:rPr>
            </w:pPr>
          </w:p>
        </w:tc>
        <w:tc>
          <w:tcPr>
            <w:tcW w:w="32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securities other than mortgage-backed securities: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Within 1 year</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1 to 5 years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349,985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356,172</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12,860</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 to 10 years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528,795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More than 10 years</w:t>
            </w: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153,874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153,102</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20" w:type="dxa"/>
            <w:vAlign w:val="bottom"/>
            <w:shd w:val="clear" w:color="auto" w:fill="F0FFFF"/>
          </w:tcPr>
          <w:p>
            <w:pPr>
              <w:spacing w:after="0"/>
              <w:rPr>
                <w:sz w:val="20"/>
                <w:szCs w:val="20"/>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1,151,570</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1,175,781</w:t>
            </w:r>
          </w:p>
        </w:tc>
        <w:tc>
          <w:tcPr>
            <w:tcW w:w="12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287,006</w:t>
            </w:r>
          </w:p>
        </w:tc>
        <w:tc>
          <w:tcPr>
            <w:tcW w:w="1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2,178,927</w:t>
            </w:r>
          </w:p>
        </w:tc>
        <w:tc>
          <w:tcPr>
            <w:tcW w:w="120" w:type="dxa"/>
            <w:vAlign w:val="bottom"/>
            <w:shd w:val="clear" w:color="auto" w:fill="F0FFFF"/>
          </w:tcPr>
          <w:p>
            <w:pPr>
              <w:spacing w:after="0"/>
              <w:rPr>
                <w:sz w:val="22"/>
                <w:szCs w:val="22"/>
                <w:color w:val="auto"/>
              </w:rPr>
            </w:pPr>
          </w:p>
        </w:tc>
        <w:tc>
          <w:tcPr>
            <w:tcW w:w="2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2,215,113</w:t>
            </w:r>
          </w:p>
        </w:tc>
        <w:tc>
          <w:tcPr>
            <w:tcW w:w="48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344,917</w:t>
            </w:r>
          </w:p>
        </w:tc>
        <w:tc>
          <w:tcPr>
            <w:tcW w:w="2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357,550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Loans and Allowance for Credit Losses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Major classifications of loans are summarized as of the dates indicated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4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800" w:type="dxa"/>
            <w:vAlign w:val="bottom"/>
            <w:gridSpan w:val="2"/>
            <w:shd w:val="clear" w:color="auto" w:fill="F0FF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1,512,185</w:t>
            </w:r>
          </w:p>
        </w:tc>
        <w:tc>
          <w:tcPr>
            <w:tcW w:w="180" w:type="dxa"/>
            <w:vAlign w:val="bottom"/>
            <w:shd w:val="clear" w:color="auto" w:fill="F0FFFF"/>
          </w:tcPr>
          <w:p>
            <w:pPr>
              <w:spacing w:after="0"/>
              <w:rPr>
                <w:sz w:val="18"/>
                <w:szCs w:val="18"/>
                <w:color w:val="auto"/>
              </w:rPr>
            </w:pPr>
          </w:p>
        </w:tc>
        <w:tc>
          <w:tcPr>
            <w:tcW w:w="2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1,493,966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5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994,350</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785,417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670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58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388,861</w:t>
            </w:r>
          </w:p>
        </w:tc>
        <w:tc>
          <w:tcPr>
            <w:tcW w:w="18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342,078</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00" w:type="dxa"/>
            <w:vAlign w:val="bottom"/>
            <w:shd w:val="clear" w:color="auto" w:fill="F0FFFF"/>
          </w:tcPr>
          <w:p>
            <w:pPr>
              <w:ind w:left="180"/>
              <w:spacing w:after="0"/>
              <w:rPr>
                <w:sz w:val="20"/>
                <w:szCs w:val="20"/>
                <w:color w:val="auto"/>
              </w:rPr>
            </w:pPr>
            <w:r>
              <w:rPr>
                <w:rFonts w:ascii="Times New Roman" w:cs="Times New Roman" w:eastAsia="Times New Roman" w:hAnsi="Times New Roman"/>
                <w:sz w:val="18"/>
                <w:szCs w:val="18"/>
                <w:color w:val="auto"/>
              </w:rPr>
              <w:t>Total commercial</w:t>
            </w:r>
          </w:p>
        </w:tc>
        <w:tc>
          <w:tcPr>
            <w:tcW w:w="5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4,000,689</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3,445,190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5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698,356</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597,806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5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126,468</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115,111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6700" w:type="dxa"/>
            <w:vAlign w:val="bottom"/>
            <w:tcBorders>
              <w:bottom w:val="single" w:sz="8" w:color="F0FFFF"/>
            </w:tcBorders>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58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466,102</w:t>
            </w:r>
          </w:p>
        </w:tc>
        <w:tc>
          <w:tcPr>
            <w:tcW w:w="18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455,971</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6,725,110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67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(62,961)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(68,448)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00" w:type="dxa"/>
            <w:vAlign w:val="bottom"/>
            <w:tcBorders>
              <w:top w:val="single" w:sz="8" w:color="F0FFFF"/>
            </w:tcBorders>
            <w:shd w:val="clear" w:color="auto" w:fill="F0FFFF"/>
          </w:tcPr>
          <w:p>
            <w:pPr>
              <w:spacing w:after="0"/>
              <w:rPr>
                <w:sz w:val="18"/>
                <w:szCs w:val="18"/>
                <w:color w:val="auto"/>
              </w:rPr>
            </w:pPr>
          </w:p>
        </w:tc>
        <w:tc>
          <w:tcPr>
            <w:tcW w:w="58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6,662,149</w:t>
            </w:r>
          </w:p>
        </w:tc>
        <w:tc>
          <w:tcPr>
            <w:tcW w:w="18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5,926,993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2016 and December 31, 2015, loans totaling $3.05 billion and $2.44 billion, respectively, were pledged as collateral to secure Federal Home Loan Bank advances and other contingent funding sources.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September 30, 2016, the carrying value and outstanding balance of purchased credit impaired (“PCI”) loans accounted for under ASC 310-30, </w:t>
      </w:r>
      <w:r>
        <w:rPr>
          <w:rFonts w:ascii="Times New Roman" w:cs="Times New Roman" w:eastAsia="Times New Roman" w:hAnsi="Times New Roman"/>
          <w:sz w:val="18"/>
          <w:szCs w:val="18"/>
          <w:i w:val="1"/>
          <w:iCs w:val="1"/>
          <w:color w:val="auto"/>
        </w:rPr>
        <w:t>Loans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Securities Acquired with Deteriorated Credit Quality</w:t>
      </w:r>
      <w:r>
        <w:rPr>
          <w:rFonts w:ascii="Times New Roman" w:cs="Times New Roman" w:eastAsia="Times New Roman" w:hAnsi="Times New Roman"/>
          <w:sz w:val="18"/>
          <w:szCs w:val="18"/>
          <w:color w:val="auto"/>
        </w:rPr>
        <w:t>, were $67.5 million and $95.3 million, respectively. At December 31, 2015, the carrying value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balance of PCI loans were $51.3 million and $71.0 million, respectively. The following table presents changes in the value of the accretable yield for PCI loans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460" w:type="dxa"/>
            <w:vAlign w:val="bottom"/>
            <w:tcBorders>
              <w:bottom w:val="single" w:sz="8" w:color="F0FF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top w:val="single" w:sz="8" w:color="auto"/>
              <w:bottom w:val="single" w:sz="8" w:color="F0FFFF"/>
            </w:tcBorders>
          </w:tcPr>
          <w:p>
            <w:pPr>
              <w:spacing w:after="0"/>
              <w:rPr>
                <w:sz w:val="20"/>
                <w:szCs w:val="20"/>
                <w:color w:val="auto"/>
              </w:rPr>
            </w:pPr>
          </w:p>
        </w:tc>
        <w:tc>
          <w:tcPr>
            <w:tcW w:w="80" w:type="dxa"/>
            <w:vAlign w:val="bottom"/>
            <w:tcBorders>
              <w:top w:val="single" w:sz="8" w:color="auto"/>
              <w:bottom w:val="single" w:sz="8" w:color="F0FF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top w:val="single" w:sz="8" w:color="auto"/>
              <w:bottom w:val="single" w:sz="8" w:color="F0FFFF"/>
            </w:tcBorders>
          </w:tcPr>
          <w:p>
            <w:pPr>
              <w:spacing w:after="0"/>
              <w:rPr>
                <w:sz w:val="20"/>
                <w:szCs w:val="20"/>
                <w:color w:val="auto"/>
              </w:rPr>
            </w:pPr>
          </w:p>
        </w:tc>
        <w:tc>
          <w:tcPr>
            <w:tcW w:w="20" w:type="dxa"/>
            <w:vAlign w:val="bottom"/>
            <w:tcBorders>
              <w:top w:val="single" w:sz="8" w:color="auto"/>
              <w:bottom w:val="single" w:sz="8" w:color="F0FF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F0FFFF"/>
            </w:tcBorders>
          </w:tcPr>
          <w:p>
            <w:pPr>
              <w:spacing w:after="0"/>
              <w:rPr>
                <w:sz w:val="20"/>
                <w:szCs w:val="20"/>
                <w:color w:val="auto"/>
              </w:rPr>
            </w:pPr>
          </w:p>
        </w:tc>
      </w:tr>
      <w:tr>
        <w:trPr>
          <w:trHeight w:val="216"/>
        </w:trPr>
        <w:tc>
          <w:tcPr>
            <w:tcW w:w="54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Additions due to acquisitions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Pr>
          <w:p>
            <w:pPr>
              <w:spacing w:after="0"/>
              <w:rPr>
                <w:sz w:val="18"/>
                <w:szCs w:val="18"/>
                <w:color w:val="auto"/>
              </w:rPr>
            </w:pPr>
          </w:p>
        </w:tc>
      </w:tr>
      <w:tr>
        <w:trPr>
          <w:trHeight w:val="216"/>
        </w:trPr>
        <w:tc>
          <w:tcPr>
            <w:tcW w:w="54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Accretion</w:t>
            </w: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(3,058)</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198"/>
        </w:trPr>
        <w:tc>
          <w:tcPr>
            <w:tcW w:w="546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Changes in expected cash flows that do not affect nonaccretable</w:t>
            </w:r>
          </w:p>
        </w:tc>
        <w:tc>
          <w:tcPr>
            <w:tcW w:w="2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68"/>
        </w:trPr>
        <w:tc>
          <w:tcPr>
            <w:tcW w:w="5460" w:type="dxa"/>
            <w:vAlign w:val="bottom"/>
            <w:tcBorders>
              <w:bottom w:val="single" w:sz="8" w:color="F0FFFF"/>
            </w:tcBorders>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20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Borders>
              <w:bottom w:val="single" w:sz="8" w:color="F0FFFF"/>
            </w:tcBorders>
            <w:shd w:val="clear" w:color="auto" w:fill="F0FFFF"/>
          </w:tcPr>
          <w:p>
            <w:pPr>
              <w:spacing w:after="0"/>
              <w:rPr>
                <w:sz w:val="23"/>
                <w:szCs w:val="23"/>
                <w:color w:val="auto"/>
              </w:rPr>
            </w:pPr>
          </w:p>
        </w:tc>
        <w:tc>
          <w:tcPr>
            <w:tcW w:w="8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8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tcBorders>
              <w:bottom w:val="single" w:sz="8" w:color="F0FFFF"/>
            </w:tcBorders>
            <w:shd w:val="clear" w:color="auto" w:fill="F0FFFF"/>
          </w:tcPr>
          <w:p>
            <w:pPr>
              <w:spacing w:after="0"/>
              <w:rPr>
                <w:sz w:val="23"/>
                <w:szCs w:val="23"/>
                <w:color w:val="auto"/>
              </w:rPr>
            </w:pPr>
          </w:p>
        </w:tc>
        <w:tc>
          <w:tcPr>
            <w:tcW w:w="2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F0FFFF"/>
            </w:tcBorders>
            <w:shd w:val="clear" w:color="auto" w:fill="F0FFFF"/>
          </w:tcPr>
          <w:p>
            <w:pPr>
              <w:spacing w:after="0"/>
              <w:rPr>
                <w:sz w:val="23"/>
                <w:szCs w:val="23"/>
                <w:color w:val="auto"/>
              </w:rPr>
            </w:pPr>
          </w:p>
        </w:tc>
      </w:tr>
      <w:tr>
        <w:trPr>
          <w:trHeight w:val="21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tcPr>
          <w:p>
            <w:pPr>
              <w:spacing w:after="0"/>
              <w:rPr>
                <w:sz w:val="18"/>
                <w:szCs w:val="18"/>
                <w:color w:val="auto"/>
              </w:rPr>
            </w:pPr>
          </w:p>
        </w:tc>
      </w:tr>
      <w:tr>
        <w:trPr>
          <w:trHeight w:val="21"/>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accretable yield on PCI loans, the fair value adjustments on purchased loans outside the scope of ASC 310-30 are also accreted to interest revenue over the life of the loans. At September 30, 2016 and December 31, 2015, the remaining accretable fair value marks on loans acquired through a business combination and not accounted for under ASC 310-30 were $8.30 million and $7.03 million, respectively. In addition, indirect auto loans purchased at a premium outside of a business combination have a remaining premium of $11.8 million and $12.0 million, respectively, as of September 30, 2016 and December 31, 2015.</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allowance for credit losses by portfolio segment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0"/>
                <w:szCs w:val="10"/>
                <w:color w:val="auto"/>
              </w:rPr>
            </w:pPr>
          </w:p>
        </w:tc>
        <w:tc>
          <w:tcPr>
            <w:tcW w:w="8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760" w:type="dxa"/>
            <w:vAlign w:val="bottom"/>
            <w:gridSpan w:val="3"/>
          </w:tcPr>
          <w:p>
            <w:pPr>
              <w:jc w:val="right"/>
              <w:ind w:right="168"/>
              <w:spacing w:after="0" w:line="124" w:lineRule="exact"/>
              <w:rPr>
                <w:sz w:val="20"/>
                <w:szCs w:val="20"/>
                <w:color w:val="auto"/>
              </w:rPr>
            </w:pPr>
            <w:r>
              <w:rPr>
                <w:rFonts w:ascii="Times New Roman" w:cs="Times New Roman" w:eastAsia="Times New Roman" w:hAnsi="Times New Roman"/>
                <w:sz w:val="14"/>
                <w:szCs w:val="14"/>
                <w:b w:val="1"/>
                <w:bCs w:val="1"/>
                <w:color w:val="auto"/>
              </w:rPr>
              <w:t>Charge-</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80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(Release)</w:t>
            </w:r>
          </w:p>
        </w:tc>
        <w:tc>
          <w:tcPr>
            <w:tcW w:w="5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Ending</w:t>
            </w:r>
          </w:p>
        </w:tc>
        <w:tc>
          <w:tcPr>
            <w:tcW w:w="220" w:type="dxa"/>
            <w:vAlign w:val="bottom"/>
          </w:tcPr>
          <w:p>
            <w:pPr>
              <w:spacing w:after="0"/>
              <w:rPr>
                <w:sz w:val="10"/>
                <w:szCs w:val="10"/>
                <w:color w:val="auto"/>
              </w:rPr>
            </w:pPr>
          </w:p>
        </w:tc>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0"/>
                <w:szCs w:val="10"/>
                <w:color w:val="auto"/>
              </w:rPr>
            </w:pPr>
          </w:p>
        </w:tc>
        <w:tc>
          <w:tcPr>
            <w:tcW w:w="680" w:type="dxa"/>
            <w:vAlign w:val="bottom"/>
            <w:gridSpan w:val="3"/>
          </w:tcPr>
          <w:p>
            <w:pPr>
              <w:jc w:val="right"/>
              <w:ind w:right="119"/>
              <w:spacing w:after="0" w:line="124" w:lineRule="exact"/>
              <w:rPr>
                <w:sz w:val="20"/>
                <w:szCs w:val="20"/>
                <w:color w:val="auto"/>
              </w:rPr>
            </w:pPr>
            <w:r>
              <w:rPr>
                <w:rFonts w:ascii="Times New Roman" w:cs="Times New Roman" w:eastAsia="Times New Roman" w:hAnsi="Times New Roman"/>
                <w:sz w:val="14"/>
                <w:szCs w:val="14"/>
                <w:b w:val="1"/>
                <w:bCs w:val="1"/>
                <w:color w:val="auto"/>
              </w:rPr>
              <w:t>Charge-</w:t>
            </w:r>
          </w:p>
        </w:tc>
        <w:tc>
          <w:tcPr>
            <w:tcW w:w="10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Recoveries</w:t>
            </w:r>
          </w:p>
        </w:tc>
        <w:tc>
          <w:tcPr>
            <w:tcW w:w="80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(Release)</w:t>
            </w:r>
          </w:p>
        </w:tc>
        <w:tc>
          <w:tcPr>
            <w:tcW w:w="20" w:type="dxa"/>
            <w:vAlign w:val="bottom"/>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6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Offs</w:t>
            </w:r>
          </w:p>
        </w:tc>
        <w:tc>
          <w:tcPr>
            <w:tcW w:w="900" w:type="dxa"/>
            <w:vAlign w:val="bottom"/>
            <w:gridSpan w:val="3"/>
            <w:vMerge w:val="continue"/>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Offs</w:t>
            </w: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 w:type="dxa"/>
            <w:vAlign w:val="bottom"/>
          </w:tcPr>
          <w:p>
            <w:pPr>
              <w:spacing w:after="0"/>
              <w:rPr>
                <w:sz w:val="15"/>
                <w:szCs w:val="15"/>
                <w:color w:val="auto"/>
              </w:rPr>
            </w:pPr>
          </w:p>
        </w:tc>
        <w:tc>
          <w:tcPr>
            <w:tcW w:w="6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260" w:type="dxa"/>
            <w:vAlign w:val="bottom"/>
            <w:gridSpan w:val="2"/>
            <w:shd w:val="clear" w:color="auto" w:fill="F0FF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14,432</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14,057</w:t>
            </w:r>
          </w:p>
        </w:tc>
        <w:tc>
          <w:tcPr>
            <w:tcW w:w="1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16,339</w:t>
            </w:r>
          </w:p>
        </w:tc>
        <w:tc>
          <w:tcPr>
            <w:tcW w:w="20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2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1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15,609</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5,522</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6,952</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3,207</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689</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3,444</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4,728</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5,580</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8,938</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9,374</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1,659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15,662</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15,738</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19,052</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(1,880)</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16,739</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5,318</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5,242</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9,005</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(2,990)</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5,880</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9,337</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(1,078)</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8,383</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4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1,604</w:t>
            </w:r>
          </w:p>
        </w:tc>
        <w:tc>
          <w:tcPr>
            <w:tcW w:w="16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1,411</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39"/>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1,413</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6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allowance for loan losses</w:t>
            </w:r>
          </w:p>
        </w:tc>
        <w:tc>
          <w:tcPr>
            <w:tcW w:w="1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64,253</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(2,964)</w:t>
            </w:r>
          </w:p>
        </w:tc>
        <w:tc>
          <w:tcPr>
            <w:tcW w:w="22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1,605</w:t>
            </w:r>
          </w:p>
        </w:tc>
        <w:tc>
          <w:tcPr>
            <w:tcW w:w="2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67</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62,961</w:t>
            </w:r>
          </w:p>
        </w:tc>
        <w:tc>
          <w:tcPr>
            <w:tcW w:w="22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70,129</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(3,159)</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1,742</w:t>
            </w:r>
          </w:p>
        </w:tc>
        <w:tc>
          <w:tcPr>
            <w:tcW w:w="2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350</w:t>
            </w:r>
          </w:p>
        </w:tc>
        <w:tc>
          <w:tcPr>
            <w:tcW w:w="22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69,062</w:t>
            </w:r>
          </w:p>
        </w:tc>
        <w:tc>
          <w:tcPr>
            <w:tcW w:w="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Allowance for unfunded commitments</w:t>
            </w: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139"/>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2,002</w:t>
            </w:r>
          </w:p>
        </w:tc>
        <w:tc>
          <w:tcPr>
            <w:tcW w:w="16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2,580</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350</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2,930</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66,622</w:t>
            </w:r>
          </w:p>
        </w:tc>
        <w:tc>
          <w:tcPr>
            <w:tcW w:w="22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w:t>
            </w:r>
          </w:p>
        </w:tc>
        <w:tc>
          <w:tcPr>
            <w:tcW w:w="220" w:type="dxa"/>
            <w:vAlign w:val="bottom"/>
            <w:tcBorders>
              <w:top w:val="single" w:sz="8" w:color="F0FFFF"/>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w:t>
            </w:r>
          </w:p>
        </w:tc>
        <w:tc>
          <w:tcPr>
            <w:tcW w:w="2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20" w:type="dxa"/>
            <w:vAlign w:val="bottom"/>
            <w:tcBorders>
              <w:top w:val="single" w:sz="8" w:color="F0FF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64,963</w:t>
            </w:r>
          </w:p>
        </w:tc>
        <w:tc>
          <w:tcPr>
            <w:tcW w:w="22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72,709</w:t>
            </w:r>
          </w:p>
        </w:tc>
        <w:tc>
          <w:tcPr>
            <w:tcW w:w="1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(3,159</w:t>
            </w:r>
          </w:p>
        </w:tc>
        <w:tc>
          <w:tcPr>
            <w:tcW w:w="120" w:type="dxa"/>
            <w:vAlign w:val="bottom"/>
            <w:tcBorders>
              <w:top w:val="single" w:sz="8" w:color="F0FF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1,742</w:t>
            </w:r>
          </w:p>
        </w:tc>
        <w:tc>
          <w:tcPr>
            <w:tcW w:w="2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22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71,992</w:t>
            </w:r>
          </w:p>
        </w:tc>
        <w:tc>
          <w:tcPr>
            <w:tcW w:w="20" w:type="dxa"/>
            <w:vAlign w:val="bottom"/>
            <w:tcBorders>
              <w:top w:val="single" w:sz="8" w:color="F0FFFF"/>
              <w:bottom w:val="single" w:sz="8" w:color="auto"/>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7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(Release)</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3"/>
                <w:szCs w:val="13"/>
                <w:color w:val="auto"/>
              </w:rPr>
            </w:pPr>
          </w:p>
        </w:tc>
        <w:tc>
          <w:tcPr>
            <w:tcW w:w="68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100" w:type="dxa"/>
            <w:vAlign w:val="bottom"/>
          </w:tcPr>
          <w:p>
            <w:pPr>
              <w:spacing w:after="0"/>
              <w:rPr>
                <w:sz w:val="13"/>
                <w:szCs w:val="13"/>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Recoveries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(Release)</w:t>
            </w:r>
          </w:p>
        </w:tc>
        <w:tc>
          <w:tcPr>
            <w:tcW w:w="20" w:type="dxa"/>
            <w:vAlign w:val="bottom"/>
          </w:tcPr>
          <w:p>
            <w:pPr>
              <w:spacing w:after="0"/>
              <w:rPr>
                <w:sz w:val="13"/>
                <w:szCs w:val="13"/>
                <w:color w:val="auto"/>
              </w:rPr>
            </w:pPr>
          </w:p>
        </w:tc>
        <w:tc>
          <w:tcPr>
            <w:tcW w:w="6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80"/>
        </w:trPr>
        <w:tc>
          <w:tcPr>
            <w:tcW w:w="3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6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Offs</w:t>
            </w:r>
          </w:p>
        </w:tc>
        <w:tc>
          <w:tcPr>
            <w:tcW w:w="900" w:type="dxa"/>
            <w:vAlign w:val="bottom"/>
            <w:gridSpan w:val="3"/>
            <w:vMerge w:val="continue"/>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Offs</w:t>
            </w: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 w:type="dxa"/>
            <w:vAlign w:val="bottom"/>
          </w:tcPr>
          <w:p>
            <w:pPr>
              <w:spacing w:after="0"/>
              <w:rPr>
                <w:sz w:val="15"/>
                <w:szCs w:val="15"/>
                <w:color w:val="auto"/>
              </w:rPr>
            </w:pPr>
          </w:p>
        </w:tc>
        <w:tc>
          <w:tcPr>
            <w:tcW w:w="6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260" w:type="dxa"/>
            <w:vAlign w:val="bottom"/>
            <w:gridSpan w:val="2"/>
            <w:shd w:val="clear" w:color="auto" w:fill="F0FF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16,732</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2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14,057</w:t>
            </w:r>
          </w:p>
        </w:tc>
        <w:tc>
          <w:tcPr>
            <w:tcW w:w="1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16,041</w:t>
            </w:r>
          </w:p>
        </w:tc>
        <w:tc>
          <w:tcPr>
            <w:tcW w:w="20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(1,194)</w:t>
            </w:r>
          </w:p>
        </w:tc>
        <w:tc>
          <w:tcPr>
            <w:tcW w:w="300" w:type="dxa"/>
            <w:vAlign w:val="bottom"/>
            <w:gridSpan w:val="2"/>
            <w:shd w:val="clear" w:color="auto" w:fill="F0FF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1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15,609</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8,235</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6,952</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10,296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(2,663)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4,442</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(1,645)</w:t>
            </w:r>
          </w:p>
        </w:tc>
        <w:tc>
          <w:tcPr>
            <w:tcW w:w="22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3,444</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3,255</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(1,139)</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2,228</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5,580</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5,583</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4,014</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9,374</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17,232</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(1,489)</w:t>
            </w:r>
          </w:p>
        </w:tc>
        <w:tc>
          <w:tcPr>
            <w:tcW w:w="220" w:type="dxa"/>
            <w:vAlign w:val="bottom"/>
            <w:shd w:val="clear" w:color="auto" w:fill="F0FFFF"/>
          </w:tcPr>
          <w:p>
            <w:pPr>
              <w:spacing w:after="0"/>
              <w:rPr>
                <w:sz w:val="12"/>
                <w:szCs w:val="12"/>
                <w:color w:val="auto"/>
              </w:rPr>
            </w:pPr>
          </w:p>
        </w:tc>
        <w:tc>
          <w:tcPr>
            <w:tcW w:w="4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866</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15,738</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20,311</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(2,535)</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(1,936)</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16,739</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6,042</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(1,513)</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5,242</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2,405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7,961</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220" w:type="dxa"/>
            <w:vAlign w:val="bottom"/>
            <w:shd w:val="clear" w:color="auto" w:fill="F0FFFF"/>
          </w:tcPr>
          <w:p>
            <w:pPr>
              <w:spacing w:after="0"/>
              <w:rPr>
                <w:sz w:val="12"/>
                <w:szCs w:val="12"/>
                <w:color w:val="auto"/>
              </w:rPr>
            </w:pPr>
          </w:p>
        </w:tc>
        <w:tc>
          <w:tcPr>
            <w:tcW w:w="4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(2,058)</w:t>
            </w:r>
          </w:p>
        </w:tc>
        <w:tc>
          <w:tcPr>
            <w:tcW w:w="10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5,880</w:t>
            </w:r>
          </w:p>
        </w:tc>
        <w:tc>
          <w:tcPr>
            <w:tcW w:w="1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10,603</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(1,689)</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1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8,383</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10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(1,295)</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784</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rPr>
              <w:t>(953)</w:t>
            </w:r>
          </w:p>
        </w:tc>
        <w:tc>
          <w:tcPr>
            <w:tcW w:w="220" w:type="dxa"/>
            <w:vAlign w:val="bottom"/>
            <w:shd w:val="clear" w:color="auto" w:fill="F0FFFF"/>
          </w:tcPr>
          <w:p>
            <w:pPr>
              <w:spacing w:after="0"/>
              <w:rPr>
                <w:sz w:val="15"/>
                <w:szCs w:val="15"/>
                <w:color w:val="auto"/>
              </w:rPr>
            </w:pPr>
          </w:p>
        </w:tc>
        <w:tc>
          <w:tcPr>
            <w:tcW w:w="4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179"/>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1,604</w:t>
            </w:r>
          </w:p>
        </w:tc>
        <w:tc>
          <w:tcPr>
            <w:tcW w:w="16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39"/>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751</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1,413</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6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allowance for loan losses</w:t>
            </w:r>
          </w:p>
        </w:tc>
        <w:tc>
          <w:tcPr>
            <w:tcW w:w="1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68,448</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(9,650)</w:t>
            </w:r>
          </w:p>
        </w:tc>
        <w:tc>
          <w:tcPr>
            <w:tcW w:w="220" w:type="dxa"/>
            <w:vAlign w:val="bottom"/>
            <w:tcBorders>
              <w:top w:val="single" w:sz="8" w:color="F0FF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4,423</w:t>
            </w:r>
          </w:p>
        </w:tc>
        <w:tc>
          <w:tcPr>
            <w:tcW w:w="2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(260)</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62,961</w:t>
            </w:r>
          </w:p>
        </w:tc>
        <w:tc>
          <w:tcPr>
            <w:tcW w:w="22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71,619</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(9,692)</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4,735</w:t>
            </w:r>
          </w:p>
        </w:tc>
        <w:tc>
          <w:tcPr>
            <w:tcW w:w="22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2,400</w:t>
            </w:r>
          </w:p>
        </w:tc>
        <w:tc>
          <w:tcPr>
            <w:tcW w:w="22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69,062</w:t>
            </w:r>
          </w:p>
        </w:tc>
        <w:tc>
          <w:tcPr>
            <w:tcW w:w="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Allowance for unfunded commitments</w:t>
            </w: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4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139"/>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2,002</w:t>
            </w:r>
          </w:p>
        </w:tc>
        <w:tc>
          <w:tcPr>
            <w:tcW w:w="16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1,930</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2,930</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70,990</w:t>
            </w:r>
          </w:p>
        </w:tc>
        <w:tc>
          <w:tcPr>
            <w:tcW w:w="22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(9,650</w:t>
            </w:r>
          </w:p>
        </w:tc>
        <w:tc>
          <w:tcPr>
            <w:tcW w:w="220" w:type="dxa"/>
            <w:vAlign w:val="bottom"/>
            <w:tcBorders>
              <w:top w:val="single" w:sz="8" w:color="F0FFFF"/>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4,423</w:t>
            </w:r>
          </w:p>
        </w:tc>
        <w:tc>
          <w:tcPr>
            <w:tcW w:w="2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220" w:type="dxa"/>
            <w:vAlign w:val="bottom"/>
            <w:tcBorders>
              <w:top w:val="single" w:sz="8" w:color="F0FF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64,963</w:t>
            </w:r>
          </w:p>
        </w:tc>
        <w:tc>
          <w:tcPr>
            <w:tcW w:w="22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73,549</w:t>
            </w:r>
          </w:p>
        </w:tc>
        <w:tc>
          <w:tcPr>
            <w:tcW w:w="1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(9,692</w:t>
            </w:r>
          </w:p>
        </w:tc>
        <w:tc>
          <w:tcPr>
            <w:tcW w:w="120" w:type="dxa"/>
            <w:vAlign w:val="bottom"/>
            <w:tcBorders>
              <w:top w:val="single" w:sz="8" w:color="F0FF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4,735</w:t>
            </w:r>
          </w:p>
        </w:tc>
        <w:tc>
          <w:tcPr>
            <w:tcW w:w="22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3,400</w:t>
            </w:r>
          </w:p>
        </w:tc>
        <w:tc>
          <w:tcPr>
            <w:tcW w:w="22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71,992</w:t>
            </w:r>
          </w:p>
        </w:tc>
        <w:tc>
          <w:tcPr>
            <w:tcW w:w="20" w:type="dxa"/>
            <w:vAlign w:val="bottom"/>
            <w:tcBorders>
              <w:top w:val="single" w:sz="8" w:color="F0FFFF"/>
              <w:bottom w:val="single" w:sz="8" w:color="auto"/>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represents the recorded investment in loans by portfolio segment and the balance of the allowance for loan losses assigned to each segment based on the method of evaluating the loans for impairment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Allowance for Loan Losses</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Collectively</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Collectively</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00" w:type="dxa"/>
            <w:vAlign w:val="bottom"/>
          </w:tcPr>
          <w:p>
            <w:pPr>
              <w:spacing w:after="0"/>
              <w:rPr>
                <w:sz w:val="12"/>
                <w:szCs w:val="12"/>
                <w:color w:val="auto"/>
              </w:rPr>
            </w:pPr>
          </w:p>
        </w:tc>
        <w:tc>
          <w:tcPr>
            <w:tcW w:w="9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PCI</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0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PCI</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14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1,212</w:t>
            </w:r>
          </w:p>
        </w:tc>
        <w:tc>
          <w:tcPr>
            <w:tcW w:w="20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12,845</w:t>
            </w:r>
          </w:p>
        </w:tc>
        <w:tc>
          <w:tcPr>
            <w:tcW w:w="200" w:type="dxa"/>
            <w:vAlign w:val="bottom"/>
            <w:shd w:val="clear" w:color="auto" w:fill="F0FF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14,057</w:t>
            </w:r>
          </w:p>
        </w:tc>
        <w:tc>
          <w:tcPr>
            <w:tcW w:w="1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15,267</w:t>
            </w:r>
          </w:p>
        </w:tc>
        <w:tc>
          <w:tcPr>
            <w:tcW w:w="200" w:type="dxa"/>
            <w:vAlign w:val="bottom"/>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16,732</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Income producing commercial real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6,238</w:t>
            </w: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6,952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tcPr>
          <w:p>
            <w:pPr>
              <w:spacing w:after="0"/>
              <w:rPr>
                <w:sz w:val="10"/>
                <w:szCs w:val="10"/>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7,274</w:t>
            </w:r>
          </w:p>
        </w:tc>
        <w:tc>
          <w:tcPr>
            <w:tcW w:w="20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8,235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estate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3,380</w:t>
            </w: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3,444</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4,162</w:t>
            </w: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4,442</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9,303</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5,570</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3,613</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12,124</w:t>
            </w: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15,738</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3,885</w:t>
            </w: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13,347</w:t>
            </w: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17,232</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5,231</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6,036</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5,736</w:t>
            </w: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5,880</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7,787</w:t>
            </w: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7,961</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1,604</w:t>
            </w:r>
          </w:p>
        </w:tc>
        <w:tc>
          <w:tcPr>
            <w:tcW w:w="20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1,604</w:t>
            </w: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1,393</w:t>
            </w: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1,393</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allowance for loan losses</w:t>
            </w:r>
          </w:p>
        </w:tc>
        <w:tc>
          <w:tcPr>
            <w:tcW w:w="6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5,796</w:t>
            </w:r>
          </w:p>
        </w:tc>
        <w:tc>
          <w:tcPr>
            <w:tcW w:w="120" w:type="dxa"/>
            <w:vAlign w:val="bottom"/>
            <w:tcBorders>
              <w:top w:val="single" w:sz="8" w:color="F0FFFF"/>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57,122</w:t>
            </w:r>
          </w:p>
        </w:tc>
        <w:tc>
          <w:tcPr>
            <w:tcW w:w="240" w:type="dxa"/>
            <w:vAlign w:val="bottom"/>
            <w:tcBorders>
              <w:top w:val="single" w:sz="8" w:color="F0FF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62,961</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6,797</w:t>
            </w:r>
          </w:p>
        </w:tc>
        <w:tc>
          <w:tcPr>
            <w:tcW w:w="2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61,651</w:t>
            </w:r>
          </w:p>
        </w:tc>
        <w:tc>
          <w:tcPr>
            <w:tcW w:w="200" w:type="dxa"/>
            <w:vAlign w:val="bottom"/>
            <w:tcBorders>
              <w:top w:val="single" w:sz="8" w:color="F0FF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68,448</w:t>
            </w:r>
          </w:p>
        </w:tc>
        <w:tc>
          <w:tcPr>
            <w:tcW w:w="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Allowance for unfunded commitments</w:t>
            </w:r>
          </w:p>
        </w:tc>
        <w:tc>
          <w:tcPr>
            <w:tcW w:w="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2,002</w:t>
            </w:r>
          </w:p>
        </w:tc>
        <w:tc>
          <w:tcPr>
            <w:tcW w:w="20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2,542</w:t>
            </w: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2,542</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6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5,796</w:t>
            </w: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59,124</w:t>
            </w:r>
          </w:p>
        </w:tc>
        <w:tc>
          <w:tcPr>
            <w:tcW w:w="24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64,963</w:t>
            </w:r>
          </w:p>
        </w:tc>
        <w:tc>
          <w:tcPr>
            <w:tcW w:w="1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6,797</w:t>
            </w:r>
          </w:p>
        </w:tc>
        <w:tc>
          <w:tcPr>
            <w:tcW w:w="22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64,193</w:t>
            </w:r>
          </w:p>
        </w:tc>
        <w:tc>
          <w:tcPr>
            <w:tcW w:w="20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70,990</w:t>
            </w:r>
          </w:p>
        </w:tc>
        <w:tc>
          <w:tcPr>
            <w:tcW w:w="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Loans Outstanding</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Collectively</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Collectively</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00" w:type="dxa"/>
            <w:vAlign w:val="bottom"/>
          </w:tcPr>
          <w:p>
            <w:pPr>
              <w:spacing w:after="0"/>
              <w:rPr>
                <w:sz w:val="12"/>
                <w:szCs w:val="12"/>
                <w:color w:val="auto"/>
              </w:rPr>
            </w:pPr>
          </w:p>
        </w:tc>
        <w:tc>
          <w:tcPr>
            <w:tcW w:w="9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PCI</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0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PCI</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1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34,319</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1,459,218</w:t>
            </w:r>
          </w:p>
        </w:tc>
        <w:tc>
          <w:tcPr>
            <w:tcW w:w="200" w:type="dxa"/>
            <w:vAlign w:val="bottom"/>
            <w:shd w:val="clear" w:color="auto" w:fill="F0FF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18,648</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1,512,185</w:t>
            </w:r>
          </w:p>
        </w:tc>
        <w:tc>
          <w:tcPr>
            <w:tcW w:w="1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38,268</w:t>
            </w:r>
          </w:p>
        </w:tc>
        <w:tc>
          <w:tcPr>
            <w:tcW w:w="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1,442,024</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13,674</w:t>
            </w:r>
          </w:p>
        </w:tc>
        <w:tc>
          <w:tcPr>
            <w:tcW w:w="1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1,493,966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Income producing commercial real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28,418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1,052,242</w:t>
            </w:r>
          </w:p>
        </w:tc>
        <w:tc>
          <w:tcPr>
            <w:tcW w:w="20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24,633</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1,105,293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23,013</w:t>
            </w:r>
          </w:p>
        </w:tc>
        <w:tc>
          <w:tcPr>
            <w:tcW w:w="80" w:type="dxa"/>
            <w:vAlign w:val="bottom"/>
          </w:tcPr>
          <w:p>
            <w:pPr>
              <w:spacing w:after="0"/>
              <w:rPr>
                <w:sz w:val="10"/>
                <w:szCs w:val="10"/>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772,945</w:t>
            </w:r>
          </w:p>
        </w:tc>
        <w:tc>
          <w:tcPr>
            <w:tcW w:w="20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27,771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823,729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estate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2,515</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990,788</w:t>
            </w:r>
          </w:p>
        </w:tc>
        <w:tc>
          <w:tcPr>
            <w:tcW w:w="20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1,047</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994,350</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3,339</w:t>
            </w: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781,423</w:t>
            </w: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785,417</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382,283</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5,195</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388,861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10,616</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329,320</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342,078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19,586</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1,029,629</w:t>
            </w:r>
          </w:p>
        </w:tc>
        <w:tc>
          <w:tcPr>
            <w:tcW w:w="20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5,951</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1,055,166</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19,627</w:t>
            </w:r>
          </w:p>
        </w:tc>
        <w:tc>
          <w:tcPr>
            <w:tcW w:w="8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1,005,860</w:t>
            </w:r>
          </w:p>
        </w:tc>
        <w:tc>
          <w:tcPr>
            <w:tcW w:w="2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4,176</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1,029,663</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690,865</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7,388</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698,356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595,951</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1,688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597,806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5,925</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367,900</w:t>
            </w:r>
          </w:p>
        </w:tc>
        <w:tc>
          <w:tcPr>
            <w:tcW w:w="20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4,504</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378,329</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7,900</w:t>
            </w:r>
          </w:p>
        </w:tc>
        <w:tc>
          <w:tcPr>
            <w:tcW w:w="8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342,677</w:t>
            </w: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351,700</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126,012</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126,468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114,741</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115,111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465,072</w:t>
            </w:r>
          </w:p>
        </w:tc>
        <w:tc>
          <w:tcPr>
            <w:tcW w:w="2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466,102</w:t>
            </w:r>
          </w:p>
        </w:tc>
        <w:tc>
          <w:tcPr>
            <w:tcW w:w="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455,173</w:t>
            </w:r>
          </w:p>
        </w:tc>
        <w:tc>
          <w:tcPr>
            <w:tcW w:w="2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455,971</w:t>
            </w:r>
          </w:p>
        </w:tc>
        <w:tc>
          <w:tcPr>
            <w:tcW w:w="8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loans</w:t>
            </w: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6,564,009</w:t>
            </w:r>
          </w:p>
        </w:tc>
        <w:tc>
          <w:tcPr>
            <w:tcW w:w="240" w:type="dxa"/>
            <w:vAlign w:val="bottom"/>
            <w:vMerge w:val="continue"/>
          </w:tcPr>
          <w:p>
            <w:pPr>
              <w:spacing w:after="0"/>
              <w:rPr>
                <w:sz w:val="17"/>
                <w:szCs w:val="17"/>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67,545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6,725,110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104,008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5,840,114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51,319</w:t>
            </w:r>
          </w:p>
        </w:tc>
        <w:tc>
          <w:tcPr>
            <w:tcW w:w="20" w:type="dxa"/>
            <w:vAlign w:val="bottom"/>
            <w:vMerge w:val="continue"/>
          </w:tcPr>
          <w:p>
            <w:pPr>
              <w:spacing w:after="0"/>
              <w:rPr>
                <w:sz w:val="17"/>
                <w:szCs w:val="17"/>
                <w:color w:val="auto"/>
              </w:rPr>
            </w:pP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5,995,441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Excluding loans accounted for under ASC 310-30, management individually evaluates all loans that are on nonaccrual with a balance of $500,000 or greater and all troubled debt restructurings (“TDRs”) for impairment. In addition, management reviews all accruing substandard loans greater than $2 million to determine if the loan is impaired. A loan is considered impaired when, based on current events and circumstances, it is probable that all amounts due according to the original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Interest payments received on impaired nonaccrual loans are applied as a reduction of the recorded investment in the loan.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 Management had previously used eight quarters of historical loss experience look-back period to determine the loss factors to be used in the reserve calculation for loans evaluated in the aggregate. Beginning in the third quarter of 2016, management extended the look-back period to 17 quarters to better capture the full range of the loss cycle balanced with the availability of reliable historical data. The look-back period will be extended by one quarter each quarter going forward. Management weights each quarter in the look-back period equally to capture the full range of the cycle. Management believes the weightings are appropriate to measure the probable losses incurred within the loan portfolio.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calculates the loss emergence period for each pool of loans based on the weighted average length of time between the date a loan first exceeds 30 days past due and the date the loan is charged off.</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loan officer determines that a loan is uncollectible, he or she is responsible for recommending that the loan be placed on nonaccrual status and charged off. Full or partial charge-offs may also be recommended by the Collections Department, the Special Assets Department, the Loss Mitigation Department and the Foreclosure/OREO Department. Nonaccrual real estate loans are generally charged down to fair value less costs to sell at the time they are placed on nonaccrual status.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and consumer asset quality committees consisting of the Chief Credit Officer, Senior Risk Officers and Senior Credit Officers meet monthly to review charge-offs that have occurred during the previous month.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closed-end retail loans (installment and residential mortgage loans) past due 90 cumulative days are written down to their collateral value less estimated selling costs. Open-end (revolving) unsecured retail loans which are past due 90 cumulative days from their contractual due date are generally charged-off.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loans individually evaluated for impairment by class of loans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8"/>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Unpaid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Loan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Unpaid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16,963</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13,044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12,827</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Borders>
              <w:top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3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30,647</w:t>
            </w:r>
          </w:p>
        </w:tc>
        <w:tc>
          <w:tcPr>
            <w:tcW w:w="24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30,328</w:t>
            </w:r>
          </w:p>
        </w:tc>
        <w:tc>
          <w:tcPr>
            <w:tcW w:w="24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28,330</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27,756</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3,429</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Indirect auto</w:t>
            </w:r>
          </w:p>
        </w:tc>
        <w:tc>
          <w:tcPr>
            <w:tcW w:w="3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F0FFFF"/>
              <w:bottom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with no related allowance recorded</w:t>
            </w:r>
          </w:p>
        </w:tc>
        <w:tc>
          <w:tcPr>
            <w:tcW w:w="38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33,800</w:t>
            </w:r>
          </w:p>
        </w:tc>
        <w:tc>
          <w:tcPr>
            <w:tcW w:w="24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33,427</w:t>
            </w:r>
          </w:p>
        </w:tc>
        <w:tc>
          <w:tcPr>
            <w:tcW w:w="24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33,601</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32,725</w:t>
            </w:r>
          </w:p>
        </w:tc>
        <w:tc>
          <w:tcPr>
            <w:tcW w:w="220" w:type="dxa"/>
            <w:vAlign w:val="bottom"/>
            <w:tcBorders>
              <w:top w:val="single" w:sz="8" w:color="F0FFFF"/>
              <w:bottom w:val="single" w:sz="8" w:color="F0FFFF"/>
            </w:tcBorders>
          </w:tcPr>
          <w:p>
            <w:pPr>
              <w:spacing w:after="0"/>
              <w:rPr>
                <w:sz w:val="18"/>
                <w:szCs w:val="18"/>
                <w:color w:val="auto"/>
              </w:rPr>
            </w:pP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21,427</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24,043</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23,808</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11,455</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2,870</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top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commercial</w:t>
            </w:r>
          </w:p>
        </w:tc>
        <w:tc>
          <w:tcPr>
            <w:tcW w:w="3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37,295</w:t>
            </w:r>
          </w:p>
        </w:tc>
        <w:tc>
          <w:tcPr>
            <w:tcW w:w="2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36,307</w:t>
            </w:r>
          </w:p>
        </w:tc>
        <w:tc>
          <w:tcPr>
            <w:tcW w:w="2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48,068</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47,480</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18,897</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4,537</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Indirect auto</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2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with an allowance recorded</w:t>
            </w:r>
          </w:p>
        </w:tc>
        <w:tc>
          <w:tcPr>
            <w:tcW w:w="38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62,347</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60,129</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72,789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71,283</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96,147</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93,556</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104,008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Excluding PCI loans, there were no loans more than 90 days past due and still accruing interest at September 30, 2016 or December 31, 2015.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The accrual of interest is discontinued on PCI loans if management can no longer reliably estimate future cash flows on the loan. No PCI loans were classified as nonaccrual at September 30, 2016 or December 31, 2015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additional interest revenue that would have been earned if the loans classified as nonaccrual had performed in accordance with the original terms was approximately $262,000 for the three months ended September 30, 2016 and 2015 and $686,000 for the nine months ended September 30, 2016 and 2015.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average balances of impaired loans and income recognized on impaired loans while they were considered impaired are presented below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Cash Basis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Cash 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During</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During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45"/>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Received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33,387</w:t>
            </w:r>
          </w:p>
        </w:tc>
        <w:tc>
          <w:tcPr>
            <w:tcW w:w="2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37,840</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20,802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4,637</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65,838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75,863</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23,176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92,959</w:t>
            </w:r>
          </w:p>
        </w:tc>
        <w:tc>
          <w:tcPr>
            <w:tcW w:w="12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1,090</w:t>
            </w:r>
          </w:p>
        </w:tc>
        <w:tc>
          <w:tcPr>
            <w:tcW w:w="2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108,318</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6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98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31,648</w:t>
            </w:r>
          </w:p>
        </w:tc>
        <w:tc>
          <w:tcPr>
            <w:tcW w:w="2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2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37,605</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1,413</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21,427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12,340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64,450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2,354</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75,999</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21,955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91,959</w:t>
            </w:r>
          </w:p>
        </w:tc>
        <w:tc>
          <w:tcPr>
            <w:tcW w:w="120" w:type="dxa"/>
            <w:vAlign w:val="bottom"/>
            <w:shd w:val="clear" w:color="auto" w:fill="F0FFFF"/>
          </w:tcPr>
          <w:p>
            <w:pPr>
              <w:spacing w:after="0"/>
              <w:rPr>
                <w:sz w:val="20"/>
                <w:szCs w:val="20"/>
                <w:color w:val="auto"/>
              </w:rPr>
            </w:pPr>
          </w:p>
        </w:tc>
        <w:tc>
          <w:tcPr>
            <w:tcW w:w="22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3,255</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3,275</w:t>
            </w:r>
          </w:p>
        </w:tc>
        <w:tc>
          <w:tcPr>
            <w:tcW w:w="2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107,937</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c>
          <w:tcPr>
            <w:tcW w:w="24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recorded investment in nonaccrual loans by loan class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700" w:type="dxa"/>
            <w:vAlign w:val="bottom"/>
            <w:tcBorders>
              <w:bottom w:val="single" w:sz="8" w:color="F0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Borders>
              <w:bottom w:val="single" w:sz="8" w:color="F0FFFF"/>
            </w:tcBorders>
          </w:tcPr>
          <w:p>
            <w:pPr>
              <w:spacing w:after="0"/>
              <w:rPr>
                <w:sz w:val="21"/>
                <w:szCs w:val="21"/>
                <w:color w:val="auto"/>
              </w:rPr>
            </w:pPr>
          </w:p>
        </w:tc>
        <w:tc>
          <w:tcPr>
            <w:tcW w:w="60" w:type="dxa"/>
            <w:vAlign w:val="bottom"/>
            <w:tcBorders>
              <w:bottom w:val="single" w:sz="8" w:color="F0FFFF"/>
            </w:tcBorders>
          </w:tcPr>
          <w:p>
            <w:pPr>
              <w:spacing w:after="0"/>
              <w:rPr>
                <w:sz w:val="21"/>
                <w:szCs w:val="21"/>
                <w:color w:val="auto"/>
              </w:rPr>
            </w:pPr>
          </w:p>
        </w:tc>
      </w:tr>
      <w:tr>
        <w:trPr>
          <w:trHeight w:val="216"/>
        </w:trPr>
        <w:tc>
          <w:tcPr>
            <w:tcW w:w="4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60" w:type="dxa"/>
            <w:vAlign w:val="bottom"/>
          </w:tcPr>
          <w:p>
            <w:pPr>
              <w:spacing w:after="0"/>
              <w:rPr>
                <w:sz w:val="18"/>
                <w:szCs w:val="18"/>
                <w:color w:val="auto"/>
              </w:rPr>
            </w:pPr>
          </w:p>
        </w:tc>
      </w:tr>
      <w:tr>
        <w:trPr>
          <w:trHeight w:val="216"/>
        </w:trPr>
        <w:tc>
          <w:tcPr>
            <w:tcW w:w="4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60" w:type="dxa"/>
            <w:vAlign w:val="bottom"/>
            <w:shd w:val="clear" w:color="auto" w:fill="F0FFFF"/>
          </w:tcPr>
          <w:p>
            <w:pPr>
              <w:spacing w:after="0"/>
              <w:rPr>
                <w:sz w:val="18"/>
                <w:szCs w:val="18"/>
                <w:color w:val="auto"/>
              </w:rPr>
            </w:pPr>
          </w:p>
        </w:tc>
        <w:tc>
          <w:tcPr>
            <w:tcW w:w="15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60" w:type="dxa"/>
            <w:vAlign w:val="bottom"/>
            <w:shd w:val="clear" w:color="auto" w:fill="F0FF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60" w:type="dxa"/>
            <w:vAlign w:val="bottom"/>
          </w:tcPr>
          <w:p>
            <w:pPr>
              <w:spacing w:after="0"/>
              <w:rPr>
                <w:sz w:val="18"/>
                <w:szCs w:val="18"/>
                <w:color w:val="auto"/>
              </w:rPr>
            </w:pPr>
          </w:p>
        </w:tc>
      </w:tr>
      <w:tr>
        <w:trPr>
          <w:trHeight w:val="250"/>
        </w:trPr>
        <w:tc>
          <w:tcPr>
            <w:tcW w:w="4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shd w:val="clear" w:color="auto" w:fill="F0FFFF"/>
          </w:tcPr>
          <w:p>
            <w:pPr>
              <w:spacing w:after="0"/>
              <w:rPr>
                <w:sz w:val="21"/>
                <w:szCs w:val="21"/>
                <w:color w:val="auto"/>
              </w:rPr>
            </w:pPr>
          </w:p>
        </w:tc>
        <w:tc>
          <w:tcPr>
            <w:tcW w:w="15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shd w:val="clear" w:color="auto" w:fill="F0FFFF"/>
          </w:tcPr>
          <w:p>
            <w:pPr>
              <w:spacing w:after="0"/>
              <w:rPr>
                <w:sz w:val="21"/>
                <w:szCs w:val="21"/>
                <w:color w:val="auto"/>
              </w:rPr>
            </w:pPr>
          </w:p>
        </w:tc>
      </w:tr>
      <w:tr>
        <w:trPr>
          <w:trHeight w:val="203"/>
        </w:trPr>
        <w:tc>
          <w:tcPr>
            <w:tcW w:w="4700" w:type="dxa"/>
            <w:vAlign w:val="bottom"/>
            <w:tcBorders>
              <w:top w:val="single" w:sz="8" w:color="F0FF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8,580</w:t>
            </w:r>
          </w:p>
        </w:tc>
        <w:tc>
          <w:tcPr>
            <w:tcW w:w="14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10,851</w:t>
            </w:r>
          </w:p>
        </w:tc>
        <w:tc>
          <w:tcPr>
            <w:tcW w:w="2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r>
      <w:tr>
        <w:trPr>
          <w:trHeight w:val="216"/>
        </w:trPr>
        <w:tc>
          <w:tcPr>
            <w:tcW w:w="4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60" w:type="dxa"/>
            <w:vAlign w:val="bottom"/>
            <w:shd w:val="clear" w:color="auto" w:fill="F0FFFF"/>
          </w:tcPr>
          <w:p>
            <w:pPr>
              <w:spacing w:after="0"/>
              <w:rPr>
                <w:sz w:val="18"/>
                <w:szCs w:val="18"/>
                <w:color w:val="auto"/>
              </w:rPr>
            </w:pPr>
          </w:p>
        </w:tc>
        <w:tc>
          <w:tcPr>
            <w:tcW w:w="15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8,152</w:t>
            </w:r>
          </w:p>
        </w:tc>
        <w:tc>
          <w:tcPr>
            <w:tcW w:w="1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60" w:type="dxa"/>
            <w:vAlign w:val="bottom"/>
            <w:shd w:val="clear" w:color="auto" w:fill="F0FF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60" w:type="dxa"/>
            <w:vAlign w:val="bottom"/>
          </w:tcPr>
          <w:p>
            <w:pPr>
              <w:spacing w:after="0"/>
              <w:rPr>
                <w:sz w:val="18"/>
                <w:szCs w:val="18"/>
                <w:color w:val="auto"/>
              </w:rPr>
            </w:pPr>
          </w:p>
        </w:tc>
      </w:tr>
      <w:tr>
        <w:trPr>
          <w:trHeight w:val="216"/>
        </w:trPr>
        <w:tc>
          <w:tcPr>
            <w:tcW w:w="4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shd w:val="clear" w:color="auto" w:fill="F0FFFF"/>
          </w:tcPr>
          <w:p>
            <w:pPr>
              <w:spacing w:after="0"/>
              <w:rPr>
                <w:sz w:val="18"/>
                <w:szCs w:val="18"/>
                <w:color w:val="auto"/>
              </w:rPr>
            </w:pPr>
          </w:p>
        </w:tc>
        <w:tc>
          <w:tcPr>
            <w:tcW w:w="15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2,248</w:t>
            </w:r>
          </w:p>
        </w:tc>
        <w:tc>
          <w:tcPr>
            <w:tcW w:w="1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 w:type="dxa"/>
            <w:vAlign w:val="bottom"/>
            <w:shd w:val="clear" w:color="auto" w:fill="F0FF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18"/>
                <w:szCs w:val="18"/>
                <w:color w:val="auto"/>
              </w:rPr>
            </w:pPr>
          </w:p>
        </w:tc>
      </w:tr>
      <w:tr>
        <w:trPr>
          <w:trHeight w:val="250"/>
        </w:trPr>
        <w:tc>
          <w:tcPr>
            <w:tcW w:w="4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60" w:type="dxa"/>
            <w:vAlign w:val="bottom"/>
            <w:shd w:val="clear" w:color="auto" w:fill="F0FFFF"/>
          </w:tcPr>
          <w:p>
            <w:pPr>
              <w:spacing w:after="0"/>
              <w:rPr>
                <w:sz w:val="21"/>
                <w:szCs w:val="21"/>
                <w:color w:val="auto"/>
              </w:rPr>
            </w:pPr>
          </w:p>
        </w:tc>
        <w:tc>
          <w:tcPr>
            <w:tcW w:w="15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60" w:type="dxa"/>
            <w:vAlign w:val="bottom"/>
            <w:shd w:val="clear" w:color="auto" w:fill="F0FFFF"/>
          </w:tcPr>
          <w:p>
            <w:pPr>
              <w:spacing w:after="0"/>
              <w:rPr>
                <w:sz w:val="21"/>
                <w:szCs w:val="21"/>
                <w:color w:val="auto"/>
              </w:rPr>
            </w:pPr>
          </w:p>
        </w:tc>
      </w:tr>
      <w:tr>
        <w:trPr>
          <w:trHeight w:val="217"/>
        </w:trPr>
        <w:tc>
          <w:tcPr>
            <w:tcW w:w="4700" w:type="dxa"/>
            <w:vAlign w:val="bottom"/>
            <w:tcBorders>
              <w:top w:val="single" w:sz="8" w:color="F0FFFF"/>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4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20" w:type="dxa"/>
            <w:vAlign w:val="bottom"/>
            <w:tcBorders>
              <w:top w:val="single" w:sz="8" w:color="F0FFFF"/>
              <w:bottom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r>
      <w:tr>
        <w:trPr>
          <w:trHeight w:val="21"/>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aging of the recorded investment in past due loans by class of loans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Loans Past Due</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Loans Not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76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 of September 30, 2016</w:t>
            </w:r>
          </w:p>
        </w:tc>
        <w:tc>
          <w:tcPr>
            <w:tcW w:w="1280" w:type="dxa"/>
            <w:vAlign w:val="bottom"/>
            <w:gridSpan w:val="3"/>
          </w:tcPr>
          <w:p>
            <w:pPr>
              <w:jc w:val="right"/>
              <w:ind w:right="280"/>
              <w:spacing w:after="0" w:line="156" w:lineRule="exact"/>
              <w:rPr>
                <w:sz w:val="20"/>
                <w:szCs w:val="20"/>
                <w:color w:val="auto"/>
              </w:rPr>
            </w:pPr>
            <w:r>
              <w:rPr>
                <w:rFonts w:ascii="Times New Roman" w:cs="Times New Roman" w:eastAsia="Times New Roman" w:hAnsi="Times New Roman"/>
                <w:sz w:val="18"/>
                <w:szCs w:val="18"/>
                <w:b w:val="1"/>
                <w:bCs w:val="1"/>
                <w:color w:val="auto"/>
              </w:rPr>
              <w:t>30 - 59 Days</w:t>
            </w:r>
          </w:p>
        </w:tc>
        <w:tc>
          <w:tcPr>
            <w:tcW w:w="1280" w:type="dxa"/>
            <w:vAlign w:val="bottom"/>
            <w:gridSpan w:val="3"/>
          </w:tcPr>
          <w:p>
            <w:pPr>
              <w:jc w:val="right"/>
              <w:ind w:right="280"/>
              <w:spacing w:after="0" w:line="156" w:lineRule="exact"/>
              <w:rPr>
                <w:sz w:val="20"/>
                <w:szCs w:val="20"/>
                <w:color w:val="auto"/>
              </w:rPr>
            </w:pPr>
            <w:r>
              <w:rPr>
                <w:rFonts w:ascii="Times New Roman" w:cs="Times New Roman" w:eastAsia="Times New Roman" w:hAnsi="Times New Roman"/>
                <w:sz w:val="18"/>
                <w:szCs w:val="18"/>
                <w:b w:val="1"/>
                <w:bCs w:val="1"/>
                <w:color w:val="auto"/>
              </w:rPr>
              <w:t>60 - 89 Days</w:t>
            </w:r>
          </w:p>
        </w:tc>
        <w:tc>
          <w:tcPr>
            <w:tcW w:w="120" w:type="dxa"/>
            <w:vAlign w:val="bottom"/>
          </w:tcPr>
          <w:p>
            <w:pPr>
              <w:spacing w:after="0"/>
              <w:rPr>
                <w:sz w:val="15"/>
                <w:szCs w:val="15"/>
                <w:color w:val="auto"/>
              </w:rPr>
            </w:pPr>
          </w:p>
        </w:tc>
        <w:tc>
          <w:tcPr>
            <w:tcW w:w="1060" w:type="dxa"/>
            <w:vAlign w:val="bottom"/>
            <w:gridSpan w:val="2"/>
          </w:tcPr>
          <w:p>
            <w:pPr>
              <w:jc w:val="right"/>
              <w:ind w:right="280"/>
              <w:spacing w:after="0" w:line="156" w:lineRule="exact"/>
              <w:rPr>
                <w:sz w:val="20"/>
                <w:szCs w:val="20"/>
                <w:color w:val="auto"/>
              </w:rPr>
            </w:pPr>
            <w:r>
              <w:rPr>
                <w:rFonts w:ascii="Times New Roman" w:cs="Times New Roman" w:eastAsia="Times New Roman" w:hAnsi="Times New Roman"/>
                <w:sz w:val="18"/>
                <w:szCs w:val="18"/>
                <w:b w:val="1"/>
                <w:bCs w:val="1"/>
                <w:color w:val="auto"/>
              </w:rPr>
              <w:t>&gt; 90 Days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1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6"/>
              </w:rPr>
              <w:t>PCI Loans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8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40" w:type="dxa"/>
            <w:vAlign w:val="bottom"/>
            <w:gridSpan w:val="3"/>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Owner occupied commercial real</w:t>
            </w: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40" w:type="dxa"/>
            <w:vAlign w:val="bottom"/>
            <w:shd w:val="clear" w:color="auto" w:fill="F0FFFF"/>
          </w:tcPr>
          <w:p>
            <w:pPr>
              <w:spacing w:after="0"/>
              <w:rPr>
                <w:sz w:val="20"/>
                <w:szCs w:val="20"/>
                <w:color w:val="auto"/>
              </w:rPr>
            </w:pPr>
          </w:p>
        </w:tc>
        <w:tc>
          <w:tcPr>
            <w:tcW w:w="320" w:type="dxa"/>
            <w:vAlign w:val="bottom"/>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40" w:type="dxa"/>
            <w:vAlign w:val="bottom"/>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40" w:type="dxa"/>
            <w:vAlign w:val="bottom"/>
            <w:shd w:val="clear" w:color="auto" w:fill="F0FFFF"/>
          </w:tcPr>
          <w:p>
            <w:pPr>
              <w:spacing w:after="0"/>
              <w:rPr>
                <w:sz w:val="20"/>
                <w:szCs w:val="20"/>
                <w:color w:val="auto"/>
              </w:rPr>
            </w:pPr>
          </w:p>
        </w:tc>
        <w:tc>
          <w:tcPr>
            <w:tcW w:w="32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6,545</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1,486,992</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18,648</w:t>
            </w:r>
          </w:p>
        </w:tc>
        <w:tc>
          <w:tcPr>
            <w:tcW w:w="30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1,512,185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Income producing commercial real</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667</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1,079,813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678</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991,469</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994,350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383,301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24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3,941,575</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49,523</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4,000,689</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688,299</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698,356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370,864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648</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125,598</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126,468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853</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466,102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74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15,564</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29,209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6,628,356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67,545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6,725,110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gridSpan w:val="3"/>
            <w:shd w:val="clear" w:color="auto" w:fill="F0FF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 of December 31, 2015</w:t>
            </w: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8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40" w:type="dxa"/>
            <w:vAlign w:val="bottom"/>
            <w:gridSpan w:val="3"/>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Owner occupied commercial real</w:t>
            </w: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40" w:type="dxa"/>
            <w:vAlign w:val="bottom"/>
            <w:shd w:val="clear" w:color="auto" w:fill="F0FFFF"/>
          </w:tcPr>
          <w:p>
            <w:pPr>
              <w:spacing w:after="0"/>
              <w:rPr>
                <w:sz w:val="20"/>
                <w:szCs w:val="20"/>
                <w:color w:val="auto"/>
              </w:rPr>
            </w:pPr>
          </w:p>
        </w:tc>
        <w:tc>
          <w:tcPr>
            <w:tcW w:w="320" w:type="dxa"/>
            <w:vAlign w:val="bottom"/>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40" w:type="dxa"/>
            <w:vAlign w:val="bottom"/>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shd w:val="clear" w:color="auto" w:fill="F0FFFF"/>
          </w:tcPr>
          <w:p>
            <w:pPr>
              <w:spacing w:after="0"/>
              <w:rPr>
                <w:sz w:val="20"/>
                <w:szCs w:val="20"/>
                <w:color w:val="auto"/>
              </w:rPr>
            </w:pPr>
          </w:p>
        </w:tc>
        <w:tc>
          <w:tcPr>
            <w:tcW w:w="32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6,819</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1,473,473</w:t>
            </w:r>
          </w:p>
        </w:tc>
        <w:tc>
          <w:tcPr>
            <w:tcW w:w="2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13,674</w:t>
            </w:r>
          </w:p>
        </w:tc>
        <w:tc>
          <w:tcPr>
            <w:tcW w:w="300" w:type="dxa"/>
            <w:vAlign w:val="bottom"/>
            <w:gridSpan w:val="2"/>
            <w:shd w:val="clear" w:color="auto" w:fill="F0FF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1,493,966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Income producing commercial real</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794,103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858</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783,327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785,417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339,701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24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3,390,604</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44,242</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3,445,190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5,111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1,015,494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1,118</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594,525</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597,806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347,814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610</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114,262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115,111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611</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454,439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455,971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74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26,984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5,917,138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51,319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5,995,441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2016 and December 31, 2015, $5.18 million and $6.37 million, respectively, of specific reserves were allocated to customers whose loan terms have been modified in TDRs. United committed to lend additional amounts totaling up to $55,000 and $224,000 as of September 30, 2016 and December 31, 2015, respectively, to customers with outstanding loans that are classified as TDRs.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296"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information on TDRs, including the number of loan contracts restructured and the pre- and post-modification recorded investment as of the dates indicated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Pre-</w:t>
            </w:r>
          </w:p>
        </w:tc>
        <w:tc>
          <w:tcPr>
            <w:tcW w:w="12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Post-</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6"/>
              </w:rPr>
              <w:t>Pre-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Post-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Modification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Modification</w:t>
            </w:r>
          </w:p>
        </w:tc>
        <w:tc>
          <w:tcPr>
            <w:tcW w:w="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1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26,050</w:t>
            </w:r>
          </w:p>
        </w:tc>
        <w:tc>
          <w:tcPr>
            <w:tcW w:w="1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25,560</w:t>
            </w: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32,544</w:t>
            </w:r>
          </w:p>
        </w:tc>
        <w:tc>
          <w:tcPr>
            <w:tcW w:w="1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21,012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21,012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1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1,882</w:t>
            </w: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2,955</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10,785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11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50,486</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49,837</w:t>
            </w:r>
          </w:p>
        </w:tc>
        <w:tc>
          <w:tcPr>
            <w:tcW w:w="22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61,987</w:t>
            </w:r>
          </w:p>
        </w:tc>
        <w:tc>
          <w:tcPr>
            <w:tcW w:w="18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61,173</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19,036</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1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16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1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348</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32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76,924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75,396</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88,015</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86,588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Loans modified under the terms of a TDR during the three and nine months ended September 30, 2016 and 2015 are presented in the table below. In addition, the following table presents loans modified under the terms of a TDR that defaulted (became 90 days or more delinquent) during the periods presented and were initially restructured within one year prior to default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40" w:type="dxa"/>
            <w:vAlign w:val="bottom"/>
            <w:tcBorders>
              <w:bottom w:val="single" w:sz="8" w:color="auto"/>
            </w:tcBorders>
            <w:gridSpan w:val="1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New TDRs for the Three Months Ended September 30,</w:t>
            </w: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140" w:type="dxa"/>
            <w:vAlign w:val="bottom"/>
            <w:tcBorders>
              <w:bottom w:val="single" w:sz="8" w:color="auto"/>
            </w:tcBorders>
            <w:gridSpan w:val="1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New TDRs for the Nine Months Ended September 30,</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4"/>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Modified Within the</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5"/>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Modified Within the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Previous Twelve Months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Previous Twelve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76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Subsequently</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400" w:type="dxa"/>
            <w:vAlign w:val="bottom"/>
            <w:gridSpan w:val="4"/>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Months That Have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760" w:type="dxa"/>
            <w:vAlign w:val="bottom"/>
            <w:gridSpan w:val="5"/>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Defaulted during the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720" w:type="dxa"/>
            <w:vAlign w:val="bottom"/>
            <w:gridSpan w:val="6"/>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Subsequently Defaulted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176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172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during the Nine Months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320" w:type="dxa"/>
            <w:vAlign w:val="bottom"/>
            <w:gridSpan w:val="3"/>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7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35"/>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8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920" w:type="dxa"/>
            <w:vAlign w:val="bottom"/>
            <w:tcBorders>
              <w:top w:val="single" w:sz="8" w:color="auto"/>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Borders>
              <w:top w:val="single" w:sz="8" w:color="auto"/>
            </w:tcBorders>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900" w:type="dxa"/>
            <w:vAlign w:val="bottom"/>
            <w:tcBorders>
              <w:top w:val="single" w:sz="8" w:color="auto"/>
            </w:tcBorders>
            <w:gridSpan w:val="2"/>
          </w:tcPr>
          <w:p>
            <w:pPr>
              <w:jc w:val="right"/>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4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80" w:type="dxa"/>
            <w:vAlign w:val="bottom"/>
          </w:tcPr>
          <w:p>
            <w:pPr>
              <w:spacing w:after="0"/>
              <w:rPr>
                <w:sz w:val="15"/>
                <w:szCs w:val="15"/>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76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shd w:val="clear" w:color="auto" w:fill="F0FF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2,524</w:t>
            </w:r>
          </w:p>
        </w:tc>
        <w:tc>
          <w:tcPr>
            <w:tcW w:w="1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2,524</w:t>
            </w: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0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252</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76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8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construction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top w:val="single" w:sz="8" w:color="F0FFFF"/>
            </w:tcBorders>
            <w:gridSpan w:val="2"/>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commercial</w:t>
            </w: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1,073</w:t>
            </w:r>
          </w:p>
        </w:tc>
        <w:tc>
          <w:tcPr>
            <w:tcW w:w="1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1,073</w:t>
            </w:r>
          </w:p>
        </w:tc>
        <w:tc>
          <w:tcPr>
            <w:tcW w:w="16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top w:val="single" w:sz="8" w:color="F0FFFF"/>
            </w:tcBorders>
            <w:shd w:val="clear" w:color="auto" w:fill="F0FFFF"/>
          </w:tcPr>
          <w:p>
            <w:pPr>
              <w:spacing w:after="0"/>
              <w:rPr>
                <w:sz w:val="12"/>
                <w:szCs w:val="12"/>
                <w:color w:val="auto"/>
              </w:rPr>
            </w:pPr>
          </w:p>
        </w:tc>
        <w:tc>
          <w:tcPr>
            <w:tcW w:w="400" w:type="dxa"/>
            <w:vAlign w:val="bottom"/>
            <w:tcBorders>
              <w:top w:val="single" w:sz="8" w:color="auto"/>
            </w:tcBorders>
            <w:shd w:val="clear" w:color="auto" w:fill="F0FFFF"/>
          </w:tcPr>
          <w:p>
            <w:pPr>
              <w:spacing w:after="0"/>
              <w:rPr>
                <w:sz w:val="12"/>
                <w:szCs w:val="12"/>
                <w:color w:val="auto"/>
              </w:rPr>
            </w:pPr>
          </w:p>
        </w:tc>
        <w:tc>
          <w:tcPr>
            <w:tcW w:w="2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3,536</w:t>
            </w:r>
          </w:p>
        </w:tc>
        <w:tc>
          <w:tcPr>
            <w:tcW w:w="16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3,536</w:t>
            </w:r>
          </w:p>
        </w:tc>
        <w:tc>
          <w:tcPr>
            <w:tcW w:w="180" w:type="dxa"/>
            <w:vAlign w:val="bottom"/>
            <w:tcBorders>
              <w:top w:val="single" w:sz="8" w:color="F0FFFF"/>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286</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807</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3,465</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3,371</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76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76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46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Total loans</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4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8,389</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0" w:type="dxa"/>
            <w:vAlign w:val="bottom"/>
            <w:tcBorders>
              <w:top w:val="single" w:sz="8" w:color="F0FFFF"/>
              <w:bottom w:val="single" w:sz="8" w:color="F0FFFF"/>
            </w:tcBorders>
            <w:shd w:val="clear" w:color="auto" w:fill="F0FFFF"/>
          </w:tcPr>
          <w:p>
            <w:pPr>
              <w:spacing w:after="0"/>
              <w:rPr>
                <w:sz w:val="15"/>
                <w:szCs w:val="15"/>
                <w:color w:val="auto"/>
              </w:rPr>
            </w:pPr>
          </w:p>
        </w:tc>
        <w:tc>
          <w:tcPr>
            <w:tcW w:w="4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95"/>
              </w:rPr>
              <w:t>371</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8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F0FFFF"/>
            </w:tcBorders>
            <w:shd w:val="clear" w:color="auto" w:fill="F0FFFF"/>
          </w:tcPr>
          <w:p>
            <w:pPr>
              <w:spacing w:after="0"/>
              <w:rPr>
                <w:sz w:val="17"/>
                <w:szCs w:val="17"/>
                <w:color w:val="auto"/>
              </w:rPr>
            </w:pPr>
          </w:p>
        </w:tc>
        <w:tc>
          <w:tcPr>
            <w:tcW w:w="68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F0FFFF"/>
            </w:tcBorders>
            <w:shd w:val="clear" w:color="auto" w:fill="F0FFFF"/>
          </w:tcPr>
          <w:p>
            <w:pPr>
              <w:spacing w:after="0"/>
              <w:rPr>
                <w:sz w:val="17"/>
                <w:szCs w:val="17"/>
                <w:color w:val="auto"/>
              </w:rPr>
            </w:pPr>
          </w:p>
        </w:tc>
        <w:tc>
          <w:tcPr>
            <w:tcW w:w="70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F0FFFF"/>
            </w:tcBorders>
            <w:shd w:val="clear" w:color="auto" w:fill="F0FFFF"/>
          </w:tcPr>
          <w:p>
            <w:pPr>
              <w:spacing w:after="0"/>
              <w:rPr>
                <w:sz w:val="17"/>
                <w:szCs w:val="17"/>
                <w:color w:val="auto"/>
              </w:rPr>
            </w:pPr>
          </w:p>
        </w:tc>
        <w:tc>
          <w:tcPr>
            <w:tcW w:w="70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F0FFFF"/>
            </w:tcBorders>
            <w:shd w:val="clear" w:color="auto" w:fill="F0FFFF"/>
          </w:tcPr>
          <w:p>
            <w:pPr>
              <w:spacing w:after="0"/>
              <w:rPr>
                <w:sz w:val="17"/>
                <w:szCs w:val="17"/>
                <w:color w:val="auto"/>
              </w:rPr>
            </w:pPr>
          </w:p>
        </w:tc>
        <w:tc>
          <w:tcPr>
            <w:tcW w:w="68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tcBorders>
            <w:shd w:val="clear" w:color="auto" w:fill="F0FFFF"/>
          </w:tcPr>
          <w:p>
            <w:pPr>
              <w:spacing w:after="0"/>
              <w:rPr>
                <w:sz w:val="17"/>
                <w:szCs w:val="17"/>
                <w:color w:val="auto"/>
              </w:rPr>
            </w:pPr>
          </w:p>
        </w:tc>
        <w:tc>
          <w:tcPr>
            <w:tcW w:w="400" w:type="dxa"/>
            <w:vAlign w:val="bottom"/>
            <w:tcBorders>
              <w:bottom w:val="single" w:sz="8" w:color="F0FFFF"/>
            </w:tcBorders>
            <w:shd w:val="clear" w:color="auto" w:fill="F0FFFF"/>
          </w:tcPr>
          <w:p>
            <w:pPr>
              <w:spacing w:after="0"/>
              <w:rPr>
                <w:sz w:val="17"/>
                <w:szCs w:val="17"/>
                <w:color w:val="auto"/>
              </w:rPr>
            </w:pPr>
          </w:p>
        </w:tc>
        <w:tc>
          <w:tcPr>
            <w:tcW w:w="28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F0FFFF"/>
            </w:tcBorders>
            <w:shd w:val="clear" w:color="auto" w:fill="F0FFFF"/>
          </w:tcPr>
          <w:p>
            <w:pPr>
              <w:spacing w:after="0"/>
              <w:rPr>
                <w:sz w:val="17"/>
                <w:szCs w:val="17"/>
                <w:color w:val="auto"/>
              </w:rPr>
            </w:pPr>
          </w:p>
        </w:tc>
        <w:tc>
          <w:tcPr>
            <w:tcW w:w="68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F0FFFF"/>
            </w:tcBorders>
            <w:shd w:val="clear" w:color="auto" w:fill="F0FFFF"/>
          </w:tcPr>
          <w:p>
            <w:pPr>
              <w:spacing w:after="0"/>
              <w:rPr>
                <w:sz w:val="17"/>
                <w:szCs w:val="17"/>
                <w:color w:val="auto"/>
              </w:rPr>
            </w:pPr>
          </w:p>
        </w:tc>
        <w:tc>
          <w:tcPr>
            <w:tcW w:w="70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68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66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tcBorders>
            <w:shd w:val="clear" w:color="auto" w:fill="F0FFFF"/>
          </w:tcPr>
          <w:p>
            <w:pPr>
              <w:spacing w:after="0"/>
              <w:rPr>
                <w:sz w:val="17"/>
                <w:szCs w:val="17"/>
                <w:color w:val="auto"/>
              </w:rPr>
            </w:pPr>
          </w:p>
        </w:tc>
        <w:tc>
          <w:tcPr>
            <w:tcW w:w="20" w:type="dxa"/>
            <w:vAlign w:val="bottom"/>
            <w:tcBorders>
              <w:bottom w:val="single" w:sz="8" w:color="F0FFFF"/>
            </w:tcBorders>
            <w:shd w:val="clear" w:color="auto" w:fill="F0FFFF"/>
          </w:tcPr>
          <w:p>
            <w:pPr>
              <w:spacing w:after="0"/>
              <w:rPr>
                <w:sz w:val="17"/>
                <w:szCs w:val="17"/>
                <w:color w:val="auto"/>
              </w:rPr>
            </w:pPr>
          </w:p>
        </w:tc>
        <w:tc>
          <w:tcPr>
            <w:tcW w:w="48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667</w:t>
            </w:r>
          </w:p>
        </w:tc>
        <w:tc>
          <w:tcPr>
            <w:tcW w:w="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666</w:t>
            </w: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1"/>
                <w:szCs w:val="11"/>
                <w:color w:val="auto"/>
              </w:rPr>
            </w:pPr>
          </w:p>
        </w:tc>
        <w:tc>
          <w:tcPr>
            <w:tcW w:w="4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178</w:t>
            </w:r>
          </w:p>
        </w:tc>
        <w:tc>
          <w:tcPr>
            <w:tcW w:w="84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13,204</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4"/>
                <w:szCs w:val="14"/>
                <w:color w:val="auto"/>
              </w:rPr>
              <w:t>13,159</w:t>
            </w:r>
          </w:p>
        </w:tc>
        <w:tc>
          <w:tcPr>
            <w:tcW w:w="90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4"/>
                <w:szCs w:val="14"/>
                <w:color w:val="auto"/>
              </w:rPr>
              <w:t>1</w:t>
            </w:r>
          </w:p>
        </w:tc>
        <w:tc>
          <w:tcPr>
            <w:tcW w:w="5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5"/>
              </w:rPr>
              <w:t>178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76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1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1,203</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1,203</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4"/>
                <w:szCs w:val="14"/>
                <w:color w:val="auto"/>
              </w:rPr>
              <w:t>Commercial construction</w:t>
            </w:r>
          </w:p>
        </w:tc>
        <w:tc>
          <w:tcPr>
            <w:tcW w:w="7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5"/>
                <w:szCs w:val="15"/>
                <w:color w:val="auto"/>
              </w:rPr>
            </w:pPr>
          </w:p>
        </w:tc>
        <w:tc>
          <w:tcPr>
            <w:tcW w:w="400" w:type="dxa"/>
            <w:vAlign w:val="bottom"/>
            <w:shd w:val="clear" w:color="auto" w:fill="F0FFFF"/>
          </w:tcPr>
          <w:p>
            <w:pPr>
              <w:spacing w:after="0"/>
              <w:rPr>
                <w:sz w:val="15"/>
                <w:szCs w:val="15"/>
                <w:color w:val="auto"/>
              </w:rPr>
            </w:pPr>
          </w:p>
        </w:tc>
        <w:tc>
          <w:tcPr>
            <w:tcW w:w="4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8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2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top w:val="single" w:sz="8" w:color="F0FFFF"/>
            </w:tcBorders>
            <w:gridSpan w:val="2"/>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commercial</w:t>
            </w: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690</w:t>
            </w:r>
          </w:p>
        </w:tc>
        <w:tc>
          <w:tcPr>
            <w:tcW w:w="16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689</w:t>
            </w:r>
          </w:p>
        </w:tc>
        <w:tc>
          <w:tcPr>
            <w:tcW w:w="160" w:type="dxa"/>
            <w:vAlign w:val="bottom"/>
            <w:tcBorders>
              <w:top w:val="single" w:sz="8" w:color="F0FFFF"/>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top w:val="single" w:sz="8" w:color="F0FF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178</w:t>
            </w:r>
          </w:p>
        </w:tc>
        <w:tc>
          <w:tcPr>
            <w:tcW w:w="160" w:type="dxa"/>
            <w:vAlign w:val="bottom"/>
            <w:tcBorders>
              <w:top w:val="single" w:sz="8" w:color="F0FFFF"/>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14,950</w:t>
            </w:r>
          </w:p>
        </w:tc>
        <w:tc>
          <w:tcPr>
            <w:tcW w:w="16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14,905</w:t>
            </w:r>
          </w:p>
        </w:tc>
        <w:tc>
          <w:tcPr>
            <w:tcW w:w="180" w:type="dxa"/>
            <w:vAlign w:val="bottom"/>
            <w:tcBorders>
              <w:top w:val="single" w:sz="8" w:color="F0FFFF"/>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95"/>
              </w:rPr>
              <w:t>178</w:t>
            </w:r>
          </w:p>
        </w:tc>
        <w:tc>
          <w:tcPr>
            <w:tcW w:w="10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76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3,060</w:t>
            </w:r>
          </w:p>
        </w:tc>
        <w:tc>
          <w:tcPr>
            <w:tcW w:w="10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3,060</w:t>
            </w: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760" w:type="dxa"/>
            <w:vAlign w:val="bottom"/>
            <w:gridSpan w:val="2"/>
            <w:shd w:val="clear" w:color="auto" w:fill="F0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1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4"/>
                <w:szCs w:val="14"/>
                <w:color w:val="auto"/>
              </w:rPr>
              <w:t>Indirect auto</w:t>
            </w:r>
          </w:p>
        </w:tc>
        <w:tc>
          <w:tcPr>
            <w:tcW w:w="7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0FFFF"/>
          </w:tcPr>
          <w:p>
            <w:pPr>
              <w:spacing w:after="0"/>
              <w:rPr>
                <w:sz w:val="15"/>
                <w:szCs w:val="15"/>
                <w:color w:val="auto"/>
              </w:rPr>
            </w:pPr>
          </w:p>
        </w:tc>
        <w:tc>
          <w:tcPr>
            <w:tcW w:w="400" w:type="dxa"/>
            <w:vAlign w:val="bottom"/>
            <w:shd w:val="clear" w:color="auto" w:fill="F0FFFF"/>
          </w:tcPr>
          <w:p>
            <w:pPr>
              <w:spacing w:after="0"/>
              <w:rPr>
                <w:sz w:val="15"/>
                <w:szCs w:val="15"/>
                <w:color w:val="auto"/>
              </w:rPr>
            </w:pPr>
          </w:p>
        </w:tc>
        <w:tc>
          <w:tcPr>
            <w:tcW w:w="4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2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top w:val="single" w:sz="8" w:color="F0FFFF"/>
            </w:tcBorders>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loans</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2,034</w:t>
            </w:r>
          </w:p>
        </w:tc>
        <w:tc>
          <w:tcPr>
            <w:tcW w:w="16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w:t>
            </w:r>
          </w:p>
        </w:tc>
        <w:tc>
          <w:tcPr>
            <w:tcW w:w="160" w:type="dxa"/>
            <w:vAlign w:val="bottom"/>
            <w:tcBorders>
              <w:top w:val="single" w:sz="8" w:color="F0FF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top w:val="single" w:sz="8" w:color="F0FFFF"/>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160" w:type="dxa"/>
            <w:vAlign w:val="bottom"/>
            <w:tcBorders>
              <w:top w:val="single" w:sz="8" w:color="F0FF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6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18,689</w:t>
            </w:r>
          </w:p>
        </w:tc>
        <w:tc>
          <w:tcPr>
            <w:tcW w:w="16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18,611</w:t>
            </w:r>
          </w:p>
        </w:tc>
        <w:tc>
          <w:tcPr>
            <w:tcW w:w="180" w:type="dxa"/>
            <w:vAlign w:val="bottom"/>
            <w:tcBorders>
              <w:top w:val="single" w:sz="8" w:color="F0FF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208</w:t>
            </w:r>
          </w:p>
        </w:tc>
        <w:tc>
          <w:tcPr>
            <w:tcW w:w="10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TDRs that subsequently default and are placed on nonaccrual are charged down to the fair value of the collateral consistent with United’s policy for nonaccrual loans.</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Watch. </w:t>
      </w:r>
      <w:r>
        <w:rPr>
          <w:rFonts w:ascii="Times New Roman" w:cs="Times New Roman" w:eastAsia="Times New Roman" w:hAnsi="Times New Roman"/>
          <w:sz w:val="18"/>
          <w:szCs w:val="18"/>
          <w:color w:val="auto"/>
        </w:rPr>
        <w:t>Loans in this category are presently protected from apparent loss; however, weaknesses exist that could cause future impairment,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reliable secondary source of full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 off.</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Consumer Purpose Loans. </w:t>
      </w:r>
      <w:r>
        <w:rPr>
          <w:rFonts w:ascii="Times New Roman" w:cs="Times New Roman" w:eastAsia="Times New Roman" w:hAnsi="Times New Roman"/>
          <w:sz w:val="18"/>
          <w:szCs w:val="18"/>
          <w:color w:val="auto"/>
        </w:rPr>
        <w:t>United applies a pass / fail grading system to all consumer purpose loans. Under the pass / fail grading system, consumer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that become past due 90 days or are in bankruptcy are classified as “fail” and all other loans are classified as “pass”. For reporting purposes, consumer purpose loans classified as “fail” are reported in the substandard column and all other consumer purpose loans are reported in the “pass” column.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Based on the most recent analysis performed, the risk category of loans by class of loans as of the dates indicated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Watch </w:t>
            </w:r>
            <w:r>
              <w:rPr>
                <w:rFonts w:ascii="Times New Roman" w:cs="Times New Roman" w:eastAsia="Times New Roman" w:hAnsi="Times New Roman"/>
                <w:sz w:val="30"/>
                <w:szCs w:val="30"/>
                <w:b w:val="1"/>
                <w:bCs w:val="1"/>
                <w:color w:val="auto"/>
                <w:vertAlign w:val="superscript"/>
              </w:rPr>
              <w:t>(1)</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Doubtful /</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September 30, 2016</w:t>
            </w:r>
          </w:p>
        </w:tc>
        <w:tc>
          <w:tcPr>
            <w:tcW w:w="300" w:type="dxa"/>
            <w:vAlign w:val="bottom"/>
          </w:tcPr>
          <w:p>
            <w:pPr>
              <w:spacing w:after="0"/>
              <w:rPr>
                <w:sz w:val="17"/>
                <w:szCs w:val="17"/>
                <w:color w:val="auto"/>
              </w:rPr>
            </w:pPr>
          </w:p>
        </w:tc>
        <w:tc>
          <w:tcPr>
            <w:tcW w:w="132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b w:val="1"/>
                <w:bCs w:val="1"/>
                <w:color w:val="auto"/>
              </w:rPr>
              <w:t>Pass</w:t>
            </w:r>
          </w:p>
        </w:tc>
        <w:tc>
          <w:tcPr>
            <w:tcW w:w="2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Substandard</w:t>
            </w:r>
          </w:p>
        </w:tc>
        <w:tc>
          <w:tcPr>
            <w:tcW w:w="1060" w:type="dxa"/>
            <w:vAlign w:val="bottom"/>
          </w:tcPr>
          <w:p>
            <w:pPr>
              <w:jc w:val="right"/>
              <w:ind w:right="134"/>
              <w:spacing w:after="0" w:line="182" w:lineRule="exact"/>
              <w:rPr>
                <w:sz w:val="20"/>
                <w:szCs w:val="20"/>
                <w:color w:val="auto"/>
              </w:rPr>
            </w:pPr>
            <w:r>
              <w:rPr>
                <w:rFonts w:ascii="Times New Roman" w:cs="Times New Roman" w:eastAsia="Times New Roman" w:hAnsi="Times New Roman"/>
                <w:sz w:val="18"/>
                <w:szCs w:val="18"/>
                <w:b w:val="1"/>
                <w:bCs w:val="1"/>
                <w:color w:val="auto"/>
              </w:rPr>
              <w:t>Loss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8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300" w:type="dxa"/>
            <w:vAlign w:val="bottom"/>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1,443,160</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19,613</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30,764</w:t>
            </w:r>
          </w:p>
        </w:tc>
        <w:tc>
          <w:tcPr>
            <w:tcW w:w="1060" w:type="dxa"/>
            <w:vAlign w:val="bottom"/>
            <w:shd w:val="clear" w:color="auto" w:fill="F0FF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1,493,537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2,622</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23,269</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978,008</w:t>
            </w:r>
          </w:p>
        </w:tc>
        <w:tc>
          <w:tcPr>
            <w:tcW w:w="22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5,007</w:t>
            </w: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10,288</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993,303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381,336</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3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3,857,273</w:t>
            </w: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28,575</w:t>
            </w:r>
          </w:p>
        </w:tc>
        <w:tc>
          <w:tcPr>
            <w:tcW w:w="24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2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65,318</w:t>
            </w:r>
          </w:p>
        </w:tc>
        <w:tc>
          <w:tcPr>
            <w:tcW w:w="220" w:type="dxa"/>
            <w:vAlign w:val="bottom"/>
            <w:tcBorders>
              <w:top w:val="single" w:sz="8" w:color="F0FFFF"/>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3,951,166</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7,470</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33,801</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685,670</w:t>
            </w: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5,272</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690,968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359,126</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4,871</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9,828</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125,540</w:t>
            </w: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757</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126,297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463,186</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2,908</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466,094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54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 excluding PCI loans</w:t>
            </w:r>
          </w:p>
        </w:tc>
        <w:tc>
          <w:tcPr>
            <w:tcW w:w="300" w:type="dxa"/>
            <w:vAlign w:val="bottom"/>
            <w:tcBorders>
              <w:top w:val="single" w:sz="8" w:color="auto"/>
              <w:bottom w:val="single" w:sz="8" w:color="auto"/>
            </w:tcBorders>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6,498,739</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40,942</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117,884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60" w:type="dxa"/>
            <w:vAlign w:val="bottom"/>
            <w:tcBorders>
              <w:top w:val="single" w:sz="8" w:color="auto"/>
              <w:bottom w:val="single" w:sz="8" w:color="auto"/>
            </w:tcBorders>
            <w:shd w:val="clear" w:color="auto" w:fill="F0FF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6,657,565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300" w:type="dxa"/>
            <w:vAlign w:val="bottom"/>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3,379</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13,058</w:t>
            </w:r>
          </w:p>
        </w:tc>
        <w:tc>
          <w:tcPr>
            <w:tcW w:w="1060" w:type="dxa"/>
            <w:vAlign w:val="bottom"/>
            <w:shd w:val="clear" w:color="auto" w:fill="F0FF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12,667</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10,028</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838</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1,594</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3,302</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3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24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2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220" w:type="dxa"/>
            <w:vAlign w:val="bottom"/>
            <w:tcBorders>
              <w:top w:val="single" w:sz="8" w:color="F0FFFF"/>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49,523</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4,563</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6,419</w:t>
            </w: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969</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2,588</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54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PCI loans</w:t>
            </w:r>
          </w:p>
        </w:tc>
        <w:tc>
          <w:tcPr>
            <w:tcW w:w="300" w:type="dxa"/>
            <w:vAlign w:val="bottom"/>
            <w:tcBorders>
              <w:top w:val="single" w:sz="8" w:color="auto"/>
              <w:bottom w:val="single" w:sz="8" w:color="auto"/>
            </w:tcBorders>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60" w:type="dxa"/>
            <w:vAlign w:val="bottom"/>
            <w:tcBorders>
              <w:top w:val="single" w:sz="8" w:color="auto"/>
              <w:bottom w:val="single" w:sz="8" w:color="auto"/>
            </w:tcBorders>
            <w:shd w:val="clear" w:color="auto" w:fill="F0FF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67,545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40" w:type="dxa"/>
            <w:vAlign w:val="bottom"/>
            <w:gridSpan w:val="3"/>
            <w:shd w:val="clear" w:color="auto" w:fill="F0FF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 of December 31, 2015</w:t>
            </w:r>
          </w:p>
        </w:tc>
        <w:tc>
          <w:tcPr>
            <w:tcW w:w="30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0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108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6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0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300" w:type="dxa"/>
            <w:vAlign w:val="bottom"/>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1,414,353</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24,175</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41,764</w:t>
            </w:r>
          </w:p>
        </w:tc>
        <w:tc>
          <w:tcPr>
            <w:tcW w:w="1060" w:type="dxa"/>
            <w:vAlign w:val="bottom"/>
            <w:shd w:val="clear" w:color="auto" w:fill="F0FF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1,480,292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771,792</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4,151</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20,015</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770,287</w:t>
            </w:r>
          </w:p>
        </w:tc>
        <w:tc>
          <w:tcPr>
            <w:tcW w:w="22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8,171</w:t>
            </w: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6,304</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784,762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335,571</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3,069</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1,296</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3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3,292,003</w:t>
            </w: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39,566</w:t>
            </w:r>
          </w:p>
        </w:tc>
        <w:tc>
          <w:tcPr>
            <w:tcW w:w="24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2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69,379</w:t>
            </w:r>
          </w:p>
        </w:tc>
        <w:tc>
          <w:tcPr>
            <w:tcW w:w="220" w:type="dxa"/>
            <w:vAlign w:val="bottom"/>
            <w:tcBorders>
              <w:top w:val="single" w:sz="8" w:color="F0FFFF"/>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3,400,948</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985,109</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5,070</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35,308</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589,749</w:t>
            </w: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6,345</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596,118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335,341</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3,813</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11,423</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114,178</w:t>
            </w: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892</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115,070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453,935</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1,987</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455,922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54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loans, excluding PCI loans</w:t>
            </w:r>
          </w:p>
        </w:tc>
        <w:tc>
          <w:tcPr>
            <w:tcW w:w="300" w:type="dxa"/>
            <w:vAlign w:val="bottom"/>
            <w:tcBorders>
              <w:top w:val="single" w:sz="8" w:color="auto"/>
              <w:bottom w:val="single" w:sz="8" w:color="auto"/>
            </w:tcBorders>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5,770,315</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48,473</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125,334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60" w:type="dxa"/>
            <w:vAlign w:val="bottom"/>
            <w:tcBorders>
              <w:top w:val="single" w:sz="8" w:color="auto"/>
              <w:bottom w:val="single" w:sz="8" w:color="auto"/>
            </w:tcBorders>
            <w:shd w:val="clear" w:color="auto" w:fill="F0FF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5,944,122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300" w:type="dxa"/>
            <w:vAlign w:val="bottom"/>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6,705</w:t>
            </w:r>
          </w:p>
        </w:tc>
        <w:tc>
          <w:tcPr>
            <w:tcW w:w="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4,809</w:t>
            </w:r>
          </w:p>
        </w:tc>
        <w:tc>
          <w:tcPr>
            <w:tcW w:w="1060" w:type="dxa"/>
            <w:vAlign w:val="bottom"/>
            <w:shd w:val="clear" w:color="auto" w:fill="F0FF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349</w:t>
            </w:r>
          </w:p>
        </w:tc>
        <w:tc>
          <w:tcPr>
            <w:tcW w:w="280" w:type="dxa"/>
            <w:vAlign w:val="bottom"/>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9,378</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5,766</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12,627</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1,698</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commercial</w:t>
            </w:r>
          </w:p>
        </w:tc>
        <w:tc>
          <w:tcPr>
            <w:tcW w:w="3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24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2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220" w:type="dxa"/>
            <w:vAlign w:val="bottom"/>
            <w:tcBorders>
              <w:top w:val="single" w:sz="8" w:color="F0FFFF"/>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6"/>
              </w:rPr>
              <w:t>399</w:t>
            </w:r>
          </w:p>
        </w:tc>
        <w:tc>
          <w:tcPr>
            <w:tcW w:w="2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44,242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3,766</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1,474</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0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512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3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06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54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Total PCI loans</w:t>
            </w:r>
          </w:p>
        </w:tc>
        <w:tc>
          <w:tcPr>
            <w:tcW w:w="300" w:type="dxa"/>
            <w:vAlign w:val="bottom"/>
            <w:tcBorders>
              <w:top w:val="single" w:sz="8" w:color="auto"/>
              <w:bottom w:val="single" w:sz="8" w:color="auto"/>
            </w:tcBorders>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23,935</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60" w:type="dxa"/>
            <w:vAlign w:val="bottom"/>
            <w:tcBorders>
              <w:top w:val="single" w:sz="8" w:color="auto"/>
              <w:bottom w:val="single" w:sz="8" w:color="auto"/>
            </w:tcBorders>
            <w:shd w:val="clear" w:color="auto" w:fill="F0FF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6"/>
              </w:rPr>
              <w:t>911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51,319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0" w:firstLine="8"/>
        <w:spacing w:after="0" w:line="213" w:lineRule="auto"/>
        <w:tabs>
          <w:tab w:leader="none" w:pos="22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Residential mortgage loans and home equity loans reported in the watch column are generally commercial purpose loans secured by the borrower's residence.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026"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Reclassifications Out of Accumulated Other Comprehensive Income</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presents the details regarding amounts reclassified out of accumulated other comprehensive income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Details about Accumulated Other</w:t>
      </w:r>
    </w:p>
    <w:p>
      <w:pPr>
        <w:spacing w:after="0" w:line="4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Comprehensive Income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7553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75535" cy="1714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Realized gains on available-for-sale securities: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Amounts Reclassified from Accumulated Other</w:t>
      </w:r>
    </w:p>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Comprehensive Income</w:t>
      </w:r>
    </w:p>
    <w:tbl>
      <w:tblPr>
        <w:tblLayout w:type="fixed"/>
        <w:tblInd w:w="0" w:type="dxa"/>
        <w:tblCellMar>
          <w:top w:w="0" w:type="dxa"/>
          <w:left w:w="0" w:type="dxa"/>
          <w:bottom w:w="0" w:type="dxa"/>
          <w:right w:w="0" w:type="dxa"/>
        </w:tblCellMar>
      </w:tblPr>
      <w:tr>
        <w:trPr>
          <w:trHeight w:val="131"/>
        </w:trPr>
        <w:tc>
          <w:tcPr>
            <w:tcW w:w="240" w:type="dxa"/>
            <w:vAlign w:val="bottom"/>
            <w:tcBorders>
              <w:top w:val="single" w:sz="8" w:color="auto"/>
            </w:tcBorders>
          </w:tcPr>
          <w:p>
            <w:pPr>
              <w:spacing w:after="0"/>
              <w:rPr>
                <w:sz w:val="11"/>
                <w:szCs w:val="11"/>
                <w:color w:val="auto"/>
              </w:rPr>
            </w:pPr>
          </w:p>
        </w:tc>
        <w:tc>
          <w:tcPr>
            <w:tcW w:w="2340" w:type="dxa"/>
            <w:vAlign w:val="bottom"/>
            <w:tcBorders>
              <w:top w:val="single" w:sz="8" w:color="auto"/>
            </w:tcBorders>
            <w:gridSpan w:val="5"/>
          </w:tcPr>
          <w:p>
            <w:pPr>
              <w:jc w:val="right"/>
              <w:ind w:right="660"/>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3"/>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For the Nine Months</w:t>
            </w: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Affected Line Item in the Statement</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23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Where Net Income is Presented</w:t>
            </w:r>
          </w:p>
        </w:tc>
        <w:tc>
          <w:tcPr>
            <w:tcW w:w="0" w:type="dxa"/>
            <w:vAlign w:val="bottom"/>
          </w:tcPr>
          <w:p>
            <w:pPr>
              <w:spacing w:after="0"/>
              <w:rPr>
                <w:sz w:val="1"/>
                <w:szCs w:val="1"/>
                <w:color w:val="auto"/>
              </w:rPr>
            </w:pPr>
          </w:p>
        </w:tc>
      </w:tr>
      <w:tr>
        <w:trPr>
          <w:trHeight w:val="423"/>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325</w:t>
            </w:r>
          </w:p>
        </w:tc>
        <w:tc>
          <w:tcPr>
            <w:tcW w:w="3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760" w:type="dxa"/>
            <w:vAlign w:val="bottom"/>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1,877</w:t>
            </w:r>
          </w:p>
        </w:tc>
        <w:tc>
          <w:tcPr>
            <w:tcW w:w="20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Securities gains, net</w:t>
            </w: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(101)</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(348)</w:t>
            </w:r>
          </w:p>
        </w:tc>
        <w:tc>
          <w:tcPr>
            <w:tcW w:w="760" w:type="dxa"/>
            <w:vAlign w:val="bottom"/>
          </w:tcPr>
          <w:p>
            <w:pPr>
              <w:spacing w:after="0"/>
              <w:rPr>
                <w:sz w:val="16"/>
                <w:szCs w:val="16"/>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(724)</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Tax expense</w:t>
            </w:r>
          </w:p>
        </w:tc>
        <w:tc>
          <w:tcPr>
            <w:tcW w:w="0" w:type="dxa"/>
            <w:vAlign w:val="bottom"/>
          </w:tcPr>
          <w:p>
            <w:pPr>
              <w:spacing w:after="0"/>
              <w:rPr>
                <w:sz w:val="1"/>
                <w:szCs w:val="1"/>
                <w:color w:val="auto"/>
              </w:rPr>
            </w:pPr>
          </w:p>
        </w:tc>
      </w:tr>
      <w:tr>
        <w:trPr>
          <w:trHeight w:val="162"/>
        </w:trPr>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2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Net of tax</w:t>
            </w: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-445135</wp:posOffset>
            </wp:positionV>
            <wp:extent cx="724662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-256540</wp:posOffset>
            </wp:positionV>
            <wp:extent cx="7246620" cy="111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-16510</wp:posOffset>
            </wp:positionV>
            <wp:extent cx="7246620" cy="111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120" w:space="720"/>
            <w:col w:w="7580"/>
          </w:cols>
          <w:pgMar w:left="240" w:top="90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Amortization of losses included in net income on available-for-sale securities transferred to held to maturity:</w:t>
      </w:r>
    </w:p>
    <w:tbl>
      <w:tblPr>
        <w:tblLayout w:type="fixed"/>
        <w:tblInd w:w="0" w:type="dxa"/>
        <w:tblCellMar>
          <w:top w:w="0" w:type="dxa"/>
          <w:left w:w="0" w:type="dxa"/>
          <w:bottom w:w="0" w:type="dxa"/>
          <w:right w:w="0" w:type="dxa"/>
        </w:tblCellMar>
      </w:tblPr>
      <w:tr>
        <w:trPr>
          <w:trHeight w:val="159"/>
        </w:trPr>
        <w:tc>
          <w:tcPr>
            <w:tcW w:w="4300" w:type="dxa"/>
            <w:vAlign w:val="bottom"/>
            <w:gridSpan w:val="2"/>
            <w:shd w:val="clear" w:color="auto" w:fill="F0FFFF"/>
          </w:tcPr>
          <w:p>
            <w:pPr>
              <w:jc w:val="right"/>
              <w:ind w:right="308"/>
              <w:spacing w:after="0" w:line="15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F0FFFF"/>
          </w:tcPr>
          <w:p>
            <w:pPr>
              <w:jc w:val="right"/>
              <w:ind w:right="88"/>
              <w:spacing w:after="0" w:line="159" w:lineRule="exact"/>
              <w:rPr>
                <w:sz w:val="20"/>
                <w:szCs w:val="20"/>
                <w:color w:val="auto"/>
              </w:rPr>
            </w:pPr>
            <w:r>
              <w:rPr>
                <w:rFonts w:ascii="Times New Roman" w:cs="Times New Roman" w:eastAsia="Times New Roman" w:hAnsi="Times New Roman"/>
                <w:sz w:val="14"/>
                <w:szCs w:val="14"/>
                <w:color w:val="auto"/>
              </w:rPr>
              <w:t>(663)</w:t>
            </w:r>
          </w:p>
        </w:tc>
        <w:tc>
          <w:tcPr>
            <w:tcW w:w="460" w:type="dxa"/>
            <w:vAlign w:val="bottom"/>
            <w:shd w:val="clear" w:color="auto" w:fill="F0FFFF"/>
          </w:tcPr>
          <w:p>
            <w:pPr>
              <w:jc w:val="right"/>
              <w:ind w:right="308"/>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F0FFFF"/>
          </w:tcPr>
          <w:p>
            <w:pPr>
              <w:jc w:val="right"/>
              <w:ind w:right="39"/>
              <w:spacing w:after="0" w:line="159" w:lineRule="exact"/>
              <w:rPr>
                <w:sz w:val="20"/>
                <w:szCs w:val="20"/>
                <w:color w:val="auto"/>
              </w:rPr>
            </w:pPr>
            <w:r>
              <w:rPr>
                <w:rFonts w:ascii="Times New Roman" w:cs="Times New Roman" w:eastAsia="Times New Roman" w:hAnsi="Times New Roman"/>
                <w:sz w:val="14"/>
                <w:szCs w:val="14"/>
                <w:color w:val="auto"/>
              </w:rPr>
              <w:t>(269)</w:t>
            </w:r>
          </w:p>
        </w:tc>
        <w:tc>
          <w:tcPr>
            <w:tcW w:w="500" w:type="dxa"/>
            <w:vAlign w:val="bottom"/>
            <w:gridSpan w:val="2"/>
            <w:shd w:val="clear" w:color="auto" w:fill="F0FFFF"/>
          </w:tcPr>
          <w:p>
            <w:pPr>
              <w:jc w:val="right"/>
              <w:ind w:right="268"/>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F0FFFF"/>
          </w:tcPr>
          <w:p>
            <w:pPr>
              <w:jc w:val="right"/>
              <w:ind w:right="139"/>
              <w:spacing w:after="0" w:line="159" w:lineRule="exact"/>
              <w:rPr>
                <w:sz w:val="20"/>
                <w:szCs w:val="20"/>
                <w:color w:val="auto"/>
              </w:rPr>
            </w:pPr>
            <w:r>
              <w:rPr>
                <w:rFonts w:ascii="Times New Roman" w:cs="Times New Roman" w:eastAsia="Times New Roman" w:hAnsi="Times New Roman"/>
                <w:sz w:val="14"/>
                <w:szCs w:val="14"/>
                <w:color w:val="auto"/>
              </w:rPr>
              <w:t>(1,601)</w:t>
            </w:r>
          </w:p>
        </w:tc>
        <w:tc>
          <w:tcPr>
            <w:tcW w:w="420" w:type="dxa"/>
            <w:vAlign w:val="bottom"/>
            <w:shd w:val="clear" w:color="auto" w:fill="F0FF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F0FFFF"/>
          </w:tcPr>
          <w:p>
            <w:pPr>
              <w:jc w:val="right"/>
              <w:ind w:right="8"/>
              <w:spacing w:after="0" w:line="159" w:lineRule="exact"/>
              <w:rPr>
                <w:sz w:val="20"/>
                <w:szCs w:val="20"/>
                <w:color w:val="auto"/>
              </w:rPr>
            </w:pPr>
            <w:r>
              <w:rPr>
                <w:rFonts w:ascii="Times New Roman" w:cs="Times New Roman" w:eastAsia="Times New Roman" w:hAnsi="Times New Roman"/>
                <w:sz w:val="14"/>
                <w:szCs w:val="14"/>
                <w:color w:val="auto"/>
              </w:rPr>
              <w:t>(1,041)</w:t>
            </w:r>
          </w:p>
        </w:tc>
        <w:tc>
          <w:tcPr>
            <w:tcW w:w="2300" w:type="dxa"/>
            <w:vAlign w:val="bottom"/>
            <w:shd w:val="clear" w:color="auto" w:fill="F0FFFF"/>
          </w:tcPr>
          <w:p>
            <w:pPr>
              <w:ind w:left="80"/>
              <w:spacing w:after="0" w:line="159" w:lineRule="exact"/>
              <w:rPr>
                <w:sz w:val="20"/>
                <w:szCs w:val="20"/>
                <w:color w:val="auto"/>
              </w:rPr>
            </w:pPr>
            <w:r>
              <w:rPr>
                <w:rFonts w:ascii="Times New Roman" w:cs="Times New Roman" w:eastAsia="Times New Roman" w:hAnsi="Times New Roman"/>
                <w:sz w:val="14"/>
                <w:szCs w:val="14"/>
                <w:color w:val="auto"/>
              </w:rPr>
              <w:t>Investment securities interest revenue</w:t>
            </w:r>
          </w:p>
        </w:tc>
      </w:tr>
      <w:tr>
        <w:trPr>
          <w:trHeight w:val="169"/>
        </w:trPr>
        <w:tc>
          <w:tcPr>
            <w:tcW w:w="3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596</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4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benefit</w:t>
            </w:r>
          </w:p>
        </w:tc>
      </w:tr>
      <w:tr>
        <w:trPr>
          <w:trHeight w:val="187"/>
        </w:trPr>
        <w:tc>
          <w:tcPr>
            <w:tcW w:w="3840" w:type="dxa"/>
            <w:vAlign w:val="bottom"/>
            <w:tcBorders>
              <w:top w:val="single" w:sz="8" w:color="F0FFFF"/>
              <w:bottom w:val="single" w:sz="8" w:color="F0FFFF"/>
            </w:tcBorders>
            <w:shd w:val="clear" w:color="auto" w:fill="F0FFFF"/>
          </w:tcPr>
          <w:p>
            <w:pPr>
              <w:spacing w:after="0"/>
              <w:rPr>
                <w:sz w:val="15"/>
                <w:szCs w:val="15"/>
                <w:color w:val="auto"/>
              </w:rPr>
            </w:pPr>
          </w:p>
        </w:tc>
        <w:tc>
          <w:tcPr>
            <w:tcW w:w="460" w:type="dxa"/>
            <w:vAlign w:val="bottom"/>
            <w:tcBorders>
              <w:top w:val="single" w:sz="8" w:color="auto"/>
              <w:bottom w:val="single" w:sz="8" w:color="auto"/>
            </w:tcBorders>
            <w:shd w:val="clear" w:color="auto" w:fill="F0FF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220" w:type="dxa"/>
            <w:vAlign w:val="bottom"/>
            <w:tcBorders>
              <w:top w:val="single" w:sz="8" w:color="F0FFFF"/>
              <w:bottom w:val="single" w:sz="8" w:color="F0FFFF"/>
            </w:tcBorders>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460" w:type="dxa"/>
            <w:vAlign w:val="bottom"/>
            <w:tcBorders>
              <w:top w:val="single" w:sz="8" w:color="auto"/>
              <w:bottom w:val="single" w:sz="8" w:color="auto"/>
            </w:tcBorders>
            <w:shd w:val="clear" w:color="auto" w:fill="F0FF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Borders>
              <w:top w:val="single" w:sz="8" w:color="F0FFFF"/>
              <w:bottom w:val="single" w:sz="8" w:color="F0FFFF"/>
            </w:tcBorders>
            <w:shd w:val="clear" w:color="auto" w:fill="F0FF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420" w:type="dxa"/>
            <w:vAlign w:val="bottom"/>
            <w:tcBorders>
              <w:top w:val="single" w:sz="8" w:color="auto"/>
              <w:bottom w:val="single" w:sz="8" w:color="auto"/>
            </w:tcBorders>
            <w:shd w:val="clear" w:color="auto" w:fill="F0FF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220" w:type="dxa"/>
            <w:vAlign w:val="bottom"/>
            <w:tcBorders>
              <w:top w:val="single" w:sz="8" w:color="F0FFFF"/>
              <w:bottom w:val="single" w:sz="8" w:color="F0FFFF"/>
            </w:tcBorders>
            <w:shd w:val="clear" w:color="auto" w:fill="F0FF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Borders>
              <w:top w:val="single" w:sz="8" w:color="auto"/>
              <w:bottom w:val="single" w:sz="8" w:color="auto"/>
            </w:tcBorders>
            <w:shd w:val="clear" w:color="auto" w:fill="F0FF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40" w:type="dxa"/>
            <w:vAlign w:val="bottom"/>
            <w:tcBorders>
              <w:top w:val="single" w:sz="8" w:color="F0FFFF"/>
              <w:bottom w:val="single" w:sz="8" w:color="F0FFFF"/>
            </w:tcBorders>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2300" w:type="dxa"/>
            <w:vAlign w:val="bottom"/>
            <w:tcBorders>
              <w:top w:val="single" w:sz="8" w:color="F0FFFF"/>
              <w:bottom w:val="single" w:sz="8" w:color="F0FFFF"/>
            </w:tcBorders>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Net of tax</w:t>
            </w:r>
          </w:p>
        </w:tc>
      </w:tr>
      <w:tr>
        <w:trPr>
          <w:trHeight w:val="20"/>
        </w:trPr>
        <w:tc>
          <w:tcPr>
            <w:tcW w:w="384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300" w:type="dxa"/>
            <w:vAlign w:val="bottom"/>
            <w:tcBorders>
              <w:top w:val="single" w:sz="8" w:color="F0FFFF"/>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42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5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Gains included in net income on derivative financial instruments accounted for as cash flow hedges: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97"/>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losses on de-designated positions</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(15)</w:t>
            </w:r>
          </w:p>
        </w:tc>
        <w:tc>
          <w:tcPr>
            <w:tcW w:w="420" w:type="dxa"/>
            <w:vAlign w:val="bottom"/>
            <w:gridSpan w:val="2"/>
          </w:tcPr>
          <w:p>
            <w:pPr>
              <w:jc w:val="right"/>
              <w:ind w:right="283"/>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losses on de-designated positions</w:t>
            </w:r>
          </w:p>
        </w:tc>
        <w:tc>
          <w:tcPr>
            <w:tcW w:w="460" w:type="dxa"/>
            <w:vAlign w:val="bottom"/>
          </w:tcPr>
          <w:p>
            <w:pPr>
              <w:spacing w:after="0"/>
              <w:rPr>
                <w:sz w:val="24"/>
                <w:szCs w:val="24"/>
                <w:color w:val="auto"/>
              </w:rPr>
            </w:pP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(153)</w:t>
            </w:r>
          </w:p>
        </w:tc>
        <w:tc>
          <w:tcPr>
            <w:tcW w:w="720" w:type="dxa"/>
            <w:vAlign w:val="bottom"/>
          </w:tcPr>
          <w:p>
            <w:pPr>
              <w:spacing w:after="0"/>
              <w:rPr>
                <w:sz w:val="24"/>
                <w:szCs w:val="24"/>
                <w:color w:val="auto"/>
              </w:rPr>
            </w:pPr>
          </w:p>
        </w:tc>
        <w:tc>
          <w:tcPr>
            <w:tcW w:w="6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(237)</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(495)</w:t>
            </w:r>
          </w:p>
        </w:tc>
        <w:tc>
          <w:tcPr>
            <w:tcW w:w="140" w:type="dxa"/>
            <w:vAlign w:val="bottom"/>
          </w:tcPr>
          <w:p>
            <w:pPr>
              <w:spacing w:after="0"/>
              <w:rPr>
                <w:sz w:val="24"/>
                <w:szCs w:val="24"/>
                <w:color w:val="auto"/>
              </w:rPr>
            </w:pPr>
          </w:p>
        </w:tc>
      </w:tr>
      <w:tr>
        <w:trPr>
          <w:trHeight w:val="301"/>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losses on de-designated positions</w:t>
            </w:r>
          </w:p>
        </w:tc>
        <w:tc>
          <w:tcPr>
            <w:tcW w:w="460" w:type="dxa"/>
            <w:vAlign w:val="bottom"/>
          </w:tcPr>
          <w:p>
            <w:pPr>
              <w:spacing w:after="0"/>
              <w:rPr>
                <w:sz w:val="24"/>
                <w:szCs w:val="24"/>
                <w:color w:val="auto"/>
              </w:rPr>
            </w:pP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(313)</w:t>
            </w:r>
          </w:p>
        </w:tc>
        <w:tc>
          <w:tcPr>
            <w:tcW w:w="720" w:type="dxa"/>
            <w:vAlign w:val="bottom"/>
          </w:tcPr>
          <w:p>
            <w:pPr>
              <w:spacing w:after="0"/>
              <w:rPr>
                <w:sz w:val="24"/>
                <w:szCs w:val="24"/>
                <w:color w:val="auto"/>
              </w:rPr>
            </w:pPr>
          </w:p>
        </w:tc>
        <w:tc>
          <w:tcPr>
            <w:tcW w:w="6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(298)</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(924)</w:t>
            </w:r>
          </w:p>
        </w:tc>
        <w:tc>
          <w:tcPr>
            <w:tcW w:w="140" w:type="dxa"/>
            <w:vAlign w:val="bottom"/>
          </w:tcPr>
          <w:p>
            <w:pPr>
              <w:spacing w:after="0"/>
              <w:rPr>
                <w:sz w:val="24"/>
                <w:szCs w:val="24"/>
                <w:color w:val="auto"/>
              </w:rPr>
            </w:pPr>
          </w:p>
        </w:tc>
      </w:tr>
      <w:tr>
        <w:trPr>
          <w:trHeight w:val="139"/>
        </w:trPr>
        <w:tc>
          <w:tcPr>
            <w:tcW w:w="38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(466)</w:t>
            </w: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(550)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(1,426)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8"/>
        </w:trPr>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38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-1036955</wp:posOffset>
            </wp:positionV>
            <wp:extent cx="724662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2466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246620"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Deposits in banks and short-term</w:t>
      </w:r>
    </w:p>
    <w:p>
      <w:pPr>
        <w:spacing w:after="0" w:line="4" w:lineRule="exact"/>
        <w:rPr>
          <w:sz w:val="20"/>
          <w:szCs w:val="20"/>
          <w:color w:val="auto"/>
        </w:rPr>
      </w:pPr>
    </w:p>
    <w:p>
      <w:pPr>
        <w:ind w:left="580" w:right="460" w:hanging="403"/>
        <w:spacing w:after="0" w:line="221" w:lineRule="auto"/>
        <w:tabs>
          <w:tab w:leader="none" w:pos="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interest revenue Money market deposit interest</w:t>
      </w:r>
    </w:p>
    <w:p>
      <w:pPr>
        <w:ind w:left="580" w:hanging="475"/>
        <w:spacing w:after="0" w:line="222" w:lineRule="auto"/>
        <w:tabs>
          <w:tab w:leader="none" w:pos="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w:t>
      </w:r>
    </w:p>
    <w:p>
      <w:pPr>
        <w:ind w:left="58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Home Loan Bank advances</w:t>
      </w:r>
    </w:p>
    <w:p>
      <w:pPr>
        <w:ind w:left="100"/>
        <w:spacing w:after="0"/>
        <w:tabs>
          <w:tab w:leader="none" w:pos="560" w:val="left"/>
        </w:tabs>
        <w:rPr>
          <w:sz w:val="20"/>
          <w:szCs w:val="20"/>
          <w:color w:val="auto"/>
        </w:rPr>
      </w:pPr>
      <w:r>
        <w:rPr>
          <w:rFonts w:ascii="Times New Roman" w:cs="Times New Roman" w:eastAsia="Times New Roman" w:hAnsi="Times New Roman"/>
          <w:sz w:val="14"/>
          <w:szCs w:val="14"/>
          <w:color w:val="auto"/>
        </w:rPr>
        <w:t>(835)</w:t>
        <w:tab/>
        <w:t>interest expense</w:t>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(1,430)</w:t>
        <w:tab/>
        <w:t>Total before tax</w:t>
      </w:r>
    </w:p>
    <w:p>
      <w:pPr>
        <w:ind w:left="100" w:right="1560" w:firstLine="53"/>
        <w:spacing w:after="0" w:line="186" w:lineRule="auto"/>
        <w:tabs>
          <w:tab w:leader="none" w:pos="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Tax benefit </w:t>
      </w:r>
      <w:r>
        <w:rPr>
          <w:rFonts w:ascii="Times New Roman" w:cs="Times New Roman" w:eastAsia="Times New Roman" w:hAnsi="Times New Roman"/>
          <w:sz w:val="28"/>
          <w:szCs w:val="28"/>
          <w:color w:val="auto"/>
          <w:vertAlign w:val="subscript"/>
        </w:rPr>
        <w:t>(874</w:t>
      </w:r>
      <w:r>
        <w:rPr>
          <w:rFonts w:ascii="Times New Roman" w:cs="Times New Roman" w:eastAsia="Times New Roman" w:hAnsi="Times New Roman"/>
          <w:sz w:val="14"/>
          <w:szCs w:val="14"/>
          <w:color w:val="auto"/>
        </w:rPr>
        <w:t>)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15240</wp:posOffset>
            </wp:positionV>
            <wp:extent cx="7200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7920" w:space="700"/>
            <w:col w:w="280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0" w:type="dxa"/>
            <w:vAlign w:val="bottom"/>
            <w:gridSpan w:val="9"/>
            <w:shd w:val="clear" w:color="auto" w:fill="F0FFFF"/>
          </w:tcPr>
          <w:p>
            <w:pPr>
              <w:spacing w:after="0"/>
              <w:rPr>
                <w:sz w:val="20"/>
                <w:szCs w:val="20"/>
                <w:color w:val="auto"/>
              </w:rPr>
            </w:pPr>
            <w:r>
              <w:rPr>
                <w:rFonts w:ascii="Times New Roman" w:cs="Times New Roman" w:eastAsia="Times New Roman" w:hAnsi="Times New Roman"/>
                <w:sz w:val="14"/>
                <w:szCs w:val="14"/>
                <w:color w:val="auto"/>
              </w:rPr>
              <w:t>Amortization of prior service cost and actuarial losses included in net periodic pension cost for defined benefit pension plan:</w:t>
            </w:r>
          </w:p>
        </w:tc>
        <w:tc>
          <w:tcPr>
            <w:tcW w:w="42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230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Prior service cost</w:t>
            </w:r>
          </w:p>
        </w:tc>
        <w:tc>
          <w:tcPr>
            <w:tcW w:w="4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(125)</w:t>
            </w:r>
          </w:p>
        </w:tc>
        <w:tc>
          <w:tcPr>
            <w:tcW w:w="4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(91)</w:t>
            </w:r>
          </w:p>
        </w:tc>
        <w:tc>
          <w:tcPr>
            <w:tcW w:w="80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(375)</w:t>
            </w:r>
          </w:p>
        </w:tc>
        <w:tc>
          <w:tcPr>
            <w:tcW w:w="460" w:type="dxa"/>
            <w:vAlign w:val="bottom"/>
            <w:vMerge w:val="restart"/>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(274)</w:t>
            </w:r>
          </w:p>
        </w:tc>
        <w:tc>
          <w:tcPr>
            <w:tcW w:w="23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expense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20" w:type="dxa"/>
            <w:vAlign w:val="bottom"/>
            <w:shd w:val="clear" w:color="auto" w:fill="F0FFFF"/>
          </w:tcPr>
          <w:p>
            <w:pPr>
              <w:spacing w:after="0"/>
              <w:rPr>
                <w:sz w:val="10"/>
                <w:szCs w:val="10"/>
                <w:color w:val="auto"/>
              </w:rPr>
            </w:pPr>
          </w:p>
        </w:tc>
        <w:tc>
          <w:tcPr>
            <w:tcW w:w="46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46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42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46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2300" w:type="dxa"/>
            <w:vAlign w:val="bottom"/>
            <w:shd w:val="clear" w:color="auto" w:fill="F0FFFF"/>
          </w:tcPr>
          <w:p>
            <w:pPr>
              <w:ind w:left="80"/>
              <w:spacing w:after="0" w:line="126"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2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Actuarial losses</w:t>
            </w:r>
          </w:p>
        </w:tc>
        <w:tc>
          <w:tcPr>
            <w:tcW w:w="46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rPr>
              <w:t>(42)</w:t>
            </w:r>
          </w:p>
        </w:tc>
        <w:tc>
          <w:tcPr>
            <w:tcW w:w="46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39"/>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640" w:type="dxa"/>
            <w:vAlign w:val="bottom"/>
            <w:gridSpan w:val="2"/>
            <w:shd w:val="clear" w:color="auto" w:fill="F0FFFF"/>
          </w:tcPr>
          <w:p>
            <w:pPr>
              <w:jc w:val="right"/>
              <w:ind w:right="139"/>
              <w:spacing w:after="0"/>
              <w:rPr>
                <w:sz w:val="20"/>
                <w:szCs w:val="20"/>
                <w:color w:val="auto"/>
              </w:rPr>
            </w:pPr>
            <w:r>
              <w:rPr>
                <w:rFonts w:ascii="Times New Roman" w:cs="Times New Roman" w:eastAsia="Times New Roman" w:hAnsi="Times New Roman"/>
                <w:sz w:val="14"/>
                <w:szCs w:val="14"/>
                <w:color w:val="auto"/>
              </w:rPr>
              <w:t>(126)</w:t>
            </w:r>
          </w:p>
        </w:tc>
        <w:tc>
          <w:tcPr>
            <w:tcW w:w="460" w:type="dxa"/>
            <w:vAlign w:val="bottom"/>
            <w:shd w:val="clear" w:color="auto" w:fill="F0FFFF"/>
          </w:tcPr>
          <w:p>
            <w:pPr>
              <w:spacing w:after="0"/>
              <w:rPr>
                <w:sz w:val="17"/>
                <w:szCs w:val="17"/>
                <w:color w:val="auto"/>
              </w:rPr>
            </w:pPr>
          </w:p>
        </w:tc>
        <w:tc>
          <w:tcPr>
            <w:tcW w:w="800" w:type="dxa"/>
            <w:vAlign w:val="bottom"/>
            <w:gridSpan w:val="2"/>
            <w:shd w:val="clear" w:color="auto" w:fill="F0FFFF"/>
          </w:tcPr>
          <w:p>
            <w:pPr>
              <w:ind w:left="400"/>
              <w:spacing w:after="0"/>
              <w:rPr>
                <w:sz w:val="20"/>
                <w:szCs w:val="20"/>
                <w:color w:val="auto"/>
              </w:rPr>
            </w:pPr>
            <w:r>
              <w:rPr>
                <w:rFonts w:ascii="Times New Roman" w:cs="Times New Roman" w:eastAsia="Times New Roman" w:hAnsi="Times New Roman"/>
                <w:sz w:val="14"/>
                <w:szCs w:val="14"/>
                <w:color w:val="auto"/>
              </w:rPr>
              <w:t>(204)</w:t>
            </w:r>
          </w:p>
        </w:tc>
        <w:tc>
          <w:tcPr>
            <w:tcW w:w="230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expense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20" w:type="dxa"/>
            <w:vAlign w:val="bottom"/>
            <w:tcBorders>
              <w:top w:val="single" w:sz="8" w:color="F0FF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(167)</w:t>
            </w:r>
          </w:p>
        </w:tc>
        <w:tc>
          <w:tcPr>
            <w:tcW w:w="220" w:type="dxa"/>
            <w:vAlign w:val="bottom"/>
            <w:tcBorders>
              <w:top w:val="single" w:sz="8" w:color="F0FF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(159)</w:t>
            </w: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(501)</w:t>
            </w:r>
          </w:p>
        </w:tc>
        <w:tc>
          <w:tcPr>
            <w:tcW w:w="220" w:type="dxa"/>
            <w:vAlign w:val="bottom"/>
            <w:tcBorders>
              <w:top w:val="single" w:sz="8" w:color="F0FF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w w:val="78"/>
              </w:rPr>
              <w:t>(478)</w:t>
            </w:r>
          </w:p>
        </w:tc>
        <w:tc>
          <w:tcPr>
            <w:tcW w:w="140" w:type="dxa"/>
            <w:vAlign w:val="bottom"/>
            <w:tcBorders>
              <w:top w:val="single" w:sz="8" w:color="F0FFFF"/>
            </w:tcBorders>
          </w:tcPr>
          <w:p>
            <w:pPr>
              <w:spacing w:after="0"/>
              <w:rPr>
                <w:sz w:val="11"/>
                <w:szCs w:val="11"/>
                <w:color w:val="auto"/>
              </w:rPr>
            </w:pPr>
          </w:p>
        </w:tc>
        <w:tc>
          <w:tcPr>
            <w:tcW w:w="2300" w:type="dxa"/>
            <w:vAlign w:val="bottom"/>
            <w:tcBorders>
              <w:top w:val="single" w:sz="8" w:color="F0FFFF"/>
            </w:tcBorders>
          </w:tcPr>
          <w:p>
            <w:pPr>
              <w:ind w:left="80"/>
              <w:spacing w:after="0" w:line="136" w:lineRule="exact"/>
              <w:rPr>
                <w:sz w:val="20"/>
                <w:szCs w:val="20"/>
                <w:color w:val="auto"/>
              </w:rPr>
            </w:pPr>
            <w:r>
              <w:rPr>
                <w:rFonts w:ascii="Times New Roman" w:cs="Times New Roman" w:eastAsia="Times New Roman" w:hAnsi="Times New Roman"/>
                <w:sz w:val="14"/>
                <w:szCs w:val="14"/>
                <w:color w:val="auto"/>
              </w:rPr>
              <w:t>Total before tax</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F0FFFF"/>
          </w:tcPr>
          <w:p>
            <w:pPr>
              <w:spacing w:after="0"/>
              <w:rPr>
                <w:sz w:val="15"/>
                <w:szCs w:val="15"/>
                <w:color w:val="auto"/>
              </w:rPr>
            </w:pPr>
          </w:p>
        </w:tc>
        <w:tc>
          <w:tcPr>
            <w:tcW w:w="460" w:type="dxa"/>
            <w:vAlign w:val="bottom"/>
            <w:shd w:val="clear" w:color="auto" w:fill="F0FFFF"/>
          </w:tcPr>
          <w:p>
            <w:pPr>
              <w:spacing w:after="0"/>
              <w:rPr>
                <w:sz w:val="15"/>
                <w:szCs w:val="15"/>
                <w:color w:val="auto"/>
              </w:rPr>
            </w:pPr>
          </w:p>
        </w:tc>
        <w:tc>
          <w:tcPr>
            <w:tcW w:w="6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shd w:val="clear" w:color="auto" w:fill="F0FFFF"/>
          </w:tcPr>
          <w:p>
            <w:pPr>
              <w:spacing w:after="0"/>
              <w:rPr>
                <w:sz w:val="15"/>
                <w:szCs w:val="15"/>
                <w:color w:val="auto"/>
              </w:rPr>
            </w:pPr>
          </w:p>
        </w:tc>
        <w:tc>
          <w:tcPr>
            <w:tcW w:w="46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79"/>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640" w:type="dxa"/>
            <w:vAlign w:val="bottom"/>
            <w:gridSpan w:val="2"/>
            <w:shd w:val="clear" w:color="auto" w:fill="F0FFFF"/>
          </w:tcPr>
          <w:p>
            <w:pPr>
              <w:jc w:val="right"/>
              <w:ind w:right="179"/>
              <w:spacing w:after="0"/>
              <w:rPr>
                <w:sz w:val="20"/>
                <w:szCs w:val="20"/>
                <w:color w:val="auto"/>
              </w:rPr>
            </w:pPr>
            <w:r>
              <w:rPr>
                <w:rFonts w:ascii="Times New Roman" w:cs="Times New Roman" w:eastAsia="Times New Roman" w:hAnsi="Times New Roman"/>
                <w:sz w:val="14"/>
                <w:szCs w:val="14"/>
                <w:color w:val="auto"/>
              </w:rPr>
              <w:t>195</w:t>
            </w:r>
          </w:p>
        </w:tc>
        <w:tc>
          <w:tcPr>
            <w:tcW w:w="460" w:type="dxa"/>
            <w:vAlign w:val="bottom"/>
            <w:shd w:val="clear" w:color="auto" w:fill="F0FFFF"/>
          </w:tcPr>
          <w:p>
            <w:pPr>
              <w:spacing w:after="0"/>
              <w:rPr>
                <w:sz w:val="15"/>
                <w:szCs w:val="15"/>
                <w:color w:val="auto"/>
              </w:rPr>
            </w:pPr>
          </w:p>
        </w:tc>
        <w:tc>
          <w:tcPr>
            <w:tcW w:w="660" w:type="dxa"/>
            <w:vAlign w:val="bottom"/>
            <w:shd w:val="clear" w:color="auto" w:fill="F0FFFF"/>
          </w:tcPr>
          <w:p>
            <w:pPr>
              <w:ind w:left="460"/>
              <w:spacing w:after="0"/>
              <w:rPr>
                <w:sz w:val="20"/>
                <w:szCs w:val="20"/>
                <w:color w:val="auto"/>
              </w:rPr>
            </w:pPr>
            <w:r>
              <w:rPr>
                <w:rFonts w:ascii="Times New Roman" w:cs="Times New Roman" w:eastAsia="Times New Roman" w:hAnsi="Times New Roman"/>
                <w:sz w:val="14"/>
                <w:szCs w:val="14"/>
                <w:color w:val="auto"/>
                <w:w w:val="85"/>
              </w:rPr>
              <w:t>186</w:t>
            </w:r>
          </w:p>
        </w:tc>
        <w:tc>
          <w:tcPr>
            <w:tcW w:w="140" w:type="dxa"/>
            <w:vAlign w:val="bottom"/>
            <w:shd w:val="clear" w:color="auto" w:fill="F0FFFF"/>
          </w:tcPr>
          <w:p>
            <w:pPr>
              <w:spacing w:after="0"/>
              <w:rPr>
                <w:sz w:val="15"/>
                <w:szCs w:val="15"/>
                <w:color w:val="auto"/>
              </w:rPr>
            </w:pPr>
          </w:p>
        </w:tc>
        <w:tc>
          <w:tcPr>
            <w:tcW w:w="2300" w:type="dxa"/>
            <w:vAlign w:val="bottom"/>
            <w:shd w:val="clear" w:color="auto" w:fill="F0FFFF"/>
          </w:tcPr>
          <w:p>
            <w:pPr>
              <w:ind w:left="80"/>
              <w:spacing w:after="0"/>
              <w:rPr>
                <w:sz w:val="20"/>
                <w:szCs w:val="20"/>
                <w:color w:val="auto"/>
              </w:rPr>
            </w:pPr>
            <w:r>
              <w:rPr>
                <w:rFonts w:ascii="Times New Roman" w:cs="Times New Roman" w:eastAsia="Times New Roman" w:hAnsi="Times New Roman"/>
                <w:sz w:val="14"/>
                <w:szCs w:val="14"/>
                <w:color w:val="auto"/>
              </w:rPr>
              <w:t>Tax benefit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Borders>
              <w:top w:val="single" w:sz="8" w:color="F0FF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20" w:type="dxa"/>
            <w:vAlign w:val="bottom"/>
            <w:tcBorders>
              <w:top w:val="single" w:sz="8" w:color="F0FFFF"/>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460" w:type="dxa"/>
            <w:vAlign w:val="bottom"/>
            <w:tcBorders>
              <w:top w:val="single" w:sz="8" w:color="auto"/>
              <w:bottom w:val="single" w:sz="8" w:color="auto"/>
            </w:tcBorders>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top w:val="single" w:sz="8" w:color="F0FF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F0FF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20" w:type="dxa"/>
            <w:vAlign w:val="bottom"/>
            <w:tcBorders>
              <w:top w:val="single" w:sz="8" w:color="F0FF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ind w:left="400"/>
              <w:spacing w:after="0" w:line="149" w:lineRule="exact"/>
              <w:rPr>
                <w:sz w:val="20"/>
                <w:szCs w:val="20"/>
                <w:color w:val="auto"/>
              </w:rPr>
            </w:pPr>
            <w:r>
              <w:rPr>
                <w:rFonts w:ascii="Times New Roman" w:cs="Times New Roman" w:eastAsia="Times New Roman" w:hAnsi="Times New Roman"/>
                <w:sz w:val="14"/>
                <w:szCs w:val="14"/>
                <w:color w:val="auto"/>
                <w:w w:val="93"/>
              </w:rPr>
              <w:t>(292</w:t>
            </w:r>
          </w:p>
        </w:tc>
        <w:tc>
          <w:tcPr>
            <w:tcW w:w="140" w:type="dxa"/>
            <w:vAlign w:val="bottom"/>
            <w:tcBorders>
              <w:top w:val="single" w:sz="8" w:color="F0FFFF"/>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300" w:type="dxa"/>
            <w:vAlign w:val="bottom"/>
            <w:tcBorders>
              <w:top w:val="single" w:sz="8" w:color="F0FF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bottom w:val="single" w:sz="8" w:color="F0FF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3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82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3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Total reclassifications for the period</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88"/>
              <w:spacing w:after="0" w:line="176" w:lineRule="exact"/>
              <w:rPr>
                <w:sz w:val="20"/>
                <w:szCs w:val="20"/>
                <w:color w:val="auto"/>
              </w:rPr>
            </w:pPr>
            <w:r>
              <w:rPr>
                <w:rFonts w:ascii="Times New Roman" w:cs="Times New Roman" w:eastAsia="Times New Roman" w:hAnsi="Times New Roman"/>
                <w:sz w:val="12"/>
                <w:szCs w:val="12"/>
                <w:color w:val="auto"/>
              </w:rPr>
              <w:t>(653</w:t>
            </w:r>
            <w:r>
              <w:rPr>
                <w:rFonts w:ascii="Times New Roman" w:cs="Times New Roman" w:eastAsia="Times New Roman" w:hAnsi="Times New Roman"/>
                <w:sz w:val="20"/>
                <w:szCs w:val="20"/>
                <w:color w:val="auto"/>
                <w:vertAlign w:val="superscript"/>
              </w:rPr>
              <w:t>)</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39"/>
              <w:spacing w:after="0" w:line="176" w:lineRule="exact"/>
              <w:rPr>
                <w:sz w:val="20"/>
                <w:szCs w:val="20"/>
                <w:color w:val="auto"/>
              </w:rPr>
            </w:pPr>
            <w:r>
              <w:rPr>
                <w:rFonts w:ascii="Times New Roman" w:cs="Times New Roman" w:eastAsia="Times New Roman" w:hAnsi="Times New Roman"/>
                <w:sz w:val="12"/>
                <w:szCs w:val="12"/>
                <w:color w:val="auto"/>
              </w:rPr>
              <w:t>(399</w:t>
            </w:r>
            <w:r>
              <w:rPr>
                <w:rFonts w:ascii="Times New Roman" w:cs="Times New Roman" w:eastAsia="Times New Roman" w:hAnsi="Times New Roman"/>
                <w:sz w:val="20"/>
                <w:szCs w:val="20"/>
                <w:color w:val="auto"/>
                <w:vertAlign w:val="superscript"/>
              </w:rPr>
              <w:t>)</w:t>
            </w:r>
          </w:p>
        </w:tc>
        <w:tc>
          <w:tcPr>
            <w:tcW w:w="80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39"/>
              <w:spacing w:after="0" w:line="176" w:lineRule="exact"/>
              <w:rPr>
                <w:sz w:val="20"/>
                <w:szCs w:val="20"/>
                <w:color w:val="auto"/>
              </w:rPr>
            </w:pPr>
            <w:r>
              <w:rPr>
                <w:rFonts w:ascii="Times New Roman" w:cs="Times New Roman" w:eastAsia="Times New Roman" w:hAnsi="Times New Roman"/>
                <w:sz w:val="12"/>
                <w:szCs w:val="12"/>
                <w:color w:val="auto"/>
              </w:rPr>
              <w:t>(1,608</w:t>
            </w:r>
            <w:r>
              <w:rPr>
                <w:rFonts w:ascii="Times New Roman" w:cs="Times New Roman" w:eastAsia="Times New Roman" w:hAnsi="Times New Roman"/>
                <w:sz w:val="20"/>
                <w:szCs w:val="20"/>
                <w:color w:val="auto"/>
                <w:vertAlign w:val="superscript"/>
              </w:rPr>
              <w:t>)</w:t>
            </w:r>
          </w:p>
        </w:tc>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ind w:left="400"/>
              <w:spacing w:after="0" w:line="176" w:lineRule="exact"/>
              <w:rPr>
                <w:sz w:val="20"/>
                <w:szCs w:val="20"/>
                <w:color w:val="auto"/>
              </w:rPr>
            </w:pPr>
            <w:r>
              <w:rPr>
                <w:rFonts w:ascii="Times New Roman" w:cs="Times New Roman" w:eastAsia="Times New Roman" w:hAnsi="Times New Roman"/>
                <w:sz w:val="12"/>
                <w:szCs w:val="12"/>
                <w:color w:val="auto"/>
              </w:rPr>
              <w:t>(667</w:t>
            </w:r>
            <w:r>
              <w:rPr>
                <w:rFonts w:ascii="Times New Roman" w:cs="Times New Roman" w:eastAsia="Times New Roman" w:hAnsi="Times New Roman"/>
                <w:sz w:val="20"/>
                <w:szCs w:val="20"/>
                <w:color w:val="auto"/>
                <w:vertAlign w:val="superscript"/>
              </w:rPr>
              <w:t>)</w:t>
            </w:r>
          </w:p>
        </w:tc>
        <w:tc>
          <w:tcPr>
            <w:tcW w:w="2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bottom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3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82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3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Amounts shown above in parentheses reduce earnings</w:t>
            </w: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2016, United accrued dividends of $21,000 on its Series H preferred stock. The Series H preferred stock was redeemed in the first quarter of 2016; accordingly, United did not accrue any dividends for the third quarter of 2016. The preferred stock dividends were subtracted from net income in order to arrive at net income available to common shareholders. During the three and nine months ended September 30, 2015, United accrued dividends of $25,000 and $42,000, respectively, on its Series H preferred stock.</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earnings per share for the periods indicated </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2015</w:t>
            </w:r>
          </w:p>
        </w:tc>
        <w:tc>
          <w:tcPr>
            <w:tcW w:w="2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36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600" w:type="dxa"/>
            <w:vAlign w:val="bottom"/>
            <w:gridSpan w:val="2"/>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640" w:type="dxa"/>
            <w:vAlign w:val="bottom"/>
            <w:gridSpan w:val="2"/>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460" w:type="dxa"/>
            <w:vAlign w:val="bottom"/>
            <w:gridSpan w:val="2"/>
            <w:shd w:val="clear" w:color="auto" w:fill="F0FF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73,414</w:t>
            </w:r>
          </w:p>
        </w:tc>
        <w:tc>
          <w:tcPr>
            <w:tcW w:w="460" w:type="dxa"/>
            <w:vAlign w:val="bottom"/>
            <w:gridSpan w:val="2"/>
            <w:shd w:val="clear" w:color="auto" w:fill="F0FF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53,328</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Borders>
              <w:bottom w:val="single" w:sz="8" w:color="F0FFFF"/>
            </w:tcBorders>
          </w:tcPr>
          <w:p>
            <w:pPr>
              <w:ind w:left="30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tcBorders>
              <w:bottom w:val="single" w:sz="8" w:color="F0FF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F0FF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660" w:type="dxa"/>
            <w:vAlign w:val="bottom"/>
            <w:tcBorders>
              <w:bottom w:val="single" w:sz="8" w:color="F0FFFF"/>
            </w:tcBorders>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spacing w:after="0"/>
              <w:rPr>
                <w:sz w:val="21"/>
                <w:szCs w:val="21"/>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71,561</w:t>
            </w:r>
          </w:p>
        </w:tc>
        <w:tc>
          <w:tcPr>
            <w:tcW w:w="18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auto"/>
            </w:tcBorders>
            <w:shd w:val="clear" w:color="auto" w:fill="F0FFFF"/>
          </w:tcPr>
          <w:p>
            <w:pPr>
              <w:spacing w:after="0"/>
              <w:rPr>
                <w:sz w:val="21"/>
                <w:szCs w:val="21"/>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66,300</w:t>
            </w:r>
          </w:p>
        </w:tc>
        <w:tc>
          <w:tcPr>
            <w:tcW w:w="2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71,996</w:t>
            </w:r>
          </w:p>
        </w:tc>
        <w:tc>
          <w:tcPr>
            <w:tcW w:w="2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63,302</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3660" w:type="dxa"/>
            <w:vAlign w:val="bottom"/>
            <w:tcBorders>
              <w:bottom w:val="single" w:sz="8" w:color="F0FFFF"/>
            </w:tcBorders>
            <w:shd w:val="clear" w:color="auto" w:fill="F0FF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bottom w:val="single" w:sz="8" w:color="F0FFFF"/>
            </w:tcBorders>
            <w:shd w:val="clear" w:color="auto" w:fill="F0FFFF"/>
          </w:tcPr>
          <w:p>
            <w:pPr>
              <w:spacing w:after="0"/>
              <w:rPr>
                <w:sz w:val="20"/>
                <w:szCs w:val="20"/>
                <w:color w:val="auto"/>
              </w:rPr>
            </w:pPr>
          </w:p>
        </w:tc>
        <w:tc>
          <w:tcPr>
            <w:tcW w:w="460" w:type="dxa"/>
            <w:vAlign w:val="bottom"/>
            <w:tcBorders>
              <w:bottom w:val="single" w:sz="8" w:color="auto"/>
            </w:tcBorders>
            <w:shd w:val="clear" w:color="auto" w:fill="F0FF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2016, United had the following potentially dilutive stock options and warrants outstanding: a warrant to purchase 219,909 shares of common stock at $61.40 per share; 185,688 shares of common stock issuable upon exercise of stock options granted to employees with a weighted average exercise price of $77.63; and 674,862 shares of common stock issuable upon completion of vesting of restricted stock unit awards.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2015, United had the following potentially dilutive stock options and warrants outstanding: a warrant to purchase 219,909 shares of common stock at $61.40 per share; 255,229 shares of common stock issuable upon exercise of stock options granted to employees with a weighted average exercise price of $90.10; and 735,280 shares of common stock issuable upon completion of vesting of restricted stock unit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its known or expected cash payments principally related to loans, investment securities, wholesale borrowings and deposits.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fair value of derivative financial instruments as of the dates indicated as well as their classification on the consolidated balance sheet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 under ASC 815</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6"/>
          </w:tcPr>
          <w:p>
            <w:pPr>
              <w:ind w:left="10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Interest Rate Products</w:t>
            </w:r>
          </w:p>
        </w:tc>
        <w:tc>
          <w:tcPr>
            <w:tcW w:w="120" w:type="dxa"/>
            <w:vAlign w:val="bottom"/>
          </w:tcPr>
          <w:p>
            <w:pPr>
              <w:spacing w:after="0"/>
              <w:rPr>
                <w:sz w:val="21"/>
                <w:szCs w:val="21"/>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hedge of corporate bonds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3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3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 of brokered CD's</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hedge of corporate bonds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3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 under ASC 815</w:t>
            </w: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6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6"/>
          </w:tcPr>
          <w:p>
            <w:pPr>
              <w:ind w:left="10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Interest Rate Products</w:t>
            </w:r>
          </w:p>
        </w:tc>
        <w:tc>
          <w:tcPr>
            <w:tcW w:w="120" w:type="dxa"/>
            <w:vAlign w:val="bottom"/>
          </w:tcPr>
          <w:p>
            <w:pPr>
              <w:spacing w:after="0"/>
              <w:rPr>
                <w:sz w:val="21"/>
                <w:szCs w:val="21"/>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Customer swap positions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16,018</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Dealer offsets to customer swap positions</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Mortgage banking - loan commitment</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Mortgage banking - forward sales commitment</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Bifurcated embedded derivatives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9,230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Offsetting positions for de-designated cash flow hedges</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6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3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25,463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20,051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tcBorders>
          </w:tcPr>
          <w:p>
            <w:pPr>
              <w:spacing w:after="0" w:line="20" w:lineRule="exact"/>
              <w:rPr>
                <w:sz w:val="1"/>
                <w:szCs w:val="1"/>
                <w:color w:val="auto"/>
              </w:rPr>
            </w:pPr>
          </w:p>
        </w:tc>
        <w:tc>
          <w:tcPr>
            <w:tcW w:w="2420" w:type="dxa"/>
            <w:vAlign w:val="bottom"/>
            <w:tcBorders>
              <w:top w:val="single" w:sz="8" w:color="F0FFFF"/>
            </w:tcBorders>
            <w:gridSpan w:val="2"/>
          </w:tcPr>
          <w:p>
            <w:pPr>
              <w:spacing w:after="0" w:line="20" w:lineRule="exact"/>
              <w:rPr>
                <w:sz w:val="1"/>
                <w:szCs w:val="1"/>
                <w:color w:val="auto"/>
              </w:rPr>
            </w:pPr>
          </w:p>
        </w:tc>
        <w:tc>
          <w:tcPr>
            <w:tcW w:w="240" w:type="dxa"/>
            <w:vAlign w:val="bottom"/>
            <w:tcBorders>
              <w:top w:val="single" w:sz="8" w:color="F0FFFF"/>
            </w:tcBorders>
            <w:gridSpan w:val="2"/>
          </w:tcPr>
          <w:p>
            <w:pPr>
              <w:spacing w:after="0" w:line="20" w:lineRule="exact"/>
              <w:rPr>
                <w:sz w:val="1"/>
                <w:szCs w:val="1"/>
                <w:color w:val="auto"/>
              </w:rPr>
            </w:pPr>
          </w:p>
        </w:tc>
        <w:tc>
          <w:tcPr>
            <w:tcW w:w="1460" w:type="dxa"/>
            <w:vAlign w:val="bottom"/>
            <w:tcBorders>
              <w:top w:val="single" w:sz="8" w:color="F0FFFF"/>
            </w:tcBorders>
            <w:gridSpan w:val="2"/>
          </w:tcPr>
          <w:p>
            <w:pPr>
              <w:spacing w:after="0" w:line="20" w:lineRule="exact"/>
              <w:rPr>
                <w:sz w:val="1"/>
                <w:szCs w:val="1"/>
                <w:color w:val="auto"/>
              </w:rPr>
            </w:pPr>
          </w:p>
        </w:tc>
        <w:tc>
          <w:tcPr>
            <w:tcW w:w="260" w:type="dxa"/>
            <w:vAlign w:val="bottom"/>
            <w:tcBorders>
              <w:top w:val="single" w:sz="8" w:color="F0FFFF"/>
            </w:tcBorders>
            <w:gridSpan w:val="2"/>
          </w:tcPr>
          <w:p>
            <w:pPr>
              <w:spacing w:after="0" w:line="20" w:lineRule="exact"/>
              <w:rPr>
                <w:sz w:val="1"/>
                <w:szCs w:val="1"/>
                <w:color w:val="auto"/>
              </w:rPr>
            </w:pPr>
          </w:p>
        </w:tc>
        <w:tc>
          <w:tcPr>
            <w:tcW w:w="1420" w:type="dxa"/>
            <w:vAlign w:val="bottom"/>
            <w:tcBorders>
              <w:top w:val="single" w:sz="8" w:color="F0FF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Customer swap positions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Dealer offsets to customer swap positions</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Risk participations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Mortgage banking - forward sales commitment</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Dealer offsets to bifurcated embedded derivatives</w:t>
            </w:r>
          </w:p>
        </w:tc>
        <w:tc>
          <w:tcPr>
            <w:tcW w:w="242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15,794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De-designated cash flow hedges</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6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3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29,364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26,656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3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3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3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swap positions are between United and certain commercial loan customers with offsetting positions to dealers under a back-to-back swap 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marks on the market linked swaps and the bifurcated embedded derivatives tend to move in opposite directions with changes in 90-day LIBOR and therefore provide an economic hedge.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accommodate customers,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also enters into forward sale agreements to mitigate risk and to protect the expected gain on the eventual loan sale. Most of this activity is on a matched basis, with a loan sale commitment hedging a specific loan. The commitments to originate residential mortgage loans and forward loan sales commitments are freestanding derivative instruments. Beginning late in the third quarter of 2016 for newly originated mortgage loans, United began to account for the underlying loans at fair value pursuant to the fair value option, and these loans are not reflected in the table above. Fair value adjustments on these derivative instruments are recorded within mortgage loan and other related fee income in the consolidated statement of income.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729"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2016 and December 31, 2015 United did not have any active cash flow hedges. Changes in United’s balance sheet composition and interest rate risk position made cash flow hedges no longer necessary as protection against rising interest rates and as a result, United de-designated its former cash flow hedges. The loss remaining in other comprehensive income on the de-designated swaps is being amortized into earnings over the original term of the swaps as the forecasted transactions that the swaps were originally designated to hedge are still expected to occur. United expects that $1.21 million will be reclassified as an increase to interest expense over the next twelve months related to these cash flow hedges.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table below presents the effect of cash flow hedges on the consolidated statement of income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5"/>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5"/>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Other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6"/>
            <w:vMerge w:val="restart"/>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5"/>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 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5"/>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on Derivative (Effective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6"/>
          </w:tcPr>
          <w:p>
            <w:pPr>
              <w:jc w:val="center"/>
              <w:ind w:left="628"/>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into Income (Effective Portion)</w:t>
            </w:r>
          </w:p>
        </w:tc>
        <w:tc>
          <w:tcPr>
            <w:tcW w:w="100" w:type="dxa"/>
            <w:vAlign w:val="bottom"/>
          </w:tcPr>
          <w:p>
            <w:pPr>
              <w:spacing w:after="0"/>
              <w:rPr>
                <w:sz w:val="15"/>
                <w:szCs w:val="15"/>
                <w:color w:val="auto"/>
              </w:rPr>
            </w:pPr>
          </w:p>
        </w:tc>
        <w:tc>
          <w:tcPr>
            <w:tcW w:w="2660" w:type="dxa"/>
            <w:vAlign w:val="bottom"/>
            <w:tcBorders>
              <w:bottom w:val="single" w:sz="8" w:color="auto"/>
            </w:tcBorders>
            <w:gridSpan w:val="6"/>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Derivative (Ineffective Portion)</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4"/>
                <w:szCs w:val="14"/>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4"/>
                <w:szCs w:val="14"/>
                <w:color w:val="auto"/>
              </w:rPr>
            </w:pPr>
          </w:p>
        </w:tc>
        <w:tc>
          <w:tcPr>
            <w:tcW w:w="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620" w:type="dxa"/>
            <w:vAlign w:val="bottom"/>
            <w:shd w:val="clear" w:color="auto" w:fill="F0FF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40" w:type="dxa"/>
            <w:vAlign w:val="bottom"/>
            <w:shd w:val="clear" w:color="auto" w:fill="F0FFFF"/>
          </w:tcPr>
          <w:p>
            <w:pPr>
              <w:spacing w:after="0"/>
              <w:rPr>
                <w:sz w:val="10"/>
                <w:szCs w:val="10"/>
                <w:color w:val="auto"/>
              </w:rPr>
            </w:pPr>
          </w:p>
        </w:tc>
        <w:tc>
          <w:tcPr>
            <w:tcW w:w="30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3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32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14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300" w:type="dxa"/>
            <w:vAlign w:val="bottom"/>
            <w:shd w:val="clear" w:color="auto" w:fill="F0FFFF"/>
          </w:tcPr>
          <w:p>
            <w:pPr>
              <w:spacing w:after="0"/>
              <w:rPr>
                <w:sz w:val="10"/>
                <w:szCs w:val="10"/>
                <w:color w:val="auto"/>
              </w:rPr>
            </w:pPr>
          </w:p>
        </w:tc>
        <w:tc>
          <w:tcPr>
            <w:tcW w:w="6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3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3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300" w:type="dxa"/>
            <w:vAlign w:val="bottom"/>
            <w:shd w:val="clear" w:color="auto" w:fill="F0FFFF"/>
          </w:tcPr>
          <w:p>
            <w:pPr>
              <w:spacing w:after="0"/>
              <w:rPr>
                <w:sz w:val="15"/>
                <w:szCs w:val="15"/>
                <w:color w:val="auto"/>
              </w:rPr>
            </w:pPr>
          </w:p>
        </w:tc>
        <w:tc>
          <w:tcPr>
            <w:tcW w:w="6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040" w:type="dxa"/>
            <w:vAlign w:val="bottom"/>
            <w:gridSpan w:val="2"/>
            <w:shd w:val="clear" w:color="auto" w:fill="F0FF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F0FFFF"/>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shd w:val="clear" w:color="auto" w:fill="F0FF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160"/>
              <w:spacing w:after="0" w:line="176" w:lineRule="exact"/>
              <w:rPr>
                <w:sz w:val="20"/>
                <w:szCs w:val="20"/>
                <w:color w:val="auto"/>
              </w:rPr>
            </w:pPr>
            <w:r>
              <w:rPr>
                <w:rFonts w:ascii="Times New Roman" w:cs="Times New Roman" w:eastAsia="Times New Roman" w:hAnsi="Times New Roman"/>
                <w:sz w:val="12"/>
                <w:szCs w:val="12"/>
                <w:color w:val="auto"/>
              </w:rPr>
              <w:t>(466</w:t>
            </w:r>
            <w:r>
              <w:rPr>
                <w:rFonts w:ascii="Times New Roman" w:cs="Times New Roman" w:eastAsia="Times New Roman" w:hAnsi="Times New Roman"/>
                <w:sz w:val="20"/>
                <w:szCs w:val="20"/>
                <w:color w:val="auto"/>
                <w:vertAlign w:val="superscript"/>
              </w:rPr>
              <w:t>)</w:t>
            </w:r>
          </w:p>
        </w:tc>
        <w:tc>
          <w:tcPr>
            <w:tcW w:w="320" w:type="dxa"/>
            <w:vAlign w:val="bottom"/>
            <w:shd w:val="clear" w:color="auto" w:fill="F0FF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F0FFFF"/>
          </w:tcPr>
          <w:p>
            <w:pPr>
              <w:jc w:val="right"/>
              <w:ind w:right="60"/>
              <w:spacing w:after="0" w:line="176" w:lineRule="exact"/>
              <w:rPr>
                <w:sz w:val="20"/>
                <w:szCs w:val="20"/>
                <w:color w:val="auto"/>
              </w:rPr>
            </w:pPr>
            <w:r>
              <w:rPr>
                <w:rFonts w:ascii="Times New Roman" w:cs="Times New Roman" w:eastAsia="Times New Roman" w:hAnsi="Times New Roman"/>
                <w:sz w:val="12"/>
                <w:szCs w:val="12"/>
                <w:color w:val="auto"/>
              </w:rPr>
              <w:t>(550</w:t>
            </w:r>
            <w:r>
              <w:rPr>
                <w:rFonts w:ascii="Times New Roman" w:cs="Times New Roman" w:eastAsia="Times New Roman" w:hAnsi="Times New Roman"/>
                <w:sz w:val="20"/>
                <w:szCs w:val="20"/>
                <w:color w:val="auto"/>
                <w:vertAlign w:val="superscript"/>
              </w:rPr>
              <w:t>)</w:t>
            </w:r>
          </w:p>
        </w:tc>
        <w:tc>
          <w:tcPr>
            <w:tcW w:w="1340" w:type="dxa"/>
            <w:vAlign w:val="bottom"/>
            <w:gridSpan w:val="3"/>
            <w:shd w:val="clear" w:color="auto" w:fill="F0FF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3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1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620" w:type="dxa"/>
            <w:vAlign w:val="bottom"/>
            <w:shd w:val="clear" w:color="auto" w:fill="F0FF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40" w:type="dxa"/>
            <w:vAlign w:val="bottom"/>
            <w:shd w:val="clear" w:color="auto" w:fill="F0FFFF"/>
          </w:tcPr>
          <w:p>
            <w:pPr>
              <w:spacing w:after="0"/>
              <w:rPr>
                <w:sz w:val="10"/>
                <w:szCs w:val="10"/>
                <w:color w:val="auto"/>
              </w:rPr>
            </w:pPr>
          </w:p>
        </w:tc>
        <w:tc>
          <w:tcPr>
            <w:tcW w:w="30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3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32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14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300" w:type="dxa"/>
            <w:vAlign w:val="bottom"/>
            <w:shd w:val="clear" w:color="auto" w:fill="F0FFFF"/>
          </w:tcPr>
          <w:p>
            <w:pPr>
              <w:spacing w:after="0"/>
              <w:rPr>
                <w:sz w:val="10"/>
                <w:szCs w:val="10"/>
                <w:color w:val="auto"/>
              </w:rPr>
            </w:pPr>
          </w:p>
        </w:tc>
        <w:tc>
          <w:tcPr>
            <w:tcW w:w="6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3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3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300" w:type="dxa"/>
            <w:vAlign w:val="bottom"/>
            <w:shd w:val="clear" w:color="auto" w:fill="F0FFFF"/>
          </w:tcPr>
          <w:p>
            <w:pPr>
              <w:spacing w:after="0"/>
              <w:rPr>
                <w:sz w:val="15"/>
                <w:szCs w:val="15"/>
                <w:color w:val="auto"/>
              </w:rPr>
            </w:pPr>
          </w:p>
        </w:tc>
        <w:tc>
          <w:tcPr>
            <w:tcW w:w="6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04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2"/>
                <w:szCs w:val="12"/>
                <w:color w:val="auto"/>
              </w:rPr>
              <w:t>(471</w:t>
            </w:r>
            <w:r>
              <w:rPr>
                <w:rFonts w:ascii="Times New Roman" w:cs="Times New Roman" w:eastAsia="Times New Roman" w:hAnsi="Times New Roman"/>
                <w:sz w:val="20"/>
                <w:szCs w:val="20"/>
                <w:color w:val="auto"/>
                <w:vertAlign w:val="superscript"/>
              </w:rPr>
              <w:t>)</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2"/>
                <w:szCs w:val="12"/>
                <w:color w:val="auto"/>
              </w:rPr>
              <w:t>(1,426</w:t>
            </w:r>
            <w:r>
              <w:rPr>
                <w:rFonts w:ascii="Times New Roman" w:cs="Times New Roman" w:eastAsia="Times New Roman" w:hAnsi="Times New Roman"/>
                <w:sz w:val="20"/>
                <w:szCs w:val="20"/>
                <w:color w:val="auto"/>
                <w:vertAlign w:val="superscript"/>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2"/>
                <w:szCs w:val="12"/>
                <w:color w:val="auto"/>
              </w:rPr>
              <w:t>(1,430</w:t>
            </w:r>
            <w:r>
              <w:rPr>
                <w:rFonts w:ascii="Times New Roman" w:cs="Times New Roman" w:eastAsia="Times New Roman" w:hAnsi="Times New Roman"/>
                <w:sz w:val="20"/>
                <w:szCs w:val="20"/>
                <w:color w:val="auto"/>
                <w:vertAlign w:val="superscript"/>
              </w:rPr>
              <w:t>)</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2"/>
                <w:szCs w:val="12"/>
                <w:color w:val="auto"/>
              </w:rPr>
              <w:t>(7</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Hedges of Interest Rate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fixed-rate investments involve the receipt of variable-rate payments from a counterparty in exchange for United making fixed-rate payments over the life of the instrument without the exchange of the underlying notional amount. At September 30, 2016, United had one interest rate swap with a notional amount of $12.8 million that was designated as a fair value hedge of interest rate risk and was a pay-variable / receive-fixed swap hedging the changes in the fair value of fixed-rate brokered time deposits resulting from changes in interest rates. Also at September 30, 2016, United had one interest rate swap with a notional of $30 million that was designated as a pay-fixed / receive-variable fair value hedge of changes in the fair value of a fixed-rate corporate bond. At December 31, 2015, United had 13 interest rate swaps with an aggregate notional amount of $156 million that were designated as fair value hedges of interest rate risk. These contracts were pay-variable / receive-fixed swaps hedging changes in the fair value of fixed-rate brokered time deposits resulting from changes in interest rates. Also at December 31, 2015, United had one interest rate swap with a notional of $30 million that was designated as a pay-fixed / receive-variable fair value hedge of changes in the fair value of a fixed-rate corporate bond.</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and nine months ended September 30, 2016, United recognized net gains of $1.51 million and $2.37 million, respectively, related to ineffectiveness in the fair value hedging relationships. The ineffectiveness gains were almost entirely offset by the write-off of unamortized prepaid broker fees that were incurred as part of the original brokered certificates of deposit. The 2016 ineffectiveness gains mostly resulted from called hedging transactions where United was short the call option in the swap and long the call option on the hedged items (brokered certificates of deposit). Since the instruments were called at par, the difference between the carrying amount of the swap (fair value) and the carrying amount of the hedged item (fair value) on the call date created the ineffectiveness gains. During the three and nine months ended September 30, 2015, United recognized net gains of $14,000 and $184,000, respectively, related to ineffectiveness in the fair value hedging relationships. United also recognized net reductions of interest expense of $388,000 and $1.63 million, respectively, for the three and nine months ended September 30, 2016 and net reductions of interest expense of $1.12 million and $3.39 million, respectively, for the three and nine months ended September 30, 2015 related to United’s fair value hedges of brokered time deposits, which includes net settlements on the derivatives. United recognized reductions of interest revenue on securities during the three and nine months ended September 30, 2016 of $262,000 and $508,000, respectively, and reductions of interest revenue on securities during the three and nine months ended September 30, 2015 of $142,000 and $361,000, respectively, related to fair value hedges of corporate bonds.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table below presents the effect of derivatives in fair value hedging relationships on the consolidated statement of operations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280" w:type="dxa"/>
            <w:vAlign w:val="bottom"/>
          </w:tcPr>
          <w:p>
            <w:pPr>
              <w:spacing w:after="0"/>
              <w:rPr>
                <w:sz w:val="18"/>
                <w:szCs w:val="18"/>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Amount of Gain (Loss)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Recognized</w:t>
            </w:r>
          </w:p>
        </w:tc>
        <w:tc>
          <w:tcPr>
            <w:tcW w:w="280" w:type="dxa"/>
            <w:vAlign w:val="bottom"/>
          </w:tcPr>
          <w:p>
            <w:pPr>
              <w:spacing w:after="0"/>
              <w:rPr>
                <w:sz w:val="18"/>
                <w:szCs w:val="18"/>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Recognized in Income</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Income on</w:t>
            </w:r>
          </w:p>
        </w:tc>
        <w:tc>
          <w:tcPr>
            <w:tcW w:w="280" w:type="dxa"/>
            <w:vAlign w:val="bottom"/>
          </w:tcPr>
          <w:p>
            <w:pPr>
              <w:spacing w:after="0"/>
              <w:rPr>
                <w:sz w:val="22"/>
                <w:szCs w:val="22"/>
                <w:color w:val="auto"/>
              </w:rPr>
            </w:pPr>
          </w:p>
        </w:tc>
        <w:tc>
          <w:tcPr>
            <w:tcW w:w="16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on Derivative</w:t>
            </w: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 Hedged Item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 of brokered CD's</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4,374</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1,945</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hedges of corporate bonds</w:t>
            </w:r>
          </w:p>
        </w:tc>
        <w:tc>
          <w:tcPr>
            <w:tcW w:w="15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Interest revenue</w:t>
            </w:r>
          </w:p>
        </w:tc>
        <w:tc>
          <w:tcPr>
            <w:tcW w:w="28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4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F0FFFF"/>
            </w:tcBorders>
          </w:tcPr>
          <w:p>
            <w:pPr>
              <w:spacing w:after="0"/>
              <w:rPr>
                <w:sz w:val="18"/>
                <w:szCs w:val="18"/>
                <w:color w:val="auto"/>
              </w:rPr>
            </w:pPr>
          </w:p>
        </w:tc>
        <w:tc>
          <w:tcPr>
            <w:tcW w:w="14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top w:val="single" w:sz="8" w:color="F0FF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F0FFFF"/>
            </w:tcBorders>
          </w:tcPr>
          <w:p>
            <w:pPr>
              <w:spacing w:after="0" w:line="20" w:lineRule="exact"/>
              <w:rPr>
                <w:sz w:val="1"/>
                <w:szCs w:val="1"/>
                <w:color w:val="auto"/>
              </w:rPr>
            </w:pPr>
          </w:p>
        </w:tc>
        <w:tc>
          <w:tcPr>
            <w:tcW w:w="14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F0FFFF"/>
          </w:tcPr>
          <w:p>
            <w:pPr>
              <w:spacing w:after="0"/>
              <w:rPr>
                <w:sz w:val="18"/>
                <w:szCs w:val="18"/>
                <w:color w:val="auto"/>
              </w:rPr>
            </w:pPr>
          </w:p>
        </w:tc>
        <w:tc>
          <w:tcPr>
            <w:tcW w:w="14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Fair value hedges of brokered CD's</w:t>
            </w:r>
          </w:p>
        </w:tc>
        <w:tc>
          <w:tcPr>
            <w:tcW w:w="15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20" w:type="dxa"/>
            <w:vAlign w:val="bottom"/>
            <w:shd w:val="clear" w:color="auto" w:fill="F0FFFF"/>
          </w:tcPr>
          <w:p>
            <w:pPr>
              <w:spacing w:after="0"/>
              <w:rPr>
                <w:sz w:val="18"/>
                <w:szCs w:val="18"/>
                <w:color w:val="auto"/>
              </w:rPr>
            </w:pPr>
          </w:p>
        </w:tc>
        <w:tc>
          <w:tcPr>
            <w:tcW w:w="420" w:type="dxa"/>
            <w:vAlign w:val="bottom"/>
            <w:shd w:val="clear" w:color="auto" w:fill="F0FF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3,599</w:t>
            </w:r>
          </w:p>
        </w:tc>
        <w:tc>
          <w:tcPr>
            <w:tcW w:w="340" w:type="dxa"/>
            <w:vAlign w:val="bottom"/>
            <w:gridSpan w:val="2"/>
            <w:shd w:val="clear" w:color="auto" w:fill="F0FF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340" w:type="dxa"/>
            <w:vAlign w:val="bottom"/>
            <w:gridSpan w:val="2"/>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 of corporate bonds</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revenue</w:t>
            </w:r>
          </w:p>
        </w:tc>
        <w:tc>
          <w:tcPr>
            <w:tcW w:w="2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(2,145)</w:t>
            </w:r>
          </w:p>
        </w:tc>
        <w:tc>
          <w:tcPr>
            <w:tcW w:w="4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shd w:val="clear" w:color="auto" w:fill="F0FFFF"/>
          </w:tcPr>
          <w:p>
            <w:pPr>
              <w:spacing w:after="0"/>
              <w:rPr>
                <w:sz w:val="21"/>
                <w:szCs w:val="21"/>
                <w:color w:val="auto"/>
              </w:rPr>
            </w:pPr>
          </w:p>
        </w:tc>
        <w:tc>
          <w:tcPr>
            <w:tcW w:w="14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420" w:type="dxa"/>
            <w:vAlign w:val="bottom"/>
            <w:tcBorders>
              <w:top w:val="single" w:sz="8" w:color="auto"/>
              <w:bottom w:val="single" w:sz="8" w:color="auto"/>
            </w:tcBorders>
            <w:shd w:val="clear" w:color="auto" w:fill="F0FF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14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cases, the estate of deceased brokered certificate of deposit holders may put the certificate of deposit back to the issuing bank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September 30, 2016, collateral totaling $32.0 million was pledged toward derivatives in a liability position.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As of September 30, 2016, 2.12 million additional awards could be granted under the plan. Through September 30, 2016, incentive stock options, nonqualified stock options, restricted stock and restricted stock unit awards, base salary stock grants and performance share awards have been granted under the plan.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w w:val="99"/>
              </w:rPr>
              <w:t>The following table shows stock option activity for the first nine months of 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Intrinisic</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51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1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1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241,493</w:t>
            </w:r>
          </w:p>
        </w:tc>
        <w:tc>
          <w:tcPr>
            <w:tcW w:w="12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22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51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220" w:type="dxa"/>
            <w:vAlign w:val="bottom"/>
            <w:shd w:val="clear" w:color="auto" w:fill="F0FFFF"/>
          </w:tcPr>
          <w:p>
            <w:pPr>
              <w:spacing w:after="0"/>
              <w:rPr>
                <w:sz w:val="21"/>
                <w:szCs w:val="21"/>
                <w:color w:val="auto"/>
              </w:rPr>
            </w:pPr>
          </w:p>
        </w:tc>
        <w:tc>
          <w:tcPr>
            <w:tcW w:w="11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5120" w:type="dxa"/>
            <w:vAlign w:val="bottom"/>
            <w:tcBorders>
              <w:top w:val="single" w:sz="8" w:color="F0FFFF"/>
            </w:tcBorders>
            <w:gridSpan w:val="2"/>
          </w:tcPr>
          <w:p>
            <w:pPr>
              <w:spacing w:after="0"/>
              <w:rPr>
                <w:sz w:val="20"/>
                <w:szCs w:val="20"/>
                <w:color w:val="auto"/>
              </w:rPr>
            </w:pPr>
            <w:r>
              <w:rPr>
                <w:rFonts w:ascii="Times New Roman" w:cs="Times New Roman" w:eastAsia="Times New Roman" w:hAnsi="Times New Roman"/>
                <w:sz w:val="18"/>
                <w:szCs w:val="18"/>
                <w:color w:val="auto"/>
              </w:rPr>
              <w:t>Outstanding at September 30, 2016</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185,688</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20" w:type="dxa"/>
            <w:vAlign w:val="bottom"/>
            <w:tcBorders>
              <w:top w:val="single" w:sz="8" w:color="F0FFFF"/>
            </w:tcBorders>
          </w:tcPr>
          <w:p>
            <w:pPr>
              <w:spacing w:after="0"/>
              <w:rPr>
                <w:sz w:val="18"/>
                <w:szCs w:val="18"/>
                <w:color w:val="auto"/>
              </w:rPr>
            </w:pPr>
          </w:p>
        </w:tc>
        <w:tc>
          <w:tcPr>
            <w:tcW w:w="118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Borders>
              <w:top w:val="single" w:sz="8" w:color="F0FF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9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1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vMerge w:val="restart"/>
          </w:tcPr>
          <w:p>
            <w:pPr>
              <w:spacing w:after="0"/>
              <w:rPr>
                <w:sz w:val="18"/>
                <w:szCs w:val="18"/>
                <w:color w:val="auto"/>
              </w:rPr>
            </w:pPr>
          </w:p>
        </w:tc>
        <w:tc>
          <w:tcPr>
            <w:tcW w:w="4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vMerge w:val="continue"/>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September 30, 2016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model. No stock options were granted during the nine months ended September 30, 2016 and 2015.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United’s outstanding stock options were granted prior to the economic downturn during which time United’s stock price decreased sharply. The lower stock price has rendered most of United’s outstanding options severely out of the money and potentially worthless to the grantee. Therefore, historical exercise patterns do not provide a reasonable basis for determining the expected life of new option grants. United therefore uses the formula provided in ASC 718-10-S99 to determine the expected life of options.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recognized $23,000 and $28,000, respectively, in compensation expense related to stock options during the nine months ended September 30, 2016 and 2015. The amount of compensation expense was determined based on the fair value of the options at the time of grant, multiplied by the number of options granted that were expected to vest, which was then amortized over the vesting period. No options were exercised during the first nine months of 2016 or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presents restricted stock units activity for the first nine months of 2016.</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7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1"/>
                <w:szCs w:val="21"/>
                <w:color w:val="auto"/>
              </w:rPr>
            </w:pPr>
          </w:p>
        </w:tc>
        <w:tc>
          <w:tcPr>
            <w:tcW w:w="50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4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712,667</w:t>
            </w:r>
          </w:p>
        </w:tc>
        <w:tc>
          <w:tcPr>
            <w:tcW w:w="240" w:type="dxa"/>
            <w:vAlign w:val="bottom"/>
            <w:gridSpan w:val="2"/>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225,886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(223,733)</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(39,958)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55"/>
        </w:trPr>
        <w:tc>
          <w:tcPr>
            <w:tcW w:w="1720" w:type="dxa"/>
            <w:vAlign w:val="bottom"/>
          </w:tcPr>
          <w:p>
            <w:pPr>
              <w:spacing w:after="0"/>
              <w:rPr>
                <w:sz w:val="21"/>
                <w:szCs w:val="21"/>
                <w:color w:val="auto"/>
              </w:rPr>
            </w:pPr>
          </w:p>
        </w:tc>
        <w:tc>
          <w:tcPr>
            <w:tcW w:w="504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Outstanding at September 30, 2016</w:t>
            </w:r>
          </w:p>
        </w:tc>
        <w:tc>
          <w:tcPr>
            <w:tcW w:w="13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674,862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24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9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3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Compensation expense for restricted stock units is based on the fair value of restricted stock unit awards at the time of grant, which is equal to the value of United’s common stock on the date of grant. The value of restricted stock unit awards that are expected to vest is amortized into expense over the vesting period. For the nine months ended September 30, 2016 and 2015, compensation expense of $3.16 million and $3.22 million, respectively, was recognized related to restricted stock unit awards. In addition, for the nine months ended September 30, 2016 and 2015, $75,000 and $95,000, respectively, was recognized in other operating expense for restricted stock unit awards granted to members of United’s board of directors. The total intrinsic value of outstanding restricted stock unit awards was $14.2 million at September 30, 2016.</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2016, there was $9.39 million of unrecognized compensation cost related to non-vested stock options and restricted stock unit awards granted under the plan. That cost is expected to be recognized over a weighted-average period of 2.62 years. The aggregate grant date fair value of options and restricted stock unit awards that vested during the nine months ended September 30, 2016 was $3.51 million.</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and Preferred Stock Issued / Common Stock Issuable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In the nine months ended September 30, 2016 and 2015, 2,938 shares and 1,564 shares, respectively, were issued through the DRIP.</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United has an Employee Stock Purchase Program (“ESPP”) that allows eligible employees to purchase shares of common stock at a 10% discount, with no commission charges. During the first nine months of 2016 and 2015, United issued 12,906 shares and 10,197 shares, respectively, through the ESPP.</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September 30, 2016 and December 31, 2015, 520,014 and 458,953 shares of common stock, respectively, were issuable under the deferred compensation plan.</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quarter of 2016, United redeemed all of its outstanding Series H preferred stock. The preferred stock was redeemed at par and did not result in any gain or loss.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second quarter of 2016, United amended its articles of incorporation to increase the number of authorized shares of common stock from 100 million to 150 million shares.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22, 2016, United announced that its Board of Directors had authorized a new program to repurchase up to $50 million of United’s outstanding common stock through December 31, 2017.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During the first nine months of 2016, United repurchased 764,000 shares under the program. As of September 30, 2016, $36.3 million of United’s outstanding common stock may be repurchased under the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income tax provision for the three and nine months ended September 30, 2016 was $15.8 million and $44.7 million, respectively, which represents an effective tax rate of 37.8% for both periods. The income tax provision for the three and nine months ended September 30, 2015 was $10.9 million and $32.4 million, respectively, which represents an effective tax rate of 37.8% for both periods. At September 30, 2016 and December 31, 2015, United maintained a valuation allowance on its net deferred tax asset of $4.71 million and $4.28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evaluated the need for a valuation allowance at September 30, 2016. Based on the assessment of all the positive and negative evidence, management concluded that it is more likely than not that nearly all of its net deferred tax asset will be realized based upon future taxable income. The remaining valuation allowance of $4.71 million is related to specific state income tax credits that have short carryforward periods and are expected to expire unused.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valuation allowance could fluctuate in future periods based on the assessment of the positive and negative evidence. Management's conclusion at September 30, 2016 that it was more likely than not that United’s net deferred tax asset of $156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2013. Although it is not possible to know the ultimate outcome of future examinations, management believes that the liability recorded for uncertain tax positions is appropriate. At September 30, 2016 and December 31, 2015, unrecognized income tax benefits totaled $3.79 million and $3.98 million, respectively.</w:t>
      </w: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Assets and Liabilities Measured at Fair Value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Hierarchy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225"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(other than quoted prices), such as interest rates, foreign exchange rates, and yield curves that are observable at commonly quoted intervals.</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which are typically based on an entity’s own assumptions, as there is little, if any, related market activity.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Available-for-Sale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United States Department of Treasury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Held for Sale</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the third quarter of 2016, United elected the fair value option for newly originated mortgage loans held for sale. United elected the fair value option for its portfolio of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Those impaired loans not requiring an allowance represent loans for which the fair value of the expected repayments or collateral exceed the recorded investments in such loans. In accordance with ASC 820, </w:t>
      </w:r>
      <w:r>
        <w:rPr>
          <w:rFonts w:ascii="Times New Roman" w:cs="Times New Roman" w:eastAsia="Times New Roman" w:hAnsi="Times New Roman"/>
          <w:sz w:val="18"/>
          <w:szCs w:val="18"/>
          <w:i w:val="1"/>
          <w:iCs w:val="1"/>
          <w:color w:val="auto"/>
        </w:rPr>
        <w:t>Fair Value Measures and Disclosures</w:t>
      </w:r>
      <w:r>
        <w:rPr>
          <w:rFonts w:ascii="Times New Roman" w:cs="Times New Roman" w:eastAsia="Times New Roman" w:hAnsi="Times New Roman"/>
          <w:sz w:val="18"/>
          <w:szCs w:val="18"/>
          <w:color w:val="auto"/>
        </w:rPr>
        <w:t>,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September 30, 2016,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Servicing Rights for Government Guaranteed Loans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 recognizes servicing rights upon the sale of government guaranteed loans sold with servicing retained. Management has elected to carry this asset at fair value. Given the nature of the asset, the key valuation inputs are unobservable and management classifies this asset as Level 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the fair value of pension plan assets, see Note 17 in the Annual Report on Form 10-K for the year ended December 31, 2015.</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144,874</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144,874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20,455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64,886</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312,059</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312,559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495,433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1,125</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4,134</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Servicing rights for government guaranteed loans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20,598</w:t>
            </w: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shd w:val="clear" w:color="auto" w:fill="F0FF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149,008</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2,090,616</w:t>
            </w:r>
          </w:p>
        </w:tc>
        <w:tc>
          <w:tcPr>
            <w:tcW w:w="200" w:type="dxa"/>
            <w:vAlign w:val="bottom"/>
            <w:shd w:val="clear" w:color="auto" w:fill="F0FFFF"/>
          </w:tcPr>
          <w:p>
            <w:pPr>
              <w:spacing w:after="0"/>
              <w:rPr>
                <w:sz w:val="22"/>
                <w:szCs w:val="22"/>
                <w:color w:val="auto"/>
              </w:rPr>
            </w:pPr>
          </w:p>
        </w:tc>
        <w:tc>
          <w:tcPr>
            <w:tcW w:w="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10,465</w:t>
            </w:r>
          </w:p>
        </w:tc>
        <w:tc>
          <w:tcPr>
            <w:tcW w:w="3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2,250,089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22,933</w:t>
            </w: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9,615</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shd w:val="clear" w:color="auto" w:fill="F0FF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4,134</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22,933</w:t>
            </w:r>
          </w:p>
        </w:tc>
        <w:tc>
          <w:tcPr>
            <w:tcW w:w="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9,615</w:t>
            </w:r>
          </w:p>
        </w:tc>
        <w:tc>
          <w:tcPr>
            <w:tcW w:w="3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168,706</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168,706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112,340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56,268</w:t>
            </w: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56,268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1,113,118</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305,276</w:t>
            </w: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306,026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533,242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1,811</w:t>
            </w: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Servicing rights for government guaranteed loans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3,712</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10,664</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9,418</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172,156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2,132,719</w:t>
            </w:r>
          </w:p>
        </w:tc>
        <w:tc>
          <w:tcPr>
            <w:tcW w:w="2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13,880</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2,318,755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3,450</w:t>
            </w:r>
          </w:p>
        </w:tc>
        <w:tc>
          <w:tcPr>
            <w:tcW w:w="3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13,031</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15,794</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13,031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15,794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Servicing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Servicing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rights for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rights for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6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6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guaranteed</w:t>
            </w:r>
          </w:p>
        </w:tc>
        <w:tc>
          <w:tcPr>
            <w:tcW w:w="6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guaranteed</w:t>
            </w:r>
          </w:p>
        </w:tc>
        <w:tc>
          <w:tcPr>
            <w:tcW w:w="6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80" w:type="dxa"/>
            <w:vAlign w:val="bottom"/>
          </w:tcPr>
          <w:p>
            <w:pPr>
              <w:spacing w:after="0"/>
              <w:rPr>
                <w:sz w:val="21"/>
                <w:szCs w:val="21"/>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8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loans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5"/>
              </w:rPr>
              <w:t>for-Sale</w:t>
            </w:r>
          </w:p>
        </w:tc>
        <w:tc>
          <w:tcPr>
            <w:tcW w:w="160" w:type="dxa"/>
            <w:vAlign w:val="bottom"/>
          </w:tcPr>
          <w:p>
            <w:pPr>
              <w:spacing w:after="0"/>
              <w:rPr>
                <w:sz w:val="21"/>
                <w:szCs w:val="2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80" w:type="dxa"/>
            <w:vAlign w:val="bottom"/>
          </w:tcPr>
          <w:p>
            <w:pPr>
              <w:spacing w:after="0"/>
              <w:rPr>
                <w:sz w:val="21"/>
                <w:szCs w:val="21"/>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8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loans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2,657</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4,615</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11,531</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3,118</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Sales and settlements</w:t>
            </w:r>
          </w:p>
        </w:tc>
        <w:tc>
          <w:tcPr>
            <w:tcW w:w="16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Amounts included in earnings - fair</w:t>
            </w:r>
          </w:p>
        </w:tc>
        <w:tc>
          <w:tcPr>
            <w:tcW w:w="16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value adjustments</w:t>
            </w:r>
          </w:p>
        </w:tc>
        <w:tc>
          <w:tcPr>
            <w:tcW w:w="160" w:type="dxa"/>
            <w:vAlign w:val="bottom"/>
            <w:shd w:val="clear" w:color="auto" w:fill="F0FFFF"/>
          </w:tcPr>
          <w:p>
            <w:pPr>
              <w:spacing w:after="0"/>
              <w:rPr>
                <w:sz w:val="20"/>
                <w:szCs w:val="20"/>
                <w:color w:val="auto"/>
              </w:rPr>
            </w:pPr>
          </w:p>
        </w:tc>
        <w:tc>
          <w:tcPr>
            <w:tcW w:w="7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2,529</w:t>
            </w:r>
          </w:p>
        </w:tc>
        <w:tc>
          <w:tcPr>
            <w:tcW w:w="8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20"/>
                <w:szCs w:val="20"/>
                <w:color w:val="auto"/>
              </w:rPr>
            </w:pPr>
          </w:p>
        </w:tc>
        <w:tc>
          <w:tcPr>
            <w:tcW w:w="7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(4,978)</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8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(5,461)</w:t>
            </w:r>
          </w:p>
        </w:tc>
        <w:tc>
          <w:tcPr>
            <w:tcW w:w="8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Transfers between valuation levels, net</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18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9,418</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15,794</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12,262</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18,979</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Sales and settlements</w:t>
            </w:r>
          </w:p>
        </w:tc>
        <w:tc>
          <w:tcPr>
            <w:tcW w:w="16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F0FFFF"/>
          </w:tcPr>
          <w:p>
            <w:pPr>
              <w:ind w:left="160"/>
              <w:spacing w:after="0" w:line="198" w:lineRule="exact"/>
              <w:rPr>
                <w:sz w:val="20"/>
                <w:szCs w:val="20"/>
                <w:color w:val="auto"/>
              </w:rPr>
            </w:pPr>
            <w:r>
              <w:rPr>
                <w:rFonts w:ascii="Times New Roman" w:cs="Times New Roman" w:eastAsia="Times New Roman" w:hAnsi="Times New Roman"/>
                <w:sz w:val="18"/>
                <w:szCs w:val="18"/>
                <w:color w:val="auto"/>
              </w:rPr>
              <w:t>Amounts included in earnings - fair</w:t>
            </w:r>
          </w:p>
        </w:tc>
        <w:tc>
          <w:tcPr>
            <w:tcW w:w="16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F0FFFF"/>
          </w:tcPr>
          <w:p>
            <w:pPr>
              <w:ind w:left="280"/>
              <w:spacing w:after="0"/>
              <w:rPr>
                <w:sz w:val="20"/>
                <w:szCs w:val="20"/>
                <w:color w:val="auto"/>
              </w:rPr>
            </w:pPr>
            <w:r>
              <w:rPr>
                <w:rFonts w:ascii="Times New Roman" w:cs="Times New Roman" w:eastAsia="Times New Roman" w:hAnsi="Times New Roman"/>
                <w:sz w:val="18"/>
                <w:szCs w:val="18"/>
                <w:color w:val="auto"/>
              </w:rPr>
              <w:t>value adjustments</w:t>
            </w:r>
          </w:p>
        </w:tc>
        <w:tc>
          <w:tcPr>
            <w:tcW w:w="160" w:type="dxa"/>
            <w:vAlign w:val="bottom"/>
            <w:shd w:val="clear" w:color="auto" w:fill="F0FFFF"/>
          </w:tcPr>
          <w:p>
            <w:pPr>
              <w:spacing w:after="0"/>
              <w:rPr>
                <w:sz w:val="20"/>
                <w:szCs w:val="20"/>
                <w:color w:val="auto"/>
              </w:rPr>
            </w:pPr>
          </w:p>
        </w:tc>
        <w:tc>
          <w:tcPr>
            <w:tcW w:w="7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8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(5,734)</w:t>
            </w:r>
          </w:p>
        </w:tc>
        <w:tc>
          <w:tcPr>
            <w:tcW w:w="8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0FFFF"/>
          </w:tcPr>
          <w:p>
            <w:pPr>
              <w:spacing w:after="0"/>
              <w:rPr>
                <w:sz w:val="20"/>
                <w:szCs w:val="20"/>
                <w:color w:val="auto"/>
              </w:rPr>
            </w:pPr>
          </w:p>
        </w:tc>
        <w:tc>
          <w:tcPr>
            <w:tcW w:w="7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(5,709)</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8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(6,179)</w:t>
            </w:r>
          </w:p>
        </w:tc>
        <w:tc>
          <w:tcPr>
            <w:tcW w:w="8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Transfers between valuation levels, net</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18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presents quantitative information about Level 3 fair value measurements for fair value on a recurring basis as of the dates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Level 3 Assets</w:t>
            </w:r>
          </w:p>
        </w:tc>
        <w:tc>
          <w:tcPr>
            <w:tcW w:w="22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1"/>
                <w:szCs w:val="21"/>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100" w:type="dxa"/>
            <w:vAlign w:val="bottom"/>
          </w:tcPr>
          <w:p>
            <w:pPr>
              <w:spacing w:after="0"/>
              <w:rPr>
                <w:sz w:val="21"/>
                <w:szCs w:val="21"/>
                <w:color w:val="auto"/>
              </w:rPr>
            </w:pPr>
          </w:p>
        </w:tc>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Pr>
          <w:p>
            <w:pPr>
              <w:spacing w:after="0"/>
              <w:rPr>
                <w:sz w:val="21"/>
                <w:szCs w:val="21"/>
                <w:color w:val="auto"/>
              </w:rPr>
            </w:pPr>
          </w:p>
        </w:tc>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gridSpan w:val="2"/>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Servicing rights for government</w:t>
            </w:r>
          </w:p>
        </w:tc>
        <w:tc>
          <w:tcPr>
            <w:tcW w:w="2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20" w:type="dxa"/>
            <w:vAlign w:val="bottom"/>
            <w:shd w:val="clear" w:color="auto" w:fill="F0FFFF"/>
          </w:tcPr>
          <w:p>
            <w:pPr>
              <w:spacing w:after="0" w:line="198" w:lineRule="exact"/>
              <w:rPr>
                <w:sz w:val="20"/>
                <w:szCs w:val="20"/>
                <w:color w:val="auto"/>
              </w:rPr>
            </w:pPr>
            <w:r>
              <w:rPr>
                <w:rFonts w:ascii="Times New Roman" w:cs="Times New Roman" w:eastAsia="Times New Roman" w:hAnsi="Times New Roman"/>
                <w:sz w:val="18"/>
                <w:szCs w:val="18"/>
                <w:color w:val="auto"/>
              </w:rPr>
              <w:t>Discounted cash</w:t>
            </w:r>
          </w:p>
        </w:tc>
        <w:tc>
          <w:tcPr>
            <w:tcW w:w="100" w:type="dxa"/>
            <w:vAlign w:val="bottom"/>
            <w:shd w:val="clear" w:color="auto" w:fill="F0FFFF"/>
          </w:tcPr>
          <w:p>
            <w:pPr>
              <w:spacing w:after="0"/>
              <w:rPr>
                <w:sz w:val="17"/>
                <w:szCs w:val="17"/>
                <w:color w:val="auto"/>
              </w:rPr>
            </w:pPr>
          </w:p>
        </w:tc>
        <w:tc>
          <w:tcPr>
            <w:tcW w:w="22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guaranteed loans</w:t>
            </w:r>
          </w:p>
        </w:tc>
        <w:tc>
          <w:tcPr>
            <w:tcW w:w="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3,712</w:t>
            </w:r>
          </w:p>
        </w:tc>
        <w:tc>
          <w:tcPr>
            <w:tcW w:w="1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flow</w:t>
            </w:r>
          </w:p>
        </w:tc>
        <w:tc>
          <w:tcPr>
            <w:tcW w:w="2480" w:type="dxa"/>
            <w:vAlign w:val="bottom"/>
            <w:gridSpan w:val="3"/>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gridSpan w:val="2"/>
            <w:shd w:val="clear" w:color="auto" w:fill="F0FFFF"/>
          </w:tcPr>
          <w:p>
            <w:pPr>
              <w:ind w:left="780"/>
              <w:spacing w:after="0"/>
              <w:rPr>
                <w:sz w:val="20"/>
                <w:szCs w:val="20"/>
                <w:color w:val="auto"/>
              </w:rPr>
            </w:pPr>
            <w:r>
              <w:rPr>
                <w:rFonts w:ascii="Times New Roman" w:cs="Times New Roman" w:eastAsia="Times New Roman" w:hAnsi="Times New Roman"/>
                <w:sz w:val="18"/>
                <w:szCs w:val="18"/>
                <w:color w:val="auto"/>
              </w:rPr>
              <w:t>12.1%</w:t>
            </w:r>
          </w:p>
        </w:tc>
        <w:tc>
          <w:tcPr>
            <w:tcW w:w="1200" w:type="dxa"/>
            <w:vAlign w:val="bottom"/>
            <w:gridSpan w:val="2"/>
            <w:shd w:val="clear" w:color="auto" w:fill="F0FFFF"/>
          </w:tcPr>
          <w:p>
            <w:pPr>
              <w:ind w:left="720"/>
              <w:spacing w:after="0"/>
              <w:rPr>
                <w:sz w:val="20"/>
                <w:szCs w:val="20"/>
                <w:color w:val="auto"/>
              </w:rPr>
            </w:pPr>
            <w:r>
              <w:rPr>
                <w:rFonts w:ascii="Times New Roman" w:cs="Times New Roman" w:eastAsia="Times New Roman" w:hAnsi="Times New Roman"/>
                <w:sz w:val="18"/>
                <w:szCs w:val="18"/>
                <w:color w:val="auto"/>
                <w:w w:val="98"/>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7.22%</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98"/>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8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Multiple factors, including but</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 limited to, current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operations, financial condition,</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Indicative bid</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 flows, and recently</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provided by a</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executed financing transactions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broker</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related to the company</w:t>
            </w:r>
          </w:p>
        </w:tc>
        <w:tc>
          <w:tcPr>
            <w:tcW w:w="1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assets - mortgage</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Internal model</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Pull through rate</w:t>
            </w:r>
          </w:p>
        </w:tc>
        <w:tc>
          <w:tcPr>
            <w:tcW w:w="1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75.9%</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98"/>
              </w:rPr>
              <w:t>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assets - other</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3,793</w:t>
            </w:r>
          </w:p>
        </w:tc>
        <w:tc>
          <w:tcPr>
            <w:tcW w:w="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9,230</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Dealer priced</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Dealer priced</w:t>
            </w:r>
          </w:p>
        </w:tc>
        <w:tc>
          <w:tcPr>
            <w:tcW w:w="1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Derivative liabilities - risk</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participations</w:t>
            </w: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Internal model</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Probable exposure rate</w:t>
            </w:r>
          </w:p>
        </w:tc>
        <w:tc>
          <w:tcPr>
            <w:tcW w:w="1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0.25%</w:t>
            </w: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2480" w:type="dxa"/>
            <w:vAlign w:val="bottom"/>
            <w:gridSpan w:val="3"/>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Probability of default rate</w:t>
            </w:r>
          </w:p>
        </w:tc>
        <w:tc>
          <w:tcPr>
            <w:tcW w:w="1360" w:type="dxa"/>
            <w:vAlign w:val="bottom"/>
            <w:gridSpan w:val="2"/>
            <w:shd w:val="clear" w:color="auto" w:fill="F0FFFF"/>
          </w:tcPr>
          <w:p>
            <w:pPr>
              <w:ind w:left="780"/>
              <w:spacing w:after="0"/>
              <w:rPr>
                <w:sz w:val="20"/>
                <w:szCs w:val="20"/>
                <w:color w:val="auto"/>
              </w:rPr>
            </w:pPr>
            <w:r>
              <w:rPr>
                <w:rFonts w:ascii="Times New Roman" w:cs="Times New Roman" w:eastAsia="Times New Roman" w:hAnsi="Times New Roman"/>
                <w:sz w:val="18"/>
                <w:szCs w:val="18"/>
                <w:color w:val="auto"/>
              </w:rPr>
              <w:t>1.80%</w:t>
            </w:r>
          </w:p>
        </w:tc>
        <w:tc>
          <w:tcPr>
            <w:tcW w:w="1200" w:type="dxa"/>
            <w:vAlign w:val="bottom"/>
            <w:gridSpan w:val="2"/>
            <w:shd w:val="clear" w:color="auto" w:fill="F0FFFF"/>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Derivative liabilities - other</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9,577</w:t>
            </w:r>
          </w:p>
        </w:tc>
        <w:tc>
          <w:tcPr>
            <w:tcW w:w="8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15,794</w:t>
            </w:r>
          </w:p>
        </w:tc>
        <w:tc>
          <w:tcPr>
            <w:tcW w:w="1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Dealer priced</w:t>
            </w:r>
          </w:p>
        </w:tc>
        <w:tc>
          <w:tcPr>
            <w:tcW w:w="2480" w:type="dxa"/>
            <w:vAlign w:val="bottom"/>
            <w:gridSpan w:val="3"/>
            <w:shd w:val="clear" w:color="auto" w:fill="F0FFFF"/>
          </w:tcPr>
          <w:p>
            <w:pPr>
              <w:ind w:left="100"/>
              <w:spacing w:after="0"/>
              <w:rPr>
                <w:sz w:val="20"/>
                <w:szCs w:val="20"/>
                <w:color w:val="auto"/>
              </w:rPr>
            </w:pPr>
            <w:r>
              <w:rPr>
                <w:rFonts w:ascii="Times New Roman" w:cs="Times New Roman" w:eastAsia="Times New Roman" w:hAnsi="Times New Roman"/>
                <w:sz w:val="18"/>
                <w:szCs w:val="18"/>
                <w:color w:val="auto"/>
              </w:rPr>
              <w:t>Dealer priced</w:t>
            </w:r>
          </w:p>
        </w:tc>
        <w:tc>
          <w:tcPr>
            <w:tcW w:w="1360" w:type="dxa"/>
            <w:vAlign w:val="bottom"/>
            <w:gridSpan w:val="2"/>
            <w:shd w:val="clear" w:color="auto" w:fill="F0FFFF"/>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shd w:val="clear" w:color="auto" w:fill="F0FFFF"/>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 Option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2016, mortgage loans held for sale for which the fair value option was elected had an aggregate fair value and outstanding principal balance of $279,000 and $268,000, respectively. Interest income on these loans is calculated based on the note rate of the loan and is recorded in interest revenue. During the third quarter of 2016, net gains resulting from changes in fair value of these loans of $11,000 were recorded in mortgage loan and other related fees. These changes in fair value were mostly offset by hedging activities. An immaterial portion of these amounts was attributable to changes in instrument-specific credit risk.</w:t>
      </w:r>
    </w:p>
    <w:p>
      <w:pPr>
        <w:sectPr>
          <w:pgSz w:w="11900" w:h="16838" w:orient="portrait"/>
          <w:cols w:equalWidth="0" w:num="1">
            <w:col w:w="11420"/>
          </w:cols>
          <w:pgMar w:left="240" w:top="900" w:right="239" w:bottom="62"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11430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Nonrecurring Basis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United may be required, from time to time, to measure certain assets at fair value on a nonrecurring basis. These assets are not measured at fair value on a recurring basis, but are subject to fair value adjustments in certain circumstances.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September 30, 2016 and December 31, 2015, for which a nonrecurring fair value adjustment was recorded during the year-to-date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vMerge w:val="continue"/>
          </w:tcPr>
          <w:p>
            <w:pPr>
              <w:spacing w:after="0"/>
              <w:rPr>
                <w:sz w:val="22"/>
                <w:szCs w:val="22"/>
                <w:color w:val="auto"/>
              </w:rPr>
            </w:pPr>
          </w:p>
        </w:tc>
        <w:tc>
          <w:tcPr>
            <w:tcW w:w="5940" w:type="dxa"/>
            <w:vAlign w:val="bottom"/>
            <w:tcBorders>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20" w:type="dxa"/>
            <w:vAlign w:val="bottom"/>
            <w:tcBorders>
              <w:bottom w:val="single" w:sz="8" w:color="F0FFFF"/>
            </w:tcBorders>
            <w:shd w:val="clear" w:color="auto" w:fill="F0FFFF"/>
          </w:tcPr>
          <w:p>
            <w:pPr>
              <w:spacing w:after="0"/>
              <w:rPr>
                <w:sz w:val="22"/>
                <w:szCs w:val="22"/>
                <w:color w:val="auto"/>
              </w:rPr>
            </w:pPr>
          </w:p>
        </w:tc>
        <w:tc>
          <w:tcPr>
            <w:tcW w:w="98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96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9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9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10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7,589</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cash and cash equivalents and repurchase agreements have short maturities and therefore the carrying value approximates fair value. The fair value of securities available-for-sale equals the balance sheet value. Due to the short-term settlement of accrued interest receivable and payable, the carrying amount closely approximates fair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inherently subjective in nature. Changes in assumptions could significantly affect the estimates.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and at variable rates. Therefore, both the carrying amount and the estimated fair value associated with these instruments are immaterial.</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 and fair values as of the dates indicated for other financial instruments that are not measured at fair value on a recurring basis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Fair Value Level</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344,917</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357,550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6,662,149</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6,620,163</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6,620,163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30,535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31,596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Residential mortgage servicing rights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3,673</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3,694</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8,441,599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8,447,293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8,447,293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449,407</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449,415</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449,415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174,959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20" w:type="dxa"/>
            <w:vAlign w:val="bottom"/>
            <w:tcBorders>
              <w:bottom w:val="single" w:sz="8" w:color="F0FFFF"/>
            </w:tcBorders>
          </w:tcPr>
          <w:p>
            <w:pPr>
              <w:spacing w:after="0"/>
              <w:rPr>
                <w:sz w:val="21"/>
                <w:szCs w:val="21"/>
                <w:color w:val="auto"/>
              </w:rPr>
            </w:pPr>
          </w:p>
        </w:tc>
        <w:tc>
          <w:tcPr>
            <w:tcW w:w="160" w:type="dxa"/>
            <w:vAlign w:val="bottom"/>
            <w:tcBorders>
              <w:bottom w:val="single" w:sz="8" w:color="F0FFFF"/>
            </w:tcBorders>
          </w:tcPr>
          <w:p>
            <w:pPr>
              <w:spacing w:after="0"/>
              <w:rPr>
                <w:sz w:val="21"/>
                <w:szCs w:val="21"/>
                <w:color w:val="auto"/>
              </w:rPr>
            </w:pPr>
          </w:p>
        </w:tc>
        <w:tc>
          <w:tcPr>
            <w:tcW w:w="1000" w:type="dxa"/>
            <w:vAlign w:val="bottom"/>
            <w:tcBorders>
              <w:bottom w:val="single" w:sz="8" w:color="F0FFFF"/>
            </w:tcBorders>
          </w:tcPr>
          <w:p>
            <w:pPr>
              <w:spacing w:after="0"/>
              <w:rPr>
                <w:sz w:val="21"/>
                <w:szCs w:val="21"/>
                <w:color w:val="auto"/>
              </w:rPr>
            </w:pPr>
          </w:p>
        </w:tc>
        <w:tc>
          <w:tcPr>
            <w:tcW w:w="14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960" w:type="dxa"/>
            <w:vAlign w:val="bottom"/>
            <w:tcBorders>
              <w:bottom w:val="single" w:sz="8" w:color="F0FFFF"/>
            </w:tcBorders>
          </w:tcPr>
          <w:p>
            <w:pPr>
              <w:spacing w:after="0"/>
              <w:rPr>
                <w:sz w:val="21"/>
                <w:szCs w:val="21"/>
                <w:color w:val="auto"/>
              </w:rPr>
            </w:pPr>
          </w:p>
        </w:tc>
        <w:tc>
          <w:tcPr>
            <w:tcW w:w="18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F0FFFF"/>
            </w:tcBorders>
          </w:tcPr>
          <w:p>
            <w:pPr>
              <w:spacing w:after="0"/>
              <w:rPr>
                <w:sz w:val="21"/>
                <w:szCs w:val="21"/>
                <w:color w:val="auto"/>
              </w:rPr>
            </w:pPr>
          </w:p>
        </w:tc>
        <w:tc>
          <w:tcPr>
            <w:tcW w:w="960" w:type="dxa"/>
            <w:vAlign w:val="bottom"/>
            <w:tcBorders>
              <w:bottom w:val="single" w:sz="8" w:color="F0FFFF"/>
            </w:tcBorders>
          </w:tcPr>
          <w:p>
            <w:pPr>
              <w:spacing w:after="0"/>
              <w:rPr>
                <w:sz w:val="21"/>
                <w:szCs w:val="21"/>
                <w:color w:val="auto"/>
              </w:rPr>
            </w:pPr>
          </w:p>
        </w:tc>
        <w:tc>
          <w:tcPr>
            <w:tcW w:w="200" w:type="dxa"/>
            <w:vAlign w:val="bottom"/>
            <w:tcBorders>
              <w:bottom w:val="single" w:sz="8" w:color="F0FFFF"/>
            </w:tcBorders>
          </w:tcPr>
          <w:p>
            <w:pPr>
              <w:spacing w:after="0"/>
              <w:rPr>
                <w:sz w:val="21"/>
                <w:szCs w:val="21"/>
                <w:color w:val="auto"/>
              </w:rPr>
            </w:pPr>
          </w:p>
        </w:tc>
        <w:tc>
          <w:tcPr>
            <w:tcW w:w="200" w:type="dxa"/>
            <w:vAlign w:val="bottom"/>
            <w:tcBorders>
              <w:bottom w:val="single" w:sz="8" w:color="F0FFFF"/>
            </w:tcBorders>
          </w:tcPr>
          <w:p>
            <w:pPr>
              <w:spacing w:after="0"/>
              <w:rPr>
                <w:sz w:val="21"/>
                <w:szCs w:val="21"/>
                <w:color w:val="auto"/>
              </w:rPr>
            </w:pPr>
          </w:p>
        </w:tc>
        <w:tc>
          <w:tcPr>
            <w:tcW w:w="94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220" w:type="dxa"/>
            <w:vAlign w:val="bottom"/>
            <w:tcBorders>
              <w:bottom w:val="single" w:sz="8" w:color="F0FFFF"/>
            </w:tcBorders>
          </w:tcPr>
          <w:p>
            <w:pPr>
              <w:spacing w:after="0"/>
              <w:rPr>
                <w:sz w:val="21"/>
                <w:szCs w:val="21"/>
                <w:color w:val="auto"/>
              </w:rPr>
            </w:pPr>
          </w:p>
        </w:tc>
        <w:tc>
          <w:tcPr>
            <w:tcW w:w="92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364,696</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371,658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5,926,993</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5,840,554</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5,840,554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24,231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24,660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Residential mortgage servicing rights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7,873,193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7,881,109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430,125</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430,119</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430,119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163,836</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166,668</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contractual amount of off-balance sheet instruments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200" w:type="dxa"/>
            <w:vAlign w:val="bottom"/>
            <w:tcBorders>
              <w:bottom w:val="single" w:sz="8" w:color="F0FFFF"/>
            </w:tcBorders>
          </w:tcPr>
          <w:p>
            <w:pPr>
              <w:spacing w:after="0"/>
              <w:rPr>
                <w:sz w:val="21"/>
                <w:szCs w:val="21"/>
                <w:color w:val="auto"/>
              </w:rPr>
            </w:pPr>
          </w:p>
        </w:tc>
        <w:tc>
          <w:tcPr>
            <w:tcW w:w="134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F0FFFF"/>
            </w:tcBorders>
          </w:tcPr>
          <w:p>
            <w:pPr>
              <w:spacing w:after="0"/>
              <w:rPr>
                <w:sz w:val="21"/>
                <w:szCs w:val="21"/>
                <w:color w:val="auto"/>
              </w:rPr>
            </w:pPr>
          </w:p>
        </w:tc>
      </w:tr>
      <w:tr>
        <w:trPr>
          <w:trHeight w:val="216"/>
        </w:trPr>
        <w:tc>
          <w:tcPr>
            <w:tcW w:w="62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w:t>
            </w:r>
          </w:p>
        </w:tc>
        <w:tc>
          <w:tcPr>
            <w:tcW w:w="1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5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1,418,846</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1,351,446</w:t>
            </w:r>
          </w:p>
        </w:tc>
      </w:tr>
      <w:tr>
        <w:trPr>
          <w:trHeight w:val="216"/>
        </w:trPr>
        <w:tc>
          <w:tcPr>
            <w:tcW w:w="6200" w:type="dxa"/>
            <w:vAlign w:val="bottom"/>
            <w:shd w:val="clear" w:color="auto" w:fill="F0FFFF"/>
          </w:tcPr>
          <w:p>
            <w:pPr>
              <w:ind w:left="200"/>
              <w:spacing w:after="0"/>
              <w:rPr>
                <w:sz w:val="20"/>
                <w:szCs w:val="20"/>
                <w:color w:val="auto"/>
              </w:rPr>
            </w:pPr>
            <w:r>
              <w:rPr>
                <w:rFonts w:ascii="Times New Roman" w:cs="Times New Roman" w:eastAsia="Times New Roman" w:hAnsi="Times New Roman"/>
                <w:sz w:val="18"/>
                <w:szCs w:val="18"/>
                <w:color w:val="auto"/>
              </w:rPr>
              <w:t>Letters of credit</w:t>
            </w:r>
          </w:p>
        </w:tc>
        <w:tc>
          <w:tcPr>
            <w:tcW w:w="1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19,728</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23,373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wholly-owned bank subsidiary, United Community Bank (the “Bank”) holds minor investments in certain limited partnerships for Community Reinvestment Act purposes. As of September 30, 2016, the Bank had invested $2.51 million in these limited partnerships and had committed to fund an additional $1.99 million related to future capital calls.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goodwill and other intangible assets as of the dates indicated is summarized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420" w:type="dxa"/>
            <w:vAlign w:val="bottom"/>
            <w:tcBorders>
              <w:bottom w:val="single" w:sz="8" w:color="F0FFFF"/>
            </w:tcBorders>
          </w:tcPr>
          <w:p>
            <w:pPr>
              <w:spacing w:after="0"/>
              <w:rPr>
                <w:sz w:val="21"/>
                <w:szCs w:val="21"/>
                <w:color w:val="auto"/>
              </w:rPr>
            </w:pPr>
          </w:p>
        </w:tc>
        <w:tc>
          <w:tcPr>
            <w:tcW w:w="212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bottom w:val="single" w:sz="8" w:color="F0FFFF"/>
            </w:tcBorders>
          </w:tcPr>
          <w:p>
            <w:pPr>
              <w:spacing w:after="0"/>
              <w:rPr>
                <w:sz w:val="21"/>
                <w:szCs w:val="21"/>
                <w:color w:val="auto"/>
              </w:rPr>
            </w:pPr>
          </w:p>
        </w:tc>
        <w:tc>
          <w:tcPr>
            <w:tcW w:w="6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F0FFFF"/>
            </w:tcBorders>
          </w:tcPr>
          <w:p>
            <w:pPr>
              <w:spacing w:after="0"/>
              <w:rPr>
                <w:sz w:val="21"/>
                <w:szCs w:val="21"/>
                <w:color w:val="auto"/>
              </w:rPr>
            </w:pPr>
          </w:p>
        </w:tc>
      </w:tr>
      <w:tr>
        <w:trPr>
          <w:trHeight w:val="216"/>
        </w:trPr>
        <w:tc>
          <w:tcPr>
            <w:tcW w:w="54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Core deposit intangible</w:t>
            </w:r>
          </w:p>
        </w:tc>
        <w:tc>
          <w:tcPr>
            <w:tcW w:w="2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51,342</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49,772</w:t>
            </w:r>
          </w:p>
        </w:tc>
        <w:tc>
          <w:tcPr>
            <w:tcW w:w="100" w:type="dxa"/>
            <w:vAlign w:val="bottom"/>
            <w:shd w:val="clear" w:color="auto" w:fill="F0FFFF"/>
          </w:tcPr>
          <w:p>
            <w:pPr>
              <w:spacing w:after="0"/>
              <w:rPr>
                <w:sz w:val="18"/>
                <w:szCs w:val="18"/>
                <w:color w:val="auto"/>
              </w:rPr>
            </w:pPr>
          </w:p>
        </w:tc>
      </w:tr>
      <w:tr>
        <w:trPr>
          <w:trHeight w:val="23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(36,079)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(32,964)</w:t>
            </w:r>
          </w:p>
        </w:tc>
      </w:tr>
      <w:tr>
        <w:trPr>
          <w:trHeight w:val="216"/>
        </w:trPr>
        <w:tc>
          <w:tcPr>
            <w:tcW w:w="542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intangibles subject to amortization, net</w:t>
            </w:r>
          </w:p>
        </w:tc>
        <w:tc>
          <w:tcPr>
            <w:tcW w:w="2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100" w:type="dxa"/>
            <w:vAlign w:val="bottom"/>
            <w:tcBorders>
              <w:top w:val="single" w:sz="8" w:color="F0FFFF"/>
            </w:tcBorders>
            <w:shd w:val="clear" w:color="auto" w:fill="F0FFFF"/>
          </w:tcPr>
          <w:p>
            <w:pPr>
              <w:spacing w:after="0"/>
              <w:rPr>
                <w:sz w:val="18"/>
                <w:szCs w:val="18"/>
                <w:color w:val="auto"/>
              </w:rPr>
            </w:pPr>
          </w:p>
        </w:tc>
      </w:tr>
      <w:tr>
        <w:trPr>
          <w:trHeight w:val="23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142,025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130,612</w:t>
            </w:r>
          </w:p>
        </w:tc>
      </w:tr>
      <w:tr>
        <w:trPr>
          <w:trHeight w:val="255"/>
        </w:trPr>
        <w:tc>
          <w:tcPr>
            <w:tcW w:w="5420" w:type="dxa"/>
            <w:vAlign w:val="bottom"/>
            <w:tcBorders>
              <w:top w:val="single" w:sz="8" w:color="F0FFFF"/>
              <w:bottom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Total goodwill and other intangible assets, net</w:t>
            </w:r>
          </w:p>
        </w:tc>
        <w:tc>
          <w:tcPr>
            <w:tcW w:w="2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157,288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147,420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5420" w:type="dxa"/>
            <w:vAlign w:val="bottom"/>
            <w:tcBorders>
              <w:top w:val="single" w:sz="8" w:color="F0FFFF"/>
            </w:tcBorders>
          </w:tcPr>
          <w:p>
            <w:pPr>
              <w:spacing w:after="0" w:line="20" w:lineRule="exact"/>
              <w:rPr>
                <w:sz w:val="1"/>
                <w:szCs w:val="1"/>
                <w:color w:val="auto"/>
              </w:rPr>
            </w:pPr>
          </w:p>
        </w:tc>
        <w:tc>
          <w:tcPr>
            <w:tcW w:w="2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 summary of changes in the carrying amounts of goodwill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w:t>
      </w:r>
    </w:p>
    <w:p>
      <w:pPr>
        <w:spacing w:after="0" w:line="4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Balance, beginning of period Acquisition of Tidelands Measurement period adjustments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8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140" w:type="dxa"/>
            <w:vAlign w:val="bottom"/>
          </w:tcPr>
          <w:p>
            <w:pPr>
              <w:spacing w:after="0"/>
              <w:rPr>
                <w:sz w:val="21"/>
                <w:szCs w:val="21"/>
                <w:color w:val="auto"/>
              </w:rPr>
            </w:pPr>
          </w:p>
        </w:tc>
        <w:tc>
          <w:tcPr>
            <w:tcW w:w="380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194"/>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Goodwill, net of</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Goodwill, net of</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r>
      <w:tr>
        <w:trPr>
          <w:trHeight w:val="245"/>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8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1"/>
                <w:szCs w:val="2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0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198"/>
        </w:trPr>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436,902</w:t>
            </w:r>
          </w:p>
        </w:tc>
        <w:tc>
          <w:tcPr>
            <w:tcW w:w="2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(305,590)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131,312</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436,202</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(305,590)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130,612</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10,713</w:t>
            </w:r>
          </w:p>
        </w:tc>
        <w:tc>
          <w:tcPr>
            <w:tcW w:w="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10,713</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2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447,615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(305,590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447,615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(305,590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142,025</w:t>
            </w:r>
          </w:p>
        </w:tc>
        <w:tc>
          <w:tcPr>
            <w:tcW w:w="20" w:type="dxa"/>
            <w:vAlign w:val="bottom"/>
            <w:tcBorders>
              <w:top w:val="single" w:sz="8" w:color="auto"/>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-479425</wp:posOffset>
            </wp:positionV>
            <wp:extent cx="7246620"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-770890</wp:posOffset>
            </wp:positionV>
            <wp:extent cx="72466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40" w:space="720"/>
            <w:col w:w="816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23"/>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F0FFFF"/>
            </w:tcBorders>
          </w:tcPr>
          <w:p>
            <w:pPr>
              <w:spacing w:after="0"/>
              <w:rPr>
                <w:sz w:val="19"/>
                <w:szCs w:val="19"/>
                <w:color w:val="auto"/>
              </w:rPr>
            </w:pPr>
          </w:p>
        </w:tc>
        <w:tc>
          <w:tcPr>
            <w:tcW w:w="320" w:type="dxa"/>
            <w:vAlign w:val="bottom"/>
            <w:tcBorders>
              <w:bottom w:val="single" w:sz="8" w:color="F0FFFF"/>
            </w:tcBorders>
          </w:tcPr>
          <w:p>
            <w:pPr>
              <w:spacing w:after="0"/>
              <w:rPr>
                <w:sz w:val="19"/>
                <w:szCs w:val="19"/>
                <w:color w:val="auto"/>
              </w:rPr>
            </w:pPr>
          </w:p>
        </w:tc>
        <w:tc>
          <w:tcPr>
            <w:tcW w:w="820" w:type="dxa"/>
            <w:vAlign w:val="bottom"/>
            <w:tcBorders>
              <w:bottom w:val="single" w:sz="8" w:color="F0FFFF"/>
            </w:tcBorders>
          </w:tcPr>
          <w:p>
            <w:pPr>
              <w:spacing w:after="0"/>
              <w:rPr>
                <w:sz w:val="19"/>
                <w:szCs w:val="19"/>
                <w:color w:val="auto"/>
              </w:rPr>
            </w:pPr>
          </w:p>
        </w:tc>
        <w:tc>
          <w:tcPr>
            <w:tcW w:w="220" w:type="dxa"/>
            <w:vAlign w:val="bottom"/>
            <w:tcBorders>
              <w:bottom w:val="single" w:sz="8" w:color="F0FFFF"/>
            </w:tcBorders>
          </w:tcPr>
          <w:p>
            <w:pPr>
              <w:spacing w:after="0"/>
              <w:rPr>
                <w:sz w:val="19"/>
                <w:szCs w:val="19"/>
                <w:color w:val="auto"/>
              </w:rPr>
            </w:pPr>
          </w:p>
        </w:tc>
        <w:tc>
          <w:tcPr>
            <w:tcW w:w="280" w:type="dxa"/>
            <w:vAlign w:val="bottom"/>
            <w:tcBorders>
              <w:bottom w:val="single" w:sz="8" w:color="F0FFFF"/>
            </w:tcBorders>
          </w:tcPr>
          <w:p>
            <w:pPr>
              <w:spacing w:after="0"/>
              <w:rPr>
                <w:sz w:val="19"/>
                <w:szCs w:val="19"/>
                <w:color w:val="auto"/>
              </w:rPr>
            </w:pPr>
          </w:p>
        </w:tc>
        <w:tc>
          <w:tcPr>
            <w:tcW w:w="840" w:type="dxa"/>
            <w:vAlign w:val="bottom"/>
            <w:tcBorders>
              <w:bottom w:val="single" w:sz="8" w:color="F0FFFF"/>
            </w:tcBorders>
          </w:tcPr>
          <w:p>
            <w:pPr>
              <w:spacing w:after="0"/>
              <w:rPr>
                <w:sz w:val="19"/>
                <w:szCs w:val="19"/>
                <w:color w:val="auto"/>
              </w:rPr>
            </w:pPr>
          </w:p>
        </w:tc>
        <w:tc>
          <w:tcPr>
            <w:tcW w:w="14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360" w:type="dxa"/>
            <w:vAlign w:val="bottom"/>
            <w:tcBorders>
              <w:bottom w:val="single" w:sz="8" w:color="F0FFFF"/>
            </w:tcBorders>
          </w:tcPr>
          <w:p>
            <w:pPr>
              <w:spacing w:after="0"/>
              <w:rPr>
                <w:sz w:val="19"/>
                <w:szCs w:val="19"/>
                <w:color w:val="auto"/>
              </w:rPr>
            </w:pPr>
          </w:p>
        </w:tc>
        <w:tc>
          <w:tcPr>
            <w:tcW w:w="860" w:type="dxa"/>
            <w:vAlign w:val="bottom"/>
            <w:tcBorders>
              <w:bottom w:val="single" w:sz="8" w:color="F0FFFF"/>
            </w:tcBorders>
          </w:tcPr>
          <w:p>
            <w:pPr>
              <w:spacing w:after="0"/>
              <w:rPr>
                <w:sz w:val="19"/>
                <w:szCs w:val="19"/>
                <w:color w:val="auto"/>
              </w:rPr>
            </w:pPr>
          </w:p>
        </w:tc>
        <w:tc>
          <w:tcPr>
            <w:tcW w:w="220" w:type="dxa"/>
            <w:vAlign w:val="bottom"/>
            <w:tcBorders>
              <w:bottom w:val="single" w:sz="8" w:color="F0FFFF"/>
            </w:tcBorders>
          </w:tcPr>
          <w:p>
            <w:pPr>
              <w:spacing w:after="0"/>
              <w:rPr>
                <w:sz w:val="19"/>
                <w:szCs w:val="19"/>
                <w:color w:val="auto"/>
              </w:rPr>
            </w:pPr>
          </w:p>
        </w:tc>
        <w:tc>
          <w:tcPr>
            <w:tcW w:w="320" w:type="dxa"/>
            <w:vAlign w:val="bottom"/>
            <w:tcBorders>
              <w:bottom w:val="single" w:sz="8" w:color="F0FFFF"/>
            </w:tcBorders>
          </w:tcPr>
          <w:p>
            <w:pPr>
              <w:spacing w:after="0"/>
              <w:rPr>
                <w:sz w:val="19"/>
                <w:szCs w:val="19"/>
                <w:color w:val="auto"/>
              </w:rPr>
            </w:pPr>
          </w:p>
        </w:tc>
        <w:tc>
          <w:tcPr>
            <w:tcW w:w="800" w:type="dxa"/>
            <w:vAlign w:val="bottom"/>
            <w:tcBorders>
              <w:bottom w:val="single" w:sz="8" w:color="F0FFFF"/>
            </w:tcBorders>
          </w:tcPr>
          <w:p>
            <w:pPr>
              <w:spacing w:after="0"/>
              <w:rPr>
                <w:sz w:val="19"/>
                <w:szCs w:val="19"/>
                <w:color w:val="auto"/>
              </w:rPr>
            </w:pPr>
          </w:p>
        </w:tc>
        <w:tc>
          <w:tcPr>
            <w:tcW w:w="220" w:type="dxa"/>
            <w:vAlign w:val="bottom"/>
            <w:tcBorders>
              <w:bottom w:val="single" w:sz="8" w:color="F0FFFF"/>
            </w:tcBorders>
          </w:tcPr>
          <w:p>
            <w:pPr>
              <w:spacing w:after="0"/>
              <w:rPr>
                <w:sz w:val="19"/>
                <w:szCs w:val="19"/>
                <w:color w:val="auto"/>
              </w:rPr>
            </w:pPr>
          </w:p>
        </w:tc>
        <w:tc>
          <w:tcPr>
            <w:tcW w:w="300" w:type="dxa"/>
            <w:vAlign w:val="bottom"/>
            <w:tcBorders>
              <w:bottom w:val="single" w:sz="8" w:color="F0FFFF"/>
            </w:tcBorders>
          </w:tcPr>
          <w:p>
            <w:pPr>
              <w:spacing w:after="0"/>
              <w:rPr>
                <w:sz w:val="19"/>
                <w:szCs w:val="19"/>
                <w:color w:val="auto"/>
              </w:rPr>
            </w:pPr>
          </w:p>
        </w:tc>
        <w:tc>
          <w:tcPr>
            <w:tcW w:w="840" w:type="dxa"/>
            <w:vAlign w:val="bottom"/>
            <w:tcBorders>
              <w:bottom w:val="single" w:sz="8" w:color="F0FFFF"/>
            </w:tcBorders>
          </w:tcPr>
          <w:p>
            <w:pPr>
              <w:spacing w:after="0"/>
              <w:rPr>
                <w:sz w:val="19"/>
                <w:szCs w:val="19"/>
                <w:color w:val="auto"/>
              </w:rPr>
            </w:pPr>
          </w:p>
        </w:tc>
        <w:tc>
          <w:tcPr>
            <w:tcW w:w="220" w:type="dxa"/>
            <w:vAlign w:val="bottom"/>
            <w:tcBorders>
              <w:bottom w:val="single" w:sz="8" w:color="F0FFFF"/>
            </w:tcBorders>
          </w:tcPr>
          <w:p>
            <w:pPr>
              <w:spacing w:after="0"/>
              <w:rPr>
                <w:sz w:val="19"/>
                <w:szCs w:val="19"/>
                <w:color w:val="auto"/>
              </w:rPr>
            </w:pPr>
          </w:p>
        </w:tc>
        <w:tc>
          <w:tcPr>
            <w:tcW w:w="20" w:type="dxa"/>
            <w:vAlign w:val="bottom"/>
            <w:tcBorders>
              <w:bottom w:val="single" w:sz="8" w:color="F0FFFF"/>
            </w:tcBorders>
          </w:tcPr>
          <w:p>
            <w:pPr>
              <w:spacing w:after="0"/>
              <w:rPr>
                <w:sz w:val="19"/>
                <w:szCs w:val="19"/>
                <w:color w:val="auto"/>
              </w:rPr>
            </w:pPr>
          </w:p>
        </w:tc>
        <w:tc>
          <w:tcPr>
            <w:tcW w:w="340" w:type="dxa"/>
            <w:vAlign w:val="bottom"/>
            <w:tcBorders>
              <w:bottom w:val="single" w:sz="8" w:color="F0FFFF"/>
            </w:tcBorders>
          </w:tcPr>
          <w:p>
            <w:pPr>
              <w:spacing w:after="0"/>
              <w:rPr>
                <w:sz w:val="19"/>
                <w:szCs w:val="19"/>
                <w:color w:val="auto"/>
              </w:rPr>
            </w:pPr>
          </w:p>
        </w:tc>
        <w:tc>
          <w:tcPr>
            <w:tcW w:w="860" w:type="dxa"/>
            <w:vAlign w:val="bottom"/>
            <w:tcBorders>
              <w:bottom w:val="single" w:sz="8" w:color="F0FFFF"/>
            </w:tcBorders>
          </w:tcPr>
          <w:p>
            <w:pPr>
              <w:spacing w:after="0"/>
              <w:rPr>
                <w:sz w:val="19"/>
                <w:szCs w:val="19"/>
                <w:color w:val="auto"/>
              </w:rPr>
            </w:pPr>
          </w:p>
        </w:tc>
        <w:tc>
          <w:tcPr>
            <w:tcW w:w="2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r>
      <w:tr>
        <w:trPr>
          <w:trHeight w:val="216"/>
        </w:trPr>
        <w:tc>
          <w:tcPr>
            <w:tcW w:w="3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gridSpan w:val="2"/>
            <w:shd w:val="clear" w:color="auto" w:fill="F0F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320,117</w:t>
            </w:r>
          </w:p>
        </w:tc>
        <w:tc>
          <w:tcPr>
            <w:tcW w:w="280" w:type="dxa"/>
            <w:vAlign w:val="bottom"/>
            <w:shd w:val="clear" w:color="auto" w:fill="F0FF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(305,590)</w:t>
            </w:r>
          </w:p>
        </w:tc>
        <w:tc>
          <w:tcPr>
            <w:tcW w:w="440" w:type="dxa"/>
            <w:vAlign w:val="bottom"/>
            <w:gridSpan w:val="2"/>
            <w:shd w:val="clear" w:color="auto" w:fill="F0FF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14,527</w:t>
            </w:r>
          </w:p>
        </w:tc>
        <w:tc>
          <w:tcPr>
            <w:tcW w:w="320" w:type="dxa"/>
            <w:vAlign w:val="bottom"/>
            <w:shd w:val="clear" w:color="auto" w:fill="F0FF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307,099</w:t>
            </w:r>
          </w:p>
        </w:tc>
        <w:tc>
          <w:tcPr>
            <w:tcW w:w="300" w:type="dxa"/>
            <w:vAlign w:val="bottom"/>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8"/>
                <w:szCs w:val="18"/>
                <w:color w:val="auto"/>
              </w:rPr>
              <w:t>(305,590)</w:t>
            </w:r>
          </w:p>
        </w:tc>
        <w:tc>
          <w:tcPr>
            <w:tcW w:w="360" w:type="dxa"/>
            <w:vAlign w:val="bottom"/>
            <w:gridSpan w:val="2"/>
            <w:shd w:val="clear" w:color="auto" w:fill="F0FFFF"/>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shd w:val="clear" w:color="auto" w:fill="F0FF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Palmetto</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107,923</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107,923</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107,923</w:t>
            </w:r>
          </w:p>
        </w:tc>
        <w:tc>
          <w:tcPr>
            <w:tcW w:w="3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107,923</w:t>
            </w:r>
          </w:p>
        </w:tc>
        <w:tc>
          <w:tcPr>
            <w:tcW w:w="80" w:type="dxa"/>
            <w:vAlign w:val="bottom"/>
          </w:tcPr>
          <w:p>
            <w:pPr>
              <w:spacing w:after="0"/>
              <w:rPr>
                <w:sz w:val="18"/>
                <w:szCs w:val="18"/>
                <w:color w:val="auto"/>
              </w:rPr>
            </w:pPr>
          </w:p>
        </w:tc>
      </w:tr>
      <w:tr>
        <w:trPr>
          <w:trHeight w:val="250"/>
        </w:trPr>
        <w:tc>
          <w:tcPr>
            <w:tcW w:w="31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Acquisition of MoneyTree</w:t>
            </w:r>
          </w:p>
        </w:tc>
        <w:tc>
          <w:tcPr>
            <w:tcW w:w="10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1,116</w:t>
            </w:r>
          </w:p>
        </w:tc>
        <w:tc>
          <w:tcPr>
            <w:tcW w:w="28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1,116</w:t>
            </w:r>
          </w:p>
        </w:tc>
        <w:tc>
          <w:tcPr>
            <w:tcW w:w="32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8"/>
                <w:szCs w:val="18"/>
                <w:color w:val="auto"/>
              </w:rPr>
              <w:t>14,134</w:t>
            </w: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8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14,134</w:t>
            </w:r>
          </w:p>
        </w:tc>
        <w:tc>
          <w:tcPr>
            <w:tcW w:w="80" w:type="dxa"/>
            <w:vAlign w:val="bottom"/>
            <w:shd w:val="clear" w:color="auto" w:fill="F0FFFF"/>
          </w:tcPr>
          <w:p>
            <w:pPr>
              <w:spacing w:after="0"/>
              <w:rPr>
                <w:sz w:val="21"/>
                <w:szCs w:val="21"/>
                <w:color w:val="auto"/>
              </w:rPr>
            </w:pPr>
          </w:p>
        </w:tc>
      </w:tr>
      <w:tr>
        <w:trPr>
          <w:trHeight w:val="217"/>
        </w:trPr>
        <w:tc>
          <w:tcPr>
            <w:tcW w:w="316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tcBorders>
              <w:top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429,156</w:t>
            </w:r>
          </w:p>
        </w:tc>
        <w:tc>
          <w:tcPr>
            <w:tcW w:w="22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(305,590</w:t>
            </w:r>
          </w:p>
        </w:tc>
        <w:tc>
          <w:tcPr>
            <w:tcW w:w="140" w:type="dxa"/>
            <w:vAlign w:val="bottom"/>
            <w:tcBorders>
              <w:top w:val="single" w:sz="8" w:color="F0FF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123,566</w:t>
            </w:r>
          </w:p>
        </w:tc>
        <w:tc>
          <w:tcPr>
            <w:tcW w:w="220" w:type="dxa"/>
            <w:vAlign w:val="bottom"/>
            <w:tcBorders>
              <w:top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429,156</w:t>
            </w:r>
          </w:p>
        </w:tc>
        <w:tc>
          <w:tcPr>
            <w:tcW w:w="22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(305,590</w:t>
            </w:r>
          </w:p>
        </w:tc>
        <w:tc>
          <w:tcPr>
            <w:tcW w:w="220" w:type="dxa"/>
            <w:vAlign w:val="bottom"/>
            <w:tcBorders>
              <w:top w:val="single" w:sz="8" w:color="F0FF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F0FF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123,566</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r>
      <w:tr>
        <w:trPr>
          <w:trHeight w:val="21"/>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amortization expense for intangibles subject to amortization for the three and nine months ended September 30, 2016 was $1.12 million and $3.12 million, respectively, which was recognized in operating expenses. The amortization expense for intangibles subject to amortization for the three and nine months ended September 30, 2015 was $714,000 and $1.4 million, respectively. The estimated aggregate amortization expense for future periods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7"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4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shd w:val="clear" w:color="auto" w:fill="F0FFFF"/>
          </w:tcPr>
          <w:p>
            <w:pPr>
              <w:spacing w:after="0" w:line="20" w:lineRule="exact"/>
              <w:rPr>
                <w:sz w:val="1"/>
                <w:szCs w:val="1"/>
                <w:color w:val="auto"/>
              </w:rPr>
            </w:pPr>
          </w:p>
        </w:tc>
        <w:tc>
          <w:tcPr>
            <w:tcW w:w="608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66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Remainder of 2016</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3,413</w:t>
            </w: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2,171</w:t>
            </w: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68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4,245</w:t>
            </w:r>
          </w:p>
        </w:tc>
        <w:tc>
          <w:tcPr>
            <w:tcW w:w="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tcBorders>
              <w:top w:val="single" w:sz="8" w:color="F0FF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F0FF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20" w:type="dxa"/>
            <w:vAlign w:val="bottom"/>
            <w:tcBorders>
              <w:top w:val="single" w:sz="8" w:color="F0FFFF"/>
              <w:bottom w:val="single" w:sz="8" w:color="auto"/>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42" w:name="page43"/>
    <w:bookmarkEnd w:id="4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2015 as well as the following factors:</w:t>
      </w:r>
    </w:p>
    <w:p>
      <w:pPr>
        <w:spacing w:after="0" w:line="18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general business and economic environment;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internal credit stress tests may not accurately predict the impact on our financial condition if the economy were to deteriorate;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balance of our net deferred tax asset, including net operating loss carryforwards;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increase the valuation allowance on our net deferred tax asset in future periods;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banking system and financial markets;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liquidity or access other sources of funding;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funding;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local economies in which we operate;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geographic diversification;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interest rates may negatively affect our net income and the value of our assets and other interest rate risks;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reporting policies;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allowance for loan losses is not sufficient to cover actual loan losses;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loan customers, third party service providers or employees;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communications and information systems, including risks with respect to cybersecurity breaches;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successfully expand and complete acquisitions and integrate businesses and operations that are acquired;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in the stock market, the public debt market and other capital markets deteriorate;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Dodd-Frank Wall Street Reform and Consumer Protection Act of 2010 and related regulations;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or failures to comply with such laws and regulations;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capital and other requirements;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litigation, examinations, investigations, or similar matters, or adverse facts and developments related thereto;</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judicial proceedings, board resolutions, informal memorandums of understanding or formal enforcement actions imposed by regulators that may occur;</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and interpretations or challenges to our income tax provision;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 and disclosure controls and procedures.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 The financial statements and information contained herein have not been reviewed, or confirmed for accuracy or relevance, by the Federal Deposit Insurance Corporation.</w:t>
      </w: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is intended to provide insight into the results of operations and financial condition of United Community Banks, Inc. (“United”) and its subsidiaries and should be read in conjunction with United’s consolidated financial statements and accompanying notes.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September 30, 2016, United had total consolidated assets of $10.3 billion, total loans of $6.73 billion, total deposits of $8.44 billion, and shareholders’ equity of $1.08 billion.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conducts substantially all of its operations through its wholly-owned Georgia bank subsidiary, United Community Bank (the “Bank”), which as of September 30, 2016, operated at 140 locations throughout the Atlanta-Sandy Springs-Roswell, Georgia, and Gainesville, Georgia metropolitan statistical areas, upstate and coastal South Carolina, north and coastal Georgia, western North Carolina, and east Tennessee. Also, United has a commercial loan office in Charlotte, North Carolina.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2016, United completed its previously announced acquisition of Tidelands Bancshares, Inc. (“Tidelands”) and its wholly-owned bank subsidiary,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Tidelands Bank. On September 1, 2015, United completed the acquisition of Palmetto Bancshares, Inc. (“Palmetto”) and its wholly-owned bank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Palmetto Bank. On May 1, 2015, United completed the acquisition of MoneyTree Corporation (“MoneyTree”) and its wholly-owned bank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National Bank. The acquired entities’ results are included in United’s consolidated results beginning on their respective acquisition dates.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reported net income of $25.9 million, or $.36 per diluted share, for the third quarter of 2016, compared to net income of $17.9 million, or $.27 per diluted share, for the third quarter of 2015. For the nine months ended September 30, 2016, United reported net income of $73.4 million, or $1.02 per diluted share, compared to $53.4 million, or $.84 per diluted share, for the first nine months of 2015.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interest revenue increased to $79.0 million for the third quarter of 2016, compared to $65.4 million for the third quarter of 2015, primarily due to higher loan volume, much of which resulted from United’s acquisitions of Tidelands, Palmetto, and MoneyTree (the “Acquisitions”). Net interest margin increased to 3.34% for the three months ended September 30, 2016 from 3.26% for the same period in 2015 due to a higher yield on the investment securities portfolio and growth in the loan portfolio that led to a more favorable earning asset mix. For the nine months ended September 30, 2016, net interest revenue was $229 million and the net interest margin was 3.36% compared to net interest revenue of $184 million and net interest margin of 3.29% for the same period in 2015 primarily due to the same factors that affected the quarterly results.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release of provision for credit losses was $300,000 for the third quarter of 2016, compared to provision expense of $700,000 for the third quarter of 2015. For the nine months ended September 30, 2016, United’s release of provision for credit losses was $800,000, compared to provision expense of $3.40 million for the same period in 2015. Net charge-offs for the third quarter of 2016 were $1.36 million, compared to $1.42 million for the third quarter of 2015. Recoveries of previously charged-off amounts remained at elevated levels, with third quarter 2016 being the sixth consecutive quarter of recoveries greater than $1 million.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2016, United’s allowance for loan losses was $63.0 million, or .94% of loans, compared to $68.4 million, or 1.14% of loans, at December 31, 2015 reflecting continued asset quality improvement. Nonperforming assets of $30.8 million were .30% of total assets at September 30, 2016, up from .29% at December 31, 2015 due to foreclosed properties resulting from the Tidelands acquisition. During the third quarter of 2016, $6.68 million in loans were placed on nonaccrual compared with $8.92 million in the third quarter of 2015.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Fee revenue of $26.4 million for the third quarter of 2016 was up $8.06 million, or 44%, from the third quarter of 2015. Service charges and fees in the third quarter of 2016 were $10.8 million, up from $9.34 million in the third quarter of 2015 primarily due to higher deposit balances and related fees resulting from the Acquisitions. In addition, gains from the sales of government guaranteed loans increased $833,000 in the third quarter of 2016 compared to the third quarter of 2015. Mortgage fees of $6.04 million for the third quarter of 2016 increased from $3.84 million in the third quarter of 2015. The increase was due to United’s emphasis on growing its mortgage business by recruiting lenders in metropolitan markets and continued strong refinancing activity. For the first nine months of 2016, fee revenue of $68.5 million increased $17.2 million, or 34%, from the same period in 2015, primarily due to the same factors that affected the quarterly results.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third quarter of 2016, operating expenses of $64.0 million were up $9.75 million from the third quarter of 2015, primarily due to the addition of Tidelands and Palmetto operating expenses since acquisition. Salaries and benefits expense increased $7.14 million from a year ago mostly due to the acquisitions of Tidelands and Palmetto and investment in additional staff and new teams to expand the specialized lending area as well as higher incentive compensation in connection with increased lending activities and improvement in earnings performance. For the nine months ended September 30, 2016, operating expenses of $180 million were up $34.2 million from the same period in 2015, primarily due to the same factors that affected the quarterly results as well as increases related to the MoneyTree acquisition.</w:t>
      </w: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and reporting policies of United are in accordance with accounting principles generally accepted in the United States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Reconciliation and Explanation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contains financial information determined by methods other than in accordance with GAAP. Such non-GAAP financial information includes the following measures: taxable equivalent interest revenue, taxable equivalent net interest revenue, tangible book value per share, tangible equity to assets, tangible common equity to assets and tangible common equity to risk-weighted assets. In addition, management presents non-GAAP operating performance measures, which exclude merger-related and other charges that are not part of United’s ongoing business operations. Operating performance measures include net income – operating, net income available to common shareholders – operating, diluted net income per share – operating, return on common equity – operating, return on tangible common equity – operating, return on assets – operating, dividend payout ratio – operating and efficiency ratio – operating. Management has developed internal processes and procedures to accurately capture and account for merger-related and other charges and those charges are reviewed with the audit committee of United’s Board of Directors each quarter.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the table on page 44.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United reported net income of $25.9 million for the third quarter of 2016. This compared to net income of $17.9 million for the same period in 2015. For the third quarter of 2016, diluted earnings per common share were $.36 compared to $.27 for the third quarter of 2015. For the nine months ended June 30, 2016, United reported net income of $73.4 million compared to net income of $53.4 million for the same period in 2015.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reported operating net income of $27.8 million and $77.8 million, respectively, for the third quarter and first nine months of 2016, compared to $21.7 million and $59.4 million, respectively, for the same periods in 2015. Operating net income excludes the effects of merger-related charges, which, net of tax, totaled $1.96 million and $4.34 million, respectively, for the three and nine months ended September 30, 2016. Merger-related charges, net of tax, totaled $3.84 million and $6.02 million, respectively, for the three and nine months ended September 30, 2015.</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Table 1 - Financial 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Third</w:t>
            </w: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jc w:val="center"/>
              <w:ind w:left="228"/>
              <w:spacing w:after="0" w:line="131" w:lineRule="exact"/>
              <w:rPr>
                <w:sz w:val="20"/>
                <w:szCs w:val="20"/>
                <w:color w:val="auto"/>
              </w:rPr>
            </w:pPr>
            <w:r>
              <w:rPr>
                <w:rFonts w:ascii="Times New Roman" w:cs="Times New Roman" w:eastAsia="Times New Roman" w:hAnsi="Times New Roman"/>
                <w:sz w:val="14"/>
                <w:szCs w:val="14"/>
                <w:b w:val="1"/>
                <w:bCs w:val="1"/>
                <w:color w:val="auto"/>
              </w:rPr>
              <w:t>For the Nine</w:t>
            </w: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Pr>
          <w:p>
            <w:pPr>
              <w:spacing w:after="0"/>
              <w:rPr>
                <w:sz w:val="16"/>
                <w:szCs w:val="16"/>
                <w:color w:val="auto"/>
              </w:rPr>
            </w:pPr>
          </w:p>
        </w:tc>
        <w:tc>
          <w:tcPr>
            <w:tcW w:w="12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4"/>
                <w:szCs w:val="14"/>
                <w:b w:val="1"/>
                <w:bCs w:val="1"/>
                <w:color w:val="auto"/>
              </w:rPr>
              <w:t>Third</w:t>
            </w:r>
          </w:p>
        </w:tc>
        <w:tc>
          <w:tcPr>
            <w:tcW w:w="120" w:type="dxa"/>
            <w:vAlign w:val="bottom"/>
          </w:tcPr>
          <w:p>
            <w:pPr>
              <w:spacing w:after="0"/>
              <w:rPr>
                <w:sz w:val="12"/>
                <w:szCs w:val="12"/>
                <w:color w:val="auto"/>
              </w:rPr>
            </w:pPr>
          </w:p>
        </w:tc>
        <w:tc>
          <w:tcPr>
            <w:tcW w:w="9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00" w:type="dxa"/>
            <w:vAlign w:val="bottom"/>
          </w:tcPr>
          <w:p>
            <w:pPr>
              <w:spacing w:after="0"/>
              <w:rPr>
                <w:sz w:val="12"/>
                <w:szCs w:val="12"/>
                <w:color w:val="auto"/>
              </w:rPr>
            </w:pPr>
          </w:p>
        </w:tc>
        <w:tc>
          <w:tcPr>
            <w:tcW w:w="700" w:type="dxa"/>
            <w:vAlign w:val="bottom"/>
          </w:tcPr>
          <w:p>
            <w:pPr>
              <w:jc w:val="right"/>
              <w:ind w:right="188"/>
              <w:spacing w:after="0" w:line="135" w:lineRule="exact"/>
              <w:rPr>
                <w:sz w:val="20"/>
                <w:szCs w:val="20"/>
                <w:color w:val="auto"/>
              </w:rPr>
            </w:pPr>
            <w:r>
              <w:rPr>
                <w:rFonts w:ascii="Times New Roman" w:cs="Times New Roman" w:eastAsia="Times New Roman" w:hAnsi="Times New Roman"/>
                <w:sz w:val="14"/>
                <w:szCs w:val="14"/>
                <w:b w:val="1"/>
                <w:bCs w:val="1"/>
                <w:color w:val="auto"/>
              </w:rPr>
              <w:t>First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4"/>
                <w:szCs w:val="14"/>
                <w:b w:val="1"/>
                <w:bCs w:val="1"/>
                <w:color w:val="auto"/>
              </w:rPr>
              <w:t>Fourth</w:t>
            </w:r>
          </w:p>
        </w:tc>
        <w:tc>
          <w:tcPr>
            <w:tcW w:w="100" w:type="dxa"/>
            <w:vAlign w:val="bottom"/>
          </w:tcPr>
          <w:p>
            <w:pPr>
              <w:spacing w:after="0"/>
              <w:rPr>
                <w:sz w:val="12"/>
                <w:szCs w:val="12"/>
                <w:color w:val="auto"/>
              </w:rPr>
            </w:pPr>
          </w:p>
        </w:tc>
        <w:tc>
          <w:tcPr>
            <w:tcW w:w="700" w:type="dxa"/>
            <w:vAlign w:val="bottom"/>
          </w:tcPr>
          <w:p>
            <w:pPr>
              <w:jc w:val="right"/>
              <w:ind w:right="148"/>
              <w:spacing w:after="0" w:line="135" w:lineRule="exact"/>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2"/>
                <w:szCs w:val="12"/>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2016-2015</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left="228"/>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2016-2015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4"/>
                <w:szCs w:val="14"/>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4"/>
                <w:szCs w:val="14"/>
                <w:color w:val="auto"/>
              </w:rPr>
            </w:pPr>
          </w:p>
        </w:tc>
        <w:tc>
          <w:tcPr>
            <w:tcW w:w="8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top w:val="single" w:sz="8" w:color="auto"/>
              <w:right w:val="single" w:sz="8" w:color="F0FFFF"/>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SUMMARY</w:t>
            </w: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spacing w:after="0"/>
              <w:rPr>
                <w:sz w:val="12"/>
                <w:szCs w:val="12"/>
                <w:color w:val="auto"/>
              </w:rPr>
            </w:pPr>
          </w:p>
        </w:tc>
        <w:tc>
          <w:tcPr>
            <w:tcW w:w="200" w:type="dxa"/>
            <w:vAlign w:val="bottom"/>
            <w:tcBorders>
              <w:top w:val="single" w:sz="8" w:color="F0FFFF"/>
              <w:right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860" w:type="dxa"/>
            <w:vAlign w:val="bottom"/>
            <w:tcBorders>
              <w:top w:val="single" w:sz="8" w:color="auto"/>
            </w:tcBorders>
            <w:shd w:val="clear" w:color="auto" w:fill="F0FFFF"/>
          </w:tcPr>
          <w:p>
            <w:pPr>
              <w:spacing w:after="0"/>
              <w:rPr>
                <w:sz w:val="12"/>
                <w:szCs w:val="12"/>
                <w:color w:val="auto"/>
              </w:rPr>
            </w:pPr>
          </w:p>
        </w:tc>
        <w:tc>
          <w:tcPr>
            <w:tcW w:w="2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spacing w:after="0"/>
              <w:rPr>
                <w:sz w:val="12"/>
                <w:szCs w:val="12"/>
                <w:color w:val="auto"/>
              </w:rPr>
            </w:pPr>
          </w:p>
        </w:tc>
        <w:tc>
          <w:tcPr>
            <w:tcW w:w="200" w:type="dxa"/>
            <w:vAlign w:val="bottom"/>
            <w:tcBorders>
              <w:top w:val="single" w:sz="8" w:color="F0FFFF"/>
              <w:right w:val="single" w:sz="8" w:color="F0FFFF"/>
            </w:tcBorders>
            <w:shd w:val="clear" w:color="auto" w:fill="F0FFFF"/>
          </w:tcPr>
          <w:p>
            <w:pPr>
              <w:spacing w:after="0"/>
              <w:rPr>
                <w:sz w:val="12"/>
                <w:szCs w:val="12"/>
                <w:color w:val="auto"/>
              </w:rPr>
            </w:pPr>
          </w:p>
        </w:tc>
        <w:tc>
          <w:tcPr>
            <w:tcW w:w="360" w:type="dxa"/>
            <w:vAlign w:val="bottom"/>
            <w:tcBorders>
              <w:top w:val="single" w:sz="8" w:color="auto"/>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spacing w:after="0"/>
              <w:rPr>
                <w:sz w:val="12"/>
                <w:szCs w:val="12"/>
                <w:color w:val="auto"/>
              </w:rPr>
            </w:pPr>
          </w:p>
        </w:tc>
        <w:tc>
          <w:tcPr>
            <w:tcW w:w="200" w:type="dxa"/>
            <w:vAlign w:val="bottom"/>
            <w:tcBorders>
              <w:top w:val="single" w:sz="8" w:color="F0FFFF"/>
            </w:tcBorders>
            <w:shd w:val="clear" w:color="auto" w:fill="F0FFFF"/>
          </w:tcPr>
          <w:p>
            <w:pPr>
              <w:spacing w:after="0"/>
              <w:rPr>
                <w:sz w:val="12"/>
                <w:szCs w:val="12"/>
                <w:color w:val="auto"/>
              </w:rPr>
            </w:pPr>
          </w:p>
        </w:tc>
        <w:tc>
          <w:tcPr>
            <w:tcW w:w="86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revenue</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85,439</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81,082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80,721</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79,362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70,828</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247,242</w:t>
            </w:r>
          </w:p>
        </w:tc>
        <w:tc>
          <w:tcPr>
            <w:tcW w:w="3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199,170</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Borders>
              <w:right w:val="single" w:sz="8" w:color="F0FFFF"/>
            </w:tcBorders>
            <w:shd w:val="clear" w:color="auto" w:fill="F0FF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6,450</w:t>
            </w:r>
          </w:p>
        </w:tc>
        <w:tc>
          <w:tcPr>
            <w:tcW w:w="12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6,164</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5,769</w:t>
            </w:r>
          </w:p>
        </w:tc>
        <w:tc>
          <w:tcPr>
            <w:tcW w:w="120" w:type="dxa"/>
            <w:vAlign w:val="bottom"/>
            <w:shd w:val="clear" w:color="auto" w:fill="F0FFFF"/>
          </w:tcPr>
          <w:p>
            <w:pPr>
              <w:spacing w:after="0"/>
              <w:rPr>
                <w:sz w:val="15"/>
                <w:szCs w:val="15"/>
                <w:color w:val="auto"/>
              </w:rPr>
            </w:pPr>
          </w:p>
        </w:tc>
        <w:tc>
          <w:tcPr>
            <w:tcW w:w="9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5,598</w:t>
            </w:r>
          </w:p>
        </w:tc>
        <w:tc>
          <w:tcPr>
            <w:tcW w:w="1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5,402</w:t>
            </w:r>
          </w:p>
        </w:tc>
        <w:tc>
          <w:tcPr>
            <w:tcW w:w="8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18,383</w:t>
            </w:r>
          </w:p>
        </w:tc>
        <w:tc>
          <w:tcPr>
            <w:tcW w:w="36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15,511</w:t>
            </w:r>
          </w:p>
        </w:tc>
        <w:tc>
          <w:tcPr>
            <w:tcW w:w="8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Net interest revenue</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78,989</w:t>
            </w:r>
          </w:p>
        </w:tc>
        <w:tc>
          <w:tcPr>
            <w:tcW w:w="22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74,918</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74,952</w:t>
            </w:r>
          </w:p>
        </w:tc>
        <w:tc>
          <w:tcPr>
            <w:tcW w:w="20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73,764</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65,426</w:t>
            </w:r>
          </w:p>
        </w:tc>
        <w:tc>
          <w:tcPr>
            <w:tcW w:w="220" w:type="dxa"/>
            <w:vAlign w:val="bottom"/>
            <w:tcBorders>
              <w:top w:val="single" w:sz="8" w:color="F0FFFF"/>
            </w:tcBorders>
          </w:tcPr>
          <w:p>
            <w:pPr>
              <w:spacing w:after="0"/>
              <w:rPr>
                <w:sz w:val="11"/>
                <w:szCs w:val="11"/>
                <w:color w:val="auto"/>
              </w:rPr>
            </w:pPr>
          </w:p>
        </w:tc>
        <w:tc>
          <w:tcPr>
            <w:tcW w:w="1060" w:type="dxa"/>
            <w:vAlign w:val="bottom"/>
            <w:tcBorders>
              <w:top w:val="single" w:sz="8" w:color="F0FFFF"/>
            </w:tcBorders>
            <w:gridSpan w:val="2"/>
          </w:tcPr>
          <w:p>
            <w:pPr>
              <w:jc w:val="right"/>
              <w:ind w:right="80"/>
              <w:spacing w:after="0" w:line="136" w:lineRule="exact"/>
              <w:rPr>
                <w:sz w:val="20"/>
                <w:szCs w:val="20"/>
                <w:color w:val="auto"/>
              </w:rPr>
            </w:pPr>
            <w:r>
              <w:rPr>
                <w:rFonts w:ascii="Times New Roman" w:cs="Times New Roman" w:eastAsia="Times New Roman" w:hAnsi="Times New Roman"/>
                <w:sz w:val="14"/>
                <w:szCs w:val="14"/>
                <w:color w:val="auto"/>
              </w:rPr>
              <w:t>21%</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228,859</w:t>
            </w:r>
          </w:p>
        </w:tc>
        <w:tc>
          <w:tcPr>
            <w:tcW w:w="200" w:type="dxa"/>
            <w:vAlign w:val="bottom"/>
            <w:tcBorders>
              <w:top w:val="single" w:sz="8" w:color="F0FFFF"/>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183,659</w:t>
            </w:r>
          </w:p>
        </w:tc>
        <w:tc>
          <w:tcPr>
            <w:tcW w:w="200" w:type="dxa"/>
            <w:vAlign w:val="bottom"/>
            <w:tcBorders>
              <w:top w:val="single" w:sz="8" w:color="F0FFFF"/>
            </w:tcBorders>
          </w:tcPr>
          <w:p>
            <w:pPr>
              <w:spacing w:after="0"/>
              <w:rPr>
                <w:sz w:val="11"/>
                <w:szCs w:val="11"/>
                <w:color w:val="auto"/>
              </w:rPr>
            </w:pPr>
          </w:p>
        </w:tc>
        <w:tc>
          <w:tcPr>
            <w:tcW w:w="980" w:type="dxa"/>
            <w:vAlign w:val="bottom"/>
            <w:tcBorders>
              <w:top w:val="single" w:sz="8" w:color="F0FFFF"/>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3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3,400</w:t>
            </w:r>
          </w:p>
        </w:tc>
        <w:tc>
          <w:tcPr>
            <w:tcW w:w="8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Fee revenue</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26,361</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23,497</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18,606</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21,284</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18,297</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68,464</w:t>
            </w: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51,245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top w:val="single" w:sz="8" w:color="F0FFFF"/>
              <w:right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105,650</w:t>
            </w: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98,715</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93,758</w:t>
            </w:r>
          </w:p>
        </w:tc>
        <w:tc>
          <w:tcPr>
            <w:tcW w:w="200" w:type="dxa"/>
            <w:vAlign w:val="bottom"/>
            <w:tcBorders>
              <w:top w:val="single" w:sz="8" w:color="F0FFFF"/>
              <w:right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94,748</w:t>
            </w: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83,023</w:t>
            </w:r>
          </w:p>
        </w:tc>
        <w:tc>
          <w:tcPr>
            <w:tcW w:w="220" w:type="dxa"/>
            <w:vAlign w:val="bottom"/>
            <w:tcBorders>
              <w:top w:val="single" w:sz="8" w:color="F0FFFF"/>
            </w:tcBorders>
            <w:shd w:val="clear" w:color="auto" w:fill="F0FFFF"/>
          </w:tcPr>
          <w:p>
            <w:pPr>
              <w:spacing w:after="0"/>
              <w:rPr>
                <w:sz w:val="12"/>
                <w:szCs w:val="12"/>
                <w:color w:val="auto"/>
              </w:rPr>
            </w:pPr>
          </w:p>
        </w:tc>
        <w:tc>
          <w:tcPr>
            <w:tcW w:w="1060" w:type="dxa"/>
            <w:vAlign w:val="bottom"/>
            <w:tcBorders>
              <w:top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8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298,123</w:t>
            </w:r>
          </w:p>
        </w:tc>
        <w:tc>
          <w:tcPr>
            <w:tcW w:w="200" w:type="dxa"/>
            <w:vAlign w:val="bottom"/>
            <w:tcBorders>
              <w:top w:val="single" w:sz="8" w:color="F0FFFF"/>
              <w:right w:val="single" w:sz="8" w:color="F0FFFF"/>
            </w:tcBorders>
            <w:shd w:val="clear" w:color="auto" w:fill="F0FFFF"/>
          </w:tcPr>
          <w:p>
            <w:pPr>
              <w:spacing w:after="0"/>
              <w:rPr>
                <w:sz w:val="12"/>
                <w:szCs w:val="12"/>
                <w:color w:val="auto"/>
              </w:rPr>
            </w:pPr>
          </w:p>
        </w:tc>
        <w:tc>
          <w:tcPr>
            <w:tcW w:w="360" w:type="dxa"/>
            <w:vAlign w:val="bottom"/>
            <w:tcBorders>
              <w:top w:val="single" w:sz="8" w:color="auto"/>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231,504</w:t>
            </w:r>
          </w:p>
        </w:tc>
        <w:tc>
          <w:tcPr>
            <w:tcW w:w="200" w:type="dxa"/>
            <w:vAlign w:val="bottom"/>
            <w:tcBorders>
              <w:top w:val="single" w:sz="8" w:color="F0FFFF"/>
            </w:tcBorders>
            <w:shd w:val="clear" w:color="auto" w:fill="F0FFFF"/>
          </w:tcPr>
          <w:p>
            <w:pPr>
              <w:spacing w:after="0"/>
              <w:rPr>
                <w:sz w:val="12"/>
                <w:szCs w:val="12"/>
                <w:color w:val="auto"/>
              </w:rPr>
            </w:pPr>
          </w:p>
        </w:tc>
        <w:tc>
          <w:tcPr>
            <w:tcW w:w="860" w:type="dxa"/>
            <w:vAlign w:val="bottom"/>
            <w:tcBorders>
              <w:top w:val="single" w:sz="8" w:color="F0FFFF"/>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64,023</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58,060</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57,885</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65,488</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54,269</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179,968</w:t>
            </w: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145,750</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Borders>
              <w:right w:val="single" w:sz="8" w:color="F0FFFF"/>
            </w:tcBorders>
            <w:vMerge w:val="restart"/>
            <w:shd w:val="clear" w:color="auto" w:fill="F0FFFF"/>
          </w:tcPr>
          <w:p>
            <w:pPr>
              <w:ind w:left="160"/>
              <w:spacing w:after="0" w:line="139" w:lineRule="exact"/>
              <w:rPr>
                <w:sz w:val="20"/>
                <w:szCs w:val="20"/>
                <w:color w:val="auto"/>
              </w:rPr>
            </w:pPr>
            <w:r>
              <w:rPr>
                <w:rFonts w:ascii="Times New Roman" w:cs="Times New Roman" w:eastAsia="Times New Roman" w:hAnsi="Times New Roman"/>
                <w:sz w:val="14"/>
                <w:szCs w:val="14"/>
                <w:color w:val="auto"/>
              </w:rPr>
              <w:t>Income before income tax</w:t>
            </w: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200" w:type="dxa"/>
            <w:vAlign w:val="bottom"/>
            <w:tcBorders>
              <w:right w:val="single" w:sz="8" w:color="F0FFFF"/>
            </w:tcBorders>
            <w:vMerge w:val="continue"/>
            <w:shd w:val="clear" w:color="auto" w:fill="F0FFFF"/>
          </w:tcPr>
          <w:p>
            <w:pPr>
              <w:spacing w:after="0"/>
              <w:rPr>
                <w:sz w:val="9"/>
                <w:szCs w:val="9"/>
                <w:color w:val="auto"/>
              </w:rPr>
            </w:pPr>
          </w:p>
        </w:tc>
        <w:tc>
          <w:tcPr>
            <w:tcW w:w="100" w:type="dxa"/>
            <w:vAlign w:val="bottom"/>
            <w:shd w:val="clear" w:color="auto" w:fill="F0FFFF"/>
          </w:tcPr>
          <w:p>
            <w:pPr>
              <w:spacing w:after="0"/>
              <w:rPr>
                <w:sz w:val="9"/>
                <w:szCs w:val="9"/>
                <w:color w:val="auto"/>
              </w:rPr>
            </w:pPr>
          </w:p>
        </w:tc>
        <w:tc>
          <w:tcPr>
            <w:tcW w:w="90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41,627</w:t>
            </w:r>
          </w:p>
        </w:tc>
        <w:tc>
          <w:tcPr>
            <w:tcW w:w="120" w:type="dxa"/>
            <w:vAlign w:val="bottom"/>
            <w:shd w:val="clear" w:color="auto" w:fill="F0FFFF"/>
          </w:tcPr>
          <w:p>
            <w:pPr>
              <w:spacing w:after="0"/>
              <w:rPr>
                <w:sz w:val="9"/>
                <w:szCs w:val="9"/>
                <w:color w:val="auto"/>
              </w:rPr>
            </w:pPr>
          </w:p>
        </w:tc>
        <w:tc>
          <w:tcPr>
            <w:tcW w:w="90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40,655</w:t>
            </w:r>
          </w:p>
        </w:tc>
        <w:tc>
          <w:tcPr>
            <w:tcW w:w="100" w:type="dxa"/>
            <w:vAlign w:val="bottom"/>
            <w:shd w:val="clear" w:color="auto" w:fill="F0FFFF"/>
          </w:tcPr>
          <w:p>
            <w:pPr>
              <w:spacing w:after="0"/>
              <w:rPr>
                <w:sz w:val="9"/>
                <w:szCs w:val="9"/>
                <w:color w:val="auto"/>
              </w:rPr>
            </w:pPr>
          </w:p>
        </w:tc>
        <w:tc>
          <w:tcPr>
            <w:tcW w:w="90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35,873</w:t>
            </w:r>
          </w:p>
        </w:tc>
        <w:tc>
          <w:tcPr>
            <w:tcW w:w="120" w:type="dxa"/>
            <w:vAlign w:val="bottom"/>
            <w:shd w:val="clear" w:color="auto" w:fill="F0FFFF"/>
          </w:tcPr>
          <w:p>
            <w:pPr>
              <w:spacing w:after="0"/>
              <w:rPr>
                <w:sz w:val="9"/>
                <w:szCs w:val="9"/>
                <w:color w:val="auto"/>
              </w:rPr>
            </w:pPr>
          </w:p>
        </w:tc>
        <w:tc>
          <w:tcPr>
            <w:tcW w:w="92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29,260</w:t>
            </w:r>
          </w:p>
        </w:tc>
        <w:tc>
          <w:tcPr>
            <w:tcW w:w="100" w:type="dxa"/>
            <w:vAlign w:val="bottom"/>
            <w:shd w:val="clear" w:color="auto" w:fill="F0FFFF"/>
          </w:tcPr>
          <w:p>
            <w:pPr>
              <w:spacing w:after="0"/>
              <w:rPr>
                <w:sz w:val="9"/>
                <w:szCs w:val="9"/>
                <w:color w:val="auto"/>
              </w:rPr>
            </w:pPr>
          </w:p>
        </w:tc>
        <w:tc>
          <w:tcPr>
            <w:tcW w:w="92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28,754</w:t>
            </w:r>
          </w:p>
        </w:tc>
        <w:tc>
          <w:tcPr>
            <w:tcW w:w="106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shd w:val="clear" w:color="auto" w:fill="F0FFFF"/>
          </w:tcPr>
          <w:p>
            <w:pPr>
              <w:spacing w:after="0"/>
              <w:rPr>
                <w:sz w:val="9"/>
                <w:szCs w:val="9"/>
                <w:color w:val="auto"/>
              </w:rPr>
            </w:pPr>
          </w:p>
        </w:tc>
        <w:tc>
          <w:tcPr>
            <w:tcW w:w="86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118,155</w:t>
            </w:r>
          </w:p>
        </w:tc>
        <w:tc>
          <w:tcPr>
            <w:tcW w:w="360" w:type="dxa"/>
            <w:vAlign w:val="bottom"/>
            <w:shd w:val="clear" w:color="auto" w:fill="F0FFFF"/>
          </w:tcPr>
          <w:p>
            <w:pPr>
              <w:spacing w:after="0"/>
              <w:rPr>
                <w:sz w:val="9"/>
                <w:szCs w:val="9"/>
                <w:color w:val="auto"/>
              </w:rPr>
            </w:pPr>
          </w:p>
        </w:tc>
        <w:tc>
          <w:tcPr>
            <w:tcW w:w="68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85,754</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Borders>
              <w:right w:val="single" w:sz="8" w:color="F0FFFF"/>
            </w:tcBorders>
            <w:shd w:val="clear" w:color="auto" w:fill="F0FFFF"/>
          </w:tcPr>
          <w:p>
            <w:pPr>
              <w:ind w:left="28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vMerge w:val="continue"/>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00" w:type="dxa"/>
            <w:vAlign w:val="bottom"/>
            <w:gridSpan w:val="2"/>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vMerge w:val="continue"/>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20" w:type="dxa"/>
            <w:vAlign w:val="bottom"/>
            <w:tcBorders>
              <w:right w:val="single" w:sz="8" w:color="F0FFFF"/>
            </w:tcBorders>
            <w:gridSpan w:val="2"/>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gridSpan w:val="2"/>
            <w:vMerge w:val="continue"/>
            <w:shd w:val="clear" w:color="auto" w:fill="F0FFFF"/>
          </w:tcPr>
          <w:p>
            <w:pPr>
              <w:spacing w:after="0"/>
              <w:rPr>
                <w:sz w:val="14"/>
                <w:szCs w:val="14"/>
                <w:color w:val="auto"/>
              </w:rPr>
            </w:pPr>
          </w:p>
        </w:tc>
        <w:tc>
          <w:tcPr>
            <w:tcW w:w="1060" w:type="dxa"/>
            <w:vAlign w:val="bottom"/>
            <w:gridSpan w:val="2"/>
            <w:vMerge w:val="continue"/>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60" w:type="dxa"/>
            <w:vAlign w:val="bottom"/>
            <w:tcBorders>
              <w:right w:val="single" w:sz="8" w:color="F0FFFF"/>
            </w:tcBorders>
            <w:gridSpan w:val="2"/>
            <w:vMerge w:val="continue"/>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80" w:type="dxa"/>
            <w:vAlign w:val="bottom"/>
            <w:gridSpan w:val="2"/>
            <w:vMerge w:val="continue"/>
            <w:shd w:val="clear" w:color="auto" w:fill="F0FFFF"/>
          </w:tcPr>
          <w:p>
            <w:pPr>
              <w:spacing w:after="0"/>
              <w:rPr>
                <w:sz w:val="14"/>
                <w:szCs w:val="14"/>
                <w:color w:val="auto"/>
              </w:rPr>
            </w:pPr>
          </w:p>
        </w:tc>
        <w:tc>
          <w:tcPr>
            <w:tcW w:w="860" w:type="dxa"/>
            <w:vAlign w:val="bottom"/>
            <w:vMerge w:val="continue"/>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15,753</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15,389</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13,578</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11,052</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10,867</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44,720</w:t>
            </w: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32,384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top w:val="single" w:sz="8" w:color="F0FFFF"/>
              <w:right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25,874</w:t>
            </w: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25,266</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22,295</w:t>
            </w:r>
          </w:p>
        </w:tc>
        <w:tc>
          <w:tcPr>
            <w:tcW w:w="200" w:type="dxa"/>
            <w:vAlign w:val="bottom"/>
            <w:tcBorders>
              <w:top w:val="single" w:sz="8" w:color="F0FFFF"/>
              <w:right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18,208</w:t>
            </w: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17,887</w:t>
            </w:r>
          </w:p>
        </w:tc>
        <w:tc>
          <w:tcPr>
            <w:tcW w:w="220" w:type="dxa"/>
            <w:vAlign w:val="bottom"/>
            <w:tcBorders>
              <w:top w:val="single" w:sz="8" w:color="F0FFFF"/>
            </w:tcBorders>
            <w:shd w:val="clear" w:color="auto" w:fill="F0FFFF"/>
          </w:tcPr>
          <w:p>
            <w:pPr>
              <w:spacing w:after="0"/>
              <w:rPr>
                <w:sz w:val="12"/>
                <w:szCs w:val="12"/>
                <w:color w:val="auto"/>
              </w:rPr>
            </w:pPr>
          </w:p>
        </w:tc>
        <w:tc>
          <w:tcPr>
            <w:tcW w:w="1060" w:type="dxa"/>
            <w:vAlign w:val="bottom"/>
            <w:tcBorders>
              <w:top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8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73,435</w:t>
            </w:r>
          </w:p>
        </w:tc>
        <w:tc>
          <w:tcPr>
            <w:tcW w:w="200" w:type="dxa"/>
            <w:vAlign w:val="bottom"/>
            <w:tcBorders>
              <w:top w:val="single" w:sz="8" w:color="F0FFFF"/>
              <w:right w:val="single" w:sz="8" w:color="F0FFFF"/>
            </w:tcBorders>
            <w:shd w:val="clear" w:color="auto" w:fill="F0FFFF"/>
          </w:tcPr>
          <w:p>
            <w:pPr>
              <w:spacing w:after="0"/>
              <w:rPr>
                <w:sz w:val="12"/>
                <w:szCs w:val="12"/>
                <w:color w:val="auto"/>
              </w:rPr>
            </w:pPr>
          </w:p>
        </w:tc>
        <w:tc>
          <w:tcPr>
            <w:tcW w:w="360" w:type="dxa"/>
            <w:vAlign w:val="bottom"/>
            <w:tcBorders>
              <w:top w:val="single" w:sz="8" w:color="auto"/>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53,370</w:t>
            </w:r>
          </w:p>
        </w:tc>
        <w:tc>
          <w:tcPr>
            <w:tcW w:w="200" w:type="dxa"/>
            <w:vAlign w:val="bottom"/>
            <w:tcBorders>
              <w:top w:val="single" w:sz="8" w:color="F0FFFF"/>
            </w:tcBorders>
            <w:shd w:val="clear" w:color="auto" w:fill="F0FFFF"/>
          </w:tcPr>
          <w:p>
            <w:pPr>
              <w:spacing w:after="0"/>
              <w:rPr>
                <w:sz w:val="12"/>
                <w:szCs w:val="12"/>
                <w:color w:val="auto"/>
              </w:rPr>
            </w:pPr>
          </w:p>
        </w:tc>
        <w:tc>
          <w:tcPr>
            <w:tcW w:w="860" w:type="dxa"/>
            <w:vAlign w:val="bottom"/>
            <w:tcBorders>
              <w:top w:val="single" w:sz="8" w:color="F0FFFF"/>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Preferred dividends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w:t>
            </w: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Borders>
              <w:right w:val="single" w:sz="8" w:color="F0FFFF"/>
            </w:tcBorders>
            <w:vMerge w:val="restart"/>
            <w:shd w:val="clear" w:color="auto" w:fill="F0FF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Net income available to common</w:t>
            </w: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2200" w:type="dxa"/>
            <w:vAlign w:val="bottom"/>
            <w:tcBorders>
              <w:right w:val="single" w:sz="8" w:color="F0FFFF"/>
            </w:tcBorders>
            <w:vMerge w:val="continue"/>
            <w:shd w:val="clear" w:color="auto" w:fill="F0FFFF"/>
          </w:tcPr>
          <w:p>
            <w:pPr>
              <w:spacing w:after="0"/>
              <w:rPr>
                <w:sz w:val="9"/>
                <w:szCs w:val="9"/>
                <w:color w:val="auto"/>
              </w:rPr>
            </w:pPr>
          </w:p>
        </w:tc>
        <w:tc>
          <w:tcPr>
            <w:tcW w:w="1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25,874</w:t>
            </w:r>
          </w:p>
        </w:tc>
        <w:tc>
          <w:tcPr>
            <w:tcW w:w="1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25,266</w:t>
            </w:r>
          </w:p>
        </w:tc>
        <w:tc>
          <w:tcPr>
            <w:tcW w:w="1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22,274</w:t>
            </w:r>
          </w:p>
        </w:tc>
        <w:tc>
          <w:tcPr>
            <w:tcW w:w="12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18,183</w:t>
            </w:r>
          </w:p>
        </w:tc>
        <w:tc>
          <w:tcPr>
            <w:tcW w:w="10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17,862</w:t>
            </w:r>
          </w:p>
        </w:tc>
        <w:tc>
          <w:tcPr>
            <w:tcW w:w="106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45</w:t>
            </w:r>
          </w:p>
        </w:tc>
        <w:tc>
          <w:tcPr>
            <w:tcW w:w="180" w:type="dxa"/>
            <w:vAlign w:val="bottom"/>
            <w:vMerge w:val="restart"/>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73,414</w:t>
            </w:r>
          </w:p>
        </w:tc>
        <w:tc>
          <w:tcPr>
            <w:tcW w:w="360" w:type="dxa"/>
            <w:vAlign w:val="bottom"/>
            <w:vMerge w:val="restart"/>
            <w:shd w:val="clear" w:color="auto" w:fill="F0FF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53,328</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Borders>
              <w:right w:val="single" w:sz="8" w:color="F0FFFF"/>
            </w:tcBorders>
            <w:shd w:val="clear" w:color="auto" w:fill="F0FFFF"/>
          </w:tcPr>
          <w:p>
            <w:pPr>
              <w:ind w:left="120"/>
              <w:spacing w:after="0"/>
              <w:rPr>
                <w:sz w:val="20"/>
                <w:szCs w:val="20"/>
                <w:color w:val="auto"/>
              </w:rPr>
            </w:pPr>
            <w:r>
              <w:rPr>
                <w:rFonts w:ascii="Times New Roman" w:cs="Times New Roman" w:eastAsia="Times New Roman" w:hAnsi="Times New Roman"/>
                <w:sz w:val="14"/>
                <w:szCs w:val="14"/>
                <w:b w:val="1"/>
                <w:bCs w:val="1"/>
                <w:color w:val="auto"/>
              </w:rPr>
              <w:t>shareholders - GAAP</w:t>
            </w:r>
          </w:p>
        </w:tc>
        <w:tc>
          <w:tcPr>
            <w:tcW w:w="100" w:type="dxa"/>
            <w:vAlign w:val="bottom"/>
            <w:vMerge w:val="continue"/>
            <w:shd w:val="clear" w:color="auto" w:fill="F0FFFF"/>
          </w:tcPr>
          <w:p>
            <w:pPr>
              <w:spacing w:after="0"/>
              <w:rPr>
                <w:sz w:val="15"/>
                <w:szCs w:val="15"/>
                <w:color w:val="auto"/>
              </w:rPr>
            </w:pPr>
          </w:p>
        </w:tc>
        <w:tc>
          <w:tcPr>
            <w:tcW w:w="900" w:type="dxa"/>
            <w:vAlign w:val="bottom"/>
            <w:tcBorders>
              <w:right w:val="single" w:sz="8" w:color="F0FFFF"/>
            </w:tcBorders>
            <w:gridSpan w:val="2"/>
            <w:vMerge w:val="continue"/>
            <w:shd w:val="clear" w:color="auto" w:fill="F0FFFF"/>
          </w:tcPr>
          <w:p>
            <w:pPr>
              <w:spacing w:after="0"/>
              <w:rPr>
                <w:sz w:val="15"/>
                <w:szCs w:val="15"/>
                <w:color w:val="auto"/>
              </w:rPr>
            </w:pPr>
          </w:p>
        </w:tc>
        <w:tc>
          <w:tcPr>
            <w:tcW w:w="120" w:type="dxa"/>
            <w:vAlign w:val="bottom"/>
            <w:vMerge w:val="continue"/>
            <w:shd w:val="clear" w:color="auto" w:fill="F0FFFF"/>
          </w:tcPr>
          <w:p>
            <w:pPr>
              <w:spacing w:after="0"/>
              <w:rPr>
                <w:sz w:val="15"/>
                <w:szCs w:val="15"/>
                <w:color w:val="auto"/>
              </w:rPr>
            </w:pPr>
          </w:p>
        </w:tc>
        <w:tc>
          <w:tcPr>
            <w:tcW w:w="900" w:type="dxa"/>
            <w:vAlign w:val="bottom"/>
            <w:gridSpan w:val="2"/>
            <w:vMerge w:val="continue"/>
            <w:shd w:val="clear" w:color="auto" w:fill="F0FFFF"/>
          </w:tcPr>
          <w:p>
            <w:pPr>
              <w:spacing w:after="0"/>
              <w:rPr>
                <w:sz w:val="15"/>
                <w:szCs w:val="15"/>
                <w:color w:val="auto"/>
              </w:rPr>
            </w:pPr>
          </w:p>
        </w:tc>
        <w:tc>
          <w:tcPr>
            <w:tcW w:w="100" w:type="dxa"/>
            <w:vAlign w:val="bottom"/>
            <w:vMerge w:val="continue"/>
            <w:shd w:val="clear" w:color="auto" w:fill="F0FFFF"/>
          </w:tcPr>
          <w:p>
            <w:pPr>
              <w:spacing w:after="0"/>
              <w:rPr>
                <w:sz w:val="15"/>
                <w:szCs w:val="15"/>
                <w:color w:val="auto"/>
              </w:rPr>
            </w:pPr>
          </w:p>
        </w:tc>
        <w:tc>
          <w:tcPr>
            <w:tcW w:w="900" w:type="dxa"/>
            <w:vAlign w:val="bottom"/>
            <w:tcBorders>
              <w:right w:val="single" w:sz="8" w:color="F0FFFF"/>
            </w:tcBorders>
            <w:gridSpan w:val="2"/>
            <w:vMerge w:val="continue"/>
            <w:shd w:val="clear" w:color="auto" w:fill="F0FFFF"/>
          </w:tcPr>
          <w:p>
            <w:pPr>
              <w:spacing w:after="0"/>
              <w:rPr>
                <w:sz w:val="15"/>
                <w:szCs w:val="15"/>
                <w:color w:val="auto"/>
              </w:rPr>
            </w:pPr>
          </w:p>
        </w:tc>
        <w:tc>
          <w:tcPr>
            <w:tcW w:w="120" w:type="dxa"/>
            <w:vAlign w:val="bottom"/>
            <w:vMerge w:val="continue"/>
            <w:shd w:val="clear" w:color="auto" w:fill="F0FFFF"/>
          </w:tcPr>
          <w:p>
            <w:pPr>
              <w:spacing w:after="0"/>
              <w:rPr>
                <w:sz w:val="15"/>
                <w:szCs w:val="15"/>
                <w:color w:val="auto"/>
              </w:rPr>
            </w:pPr>
          </w:p>
        </w:tc>
        <w:tc>
          <w:tcPr>
            <w:tcW w:w="920" w:type="dxa"/>
            <w:vAlign w:val="bottom"/>
            <w:tcBorders>
              <w:right w:val="single" w:sz="8" w:color="F0FFFF"/>
            </w:tcBorders>
            <w:gridSpan w:val="2"/>
            <w:vMerge w:val="continue"/>
            <w:shd w:val="clear" w:color="auto" w:fill="F0FFFF"/>
          </w:tcPr>
          <w:p>
            <w:pPr>
              <w:spacing w:after="0"/>
              <w:rPr>
                <w:sz w:val="15"/>
                <w:szCs w:val="15"/>
                <w:color w:val="auto"/>
              </w:rPr>
            </w:pPr>
          </w:p>
        </w:tc>
        <w:tc>
          <w:tcPr>
            <w:tcW w:w="100" w:type="dxa"/>
            <w:vAlign w:val="bottom"/>
            <w:vMerge w:val="continue"/>
            <w:shd w:val="clear" w:color="auto" w:fill="F0FFFF"/>
          </w:tcPr>
          <w:p>
            <w:pPr>
              <w:spacing w:after="0"/>
              <w:rPr>
                <w:sz w:val="15"/>
                <w:szCs w:val="15"/>
                <w:color w:val="auto"/>
              </w:rPr>
            </w:pPr>
          </w:p>
        </w:tc>
        <w:tc>
          <w:tcPr>
            <w:tcW w:w="920" w:type="dxa"/>
            <w:vAlign w:val="bottom"/>
            <w:gridSpan w:val="2"/>
            <w:vMerge w:val="continue"/>
            <w:shd w:val="clear" w:color="auto" w:fill="F0FFFF"/>
          </w:tcPr>
          <w:p>
            <w:pPr>
              <w:spacing w:after="0"/>
              <w:rPr>
                <w:sz w:val="15"/>
                <w:szCs w:val="15"/>
                <w:color w:val="auto"/>
              </w:rPr>
            </w:pPr>
          </w:p>
        </w:tc>
        <w:tc>
          <w:tcPr>
            <w:tcW w:w="1060" w:type="dxa"/>
            <w:vAlign w:val="bottom"/>
            <w:gridSpan w:val="2"/>
            <w:vMerge w:val="continue"/>
            <w:shd w:val="clear" w:color="auto" w:fill="F0FFFF"/>
          </w:tcPr>
          <w:p>
            <w:pPr>
              <w:spacing w:after="0"/>
              <w:rPr>
                <w:sz w:val="15"/>
                <w:szCs w:val="15"/>
                <w:color w:val="auto"/>
              </w:rPr>
            </w:pPr>
          </w:p>
        </w:tc>
        <w:tc>
          <w:tcPr>
            <w:tcW w:w="180" w:type="dxa"/>
            <w:vAlign w:val="bottom"/>
            <w:vMerge w:val="continue"/>
            <w:shd w:val="clear" w:color="auto" w:fill="F0FFFF"/>
          </w:tcPr>
          <w:p>
            <w:pPr>
              <w:spacing w:after="0"/>
              <w:rPr>
                <w:sz w:val="15"/>
                <w:szCs w:val="15"/>
                <w:color w:val="auto"/>
              </w:rPr>
            </w:pPr>
          </w:p>
        </w:tc>
        <w:tc>
          <w:tcPr>
            <w:tcW w:w="860" w:type="dxa"/>
            <w:vAlign w:val="bottom"/>
            <w:tcBorders>
              <w:right w:val="single" w:sz="8" w:color="F0FFFF"/>
            </w:tcBorders>
            <w:gridSpan w:val="2"/>
            <w:vMerge w:val="continue"/>
            <w:shd w:val="clear" w:color="auto" w:fill="F0FFFF"/>
          </w:tcPr>
          <w:p>
            <w:pPr>
              <w:spacing w:after="0"/>
              <w:rPr>
                <w:sz w:val="15"/>
                <w:szCs w:val="15"/>
                <w:color w:val="auto"/>
              </w:rPr>
            </w:pPr>
          </w:p>
        </w:tc>
        <w:tc>
          <w:tcPr>
            <w:tcW w:w="360" w:type="dxa"/>
            <w:vAlign w:val="bottom"/>
            <w:vMerge w:val="continue"/>
            <w:shd w:val="clear" w:color="auto" w:fill="F0FFFF"/>
          </w:tcPr>
          <w:p>
            <w:pPr>
              <w:spacing w:after="0"/>
              <w:rPr>
                <w:sz w:val="15"/>
                <w:szCs w:val="15"/>
                <w:color w:val="auto"/>
              </w:rPr>
            </w:pPr>
          </w:p>
        </w:tc>
        <w:tc>
          <w:tcPr>
            <w:tcW w:w="680" w:type="dxa"/>
            <w:vAlign w:val="bottom"/>
            <w:gridSpan w:val="2"/>
            <w:vMerge w:val="continue"/>
            <w:shd w:val="clear" w:color="auto" w:fill="F0FFFF"/>
          </w:tcPr>
          <w:p>
            <w:pPr>
              <w:spacing w:after="0"/>
              <w:rPr>
                <w:sz w:val="15"/>
                <w:szCs w:val="15"/>
                <w:color w:val="auto"/>
              </w:rPr>
            </w:pPr>
          </w:p>
        </w:tc>
        <w:tc>
          <w:tcPr>
            <w:tcW w:w="860" w:type="dxa"/>
            <w:vAlign w:val="bottom"/>
            <w:vMerge w:val="continue"/>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Merger-related and other charges</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2,653</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9,078</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5,744</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6,981</w:t>
            </w: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8,917</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Borders>
              <w:right w:val="single" w:sz="8" w:color="F0FFFF"/>
            </w:tcBorders>
            <w:shd w:val="clear" w:color="auto" w:fill="F0FFFF"/>
          </w:tcPr>
          <w:p>
            <w:pPr>
              <w:spacing w:after="0" w:line="126" w:lineRule="exact"/>
              <w:rPr>
                <w:sz w:val="20"/>
                <w:szCs w:val="20"/>
                <w:color w:val="auto"/>
              </w:rPr>
            </w:pPr>
            <w:r>
              <w:rPr>
                <w:rFonts w:ascii="Times New Roman" w:cs="Times New Roman" w:eastAsia="Times New Roman" w:hAnsi="Times New Roman"/>
                <w:sz w:val="14"/>
                <w:szCs w:val="14"/>
                <w:color w:val="auto"/>
              </w:rPr>
              <w:t>Income tax benefit of merger-related</w:t>
            </w:r>
          </w:p>
        </w:tc>
        <w:tc>
          <w:tcPr>
            <w:tcW w:w="10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220" w:type="dxa"/>
            <w:vAlign w:val="bottom"/>
            <w:tcBorders>
              <w:right w:val="single" w:sz="8" w:color="F0FFFF"/>
            </w:tcBorders>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200" w:type="dxa"/>
            <w:vAlign w:val="bottom"/>
            <w:tcBorders>
              <w:right w:val="single" w:sz="8" w:color="F0FFFF"/>
            </w:tcBorders>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220" w:type="dxa"/>
            <w:vAlign w:val="bottom"/>
            <w:tcBorders>
              <w:right w:val="single" w:sz="8" w:color="F0FFFF"/>
            </w:tcBorders>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86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200" w:type="dxa"/>
            <w:vAlign w:val="bottom"/>
            <w:tcBorders>
              <w:right w:val="single" w:sz="8" w:color="F0FFFF"/>
            </w:tcBorders>
            <w:shd w:val="clear" w:color="auto" w:fill="F0FFFF"/>
          </w:tcPr>
          <w:p>
            <w:pPr>
              <w:spacing w:after="0"/>
              <w:rPr>
                <w:sz w:val="10"/>
                <w:szCs w:val="10"/>
                <w:color w:val="auto"/>
              </w:rPr>
            </w:pPr>
          </w:p>
        </w:tc>
        <w:tc>
          <w:tcPr>
            <w:tcW w:w="36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86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0" w:type="dxa"/>
            <w:vAlign w:val="bottom"/>
            <w:tcBorders>
              <w:right w:val="single" w:sz="8" w:color="F0FFFF"/>
            </w:tcBorders>
            <w:shd w:val="clear" w:color="auto" w:fill="F0FFFF"/>
          </w:tcPr>
          <w:p>
            <w:pPr>
              <w:ind w:left="120"/>
              <w:spacing w:after="0"/>
              <w:rPr>
                <w:sz w:val="20"/>
                <w:szCs w:val="20"/>
                <w:color w:val="auto"/>
              </w:rPr>
            </w:pPr>
            <w:r>
              <w:rPr>
                <w:rFonts w:ascii="Times New Roman" w:cs="Times New Roman" w:eastAsia="Times New Roman" w:hAnsi="Times New Roman"/>
                <w:sz w:val="14"/>
                <w:szCs w:val="14"/>
                <w:color w:val="auto"/>
              </w:rPr>
              <w:t>and other charges</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(1,193)</w:t>
            </w:r>
          </w:p>
        </w:tc>
        <w:tc>
          <w:tcPr>
            <w:tcW w:w="1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(1,004)</w:t>
            </w:r>
          </w:p>
        </w:tc>
        <w:tc>
          <w:tcPr>
            <w:tcW w:w="12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(3,486)</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(1,905)</w:t>
            </w:r>
          </w:p>
        </w:tc>
        <w:tc>
          <w:tcPr>
            <w:tcW w:w="8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(2,642)</w:t>
            </w:r>
          </w:p>
        </w:tc>
        <w:tc>
          <w:tcPr>
            <w:tcW w:w="360" w:type="dxa"/>
            <w:vAlign w:val="bottom"/>
            <w:shd w:val="clear" w:color="auto" w:fill="F0FFFF"/>
          </w:tcPr>
          <w:p>
            <w:pPr>
              <w:spacing w:after="0"/>
              <w:rPr>
                <w:sz w:val="17"/>
                <w:szCs w:val="17"/>
                <w:color w:val="auto"/>
              </w:rPr>
            </w:pPr>
          </w:p>
        </w:tc>
        <w:tc>
          <w:tcPr>
            <w:tcW w:w="6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(2,902)</w:t>
            </w:r>
          </w:p>
        </w:tc>
        <w:tc>
          <w:tcPr>
            <w:tcW w:w="8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00" w:type="dxa"/>
            <w:vAlign w:val="bottom"/>
            <w:tcBorders>
              <w:top w:val="single" w:sz="8" w:color="F0FFFF"/>
            </w:tcBorders>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Net income available to common</w:t>
            </w: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F0FF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F0FF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Borders>
              <w:top w:val="single" w:sz="8" w:color="F0FF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F0FF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F0FFFF"/>
            </w:tcBorders>
          </w:tcPr>
          <w:p>
            <w:pPr>
              <w:spacing w:after="0"/>
              <w:rPr>
                <w:sz w:val="9"/>
                <w:szCs w:val="9"/>
                <w:color w:val="auto"/>
              </w:rPr>
            </w:pPr>
          </w:p>
        </w:tc>
        <w:tc>
          <w:tcPr>
            <w:tcW w:w="860" w:type="dxa"/>
            <w:vAlign w:val="bottom"/>
            <w:tcBorders>
              <w:top w:val="single" w:sz="8" w:color="F0FFFF"/>
            </w:tcBorders>
          </w:tcPr>
          <w:p>
            <w:pPr>
              <w:spacing w:after="0"/>
              <w:rPr>
                <w:sz w:val="9"/>
                <w:szCs w:val="9"/>
                <w:color w:val="auto"/>
              </w:rPr>
            </w:pPr>
          </w:p>
        </w:tc>
        <w:tc>
          <w:tcPr>
            <w:tcW w:w="200" w:type="dxa"/>
            <w:vAlign w:val="bottom"/>
            <w:tcBorders>
              <w:top w:val="single" w:sz="8" w:color="F0FF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F0FFFF"/>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F0FFFF"/>
            </w:tcBorders>
          </w:tcPr>
          <w:p>
            <w:pPr>
              <w:spacing w:after="0"/>
              <w:rPr>
                <w:sz w:val="9"/>
                <w:szCs w:val="9"/>
                <w:color w:val="auto"/>
              </w:rPr>
            </w:pPr>
          </w:p>
        </w:tc>
        <w:tc>
          <w:tcPr>
            <w:tcW w:w="860" w:type="dxa"/>
            <w:vAlign w:val="bottom"/>
            <w:tcBorders>
              <w:top w:val="single" w:sz="8" w:color="F0FFFF"/>
            </w:tcBorders>
          </w:tcPr>
          <w:p>
            <w:pPr>
              <w:spacing w:after="0"/>
              <w:rPr>
                <w:sz w:val="9"/>
                <w:szCs w:val="9"/>
                <w:color w:val="auto"/>
              </w:rPr>
            </w:pPr>
          </w:p>
        </w:tc>
        <w:tc>
          <w:tcPr>
            <w:tcW w:w="120" w:type="dxa"/>
            <w:vAlign w:val="bottom"/>
            <w:tcBorders>
              <w:top w:val="single" w:sz="8" w:color="F0FFFF"/>
            </w:tcBorders>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00" w:type="dxa"/>
            <w:vAlign w:val="bottom"/>
          </w:tcPr>
          <w:p>
            <w:pPr>
              <w:ind w:left="120"/>
              <w:spacing w:after="0" w:line="231" w:lineRule="exact"/>
              <w:rPr>
                <w:sz w:val="20"/>
                <w:szCs w:val="20"/>
                <w:color w:val="auto"/>
              </w:rPr>
            </w:pPr>
            <w:r>
              <w:rPr>
                <w:rFonts w:ascii="Times New Roman" w:cs="Times New Roman" w:eastAsia="Times New Roman" w:hAnsi="Times New Roman"/>
                <w:sz w:val="14"/>
                <w:szCs w:val="14"/>
                <w:b w:val="1"/>
                <w:bCs w:val="1"/>
                <w:color w:val="auto"/>
              </w:rPr>
              <w:t xml:space="preserve">shareholders - operating </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27,833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25,997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23,923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23,775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21,701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28</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77,753</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59,343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20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0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00" w:type="dxa"/>
            <w:vAlign w:val="bottom"/>
            <w:tcBorders>
              <w:right w:val="single" w:sz="8" w:color="F0FFFF"/>
            </w:tcBorders>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MEASURES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Per common share:</w:t>
            </w: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0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00" w:type="dxa"/>
            <w:vAlign w:val="bottom"/>
            <w:tcBorders>
              <w:right w:val="single" w:sz="8" w:color="F0FFFF"/>
            </w:tcBorders>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Diluted net income - GAAP</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3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Borders>
              <w:right w:val="single" w:sz="8" w:color="F0FFFF"/>
            </w:tcBorders>
            <w:shd w:val="clear" w:color="auto" w:fill="F0FFFF"/>
          </w:tcPr>
          <w:p>
            <w:pPr>
              <w:ind w:left="320"/>
              <w:spacing w:after="0" w:line="138" w:lineRule="exact"/>
              <w:rPr>
                <w:sz w:val="20"/>
                <w:szCs w:val="20"/>
                <w:color w:val="auto"/>
              </w:rPr>
            </w:pPr>
            <w:r>
              <w:rPr>
                <w:rFonts w:ascii="Times New Roman" w:cs="Times New Roman" w:eastAsia="Times New Roman" w:hAnsi="Times New Roman"/>
                <w:sz w:val="14"/>
                <w:szCs w:val="14"/>
                <w:color w:val="auto"/>
              </w:rPr>
              <w:t>Diluted net income -</w:t>
            </w: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00" w:type="dxa"/>
            <w:vAlign w:val="bottom"/>
            <w:tcBorders>
              <w:right w:val="single" w:sz="8" w:color="F0FFFF"/>
            </w:tcBorders>
            <w:shd w:val="clear" w:color="auto" w:fill="F0FFFF"/>
          </w:tcPr>
          <w:p>
            <w:pPr>
              <w:ind w:left="440"/>
              <w:spacing w:after="0" w:line="200" w:lineRule="exact"/>
              <w:rPr>
                <w:sz w:val="20"/>
                <w:szCs w:val="20"/>
                <w:color w:val="auto"/>
              </w:rPr>
            </w:pPr>
            <w:r>
              <w:rPr>
                <w:rFonts w:ascii="Times New Roman" w:cs="Times New Roman" w:eastAsia="Times New Roman" w:hAnsi="Times New Roman"/>
                <w:sz w:val="14"/>
                <w:szCs w:val="14"/>
                <w:color w:val="auto"/>
              </w:rPr>
              <w:t xml:space="preserve">operating </w:t>
            </w:r>
            <w:r>
              <w:rPr>
                <w:rFonts w:ascii="Times New Roman" w:cs="Times New Roman" w:eastAsia="Times New Roman" w:hAnsi="Times New Roman"/>
                <w:sz w:val="23"/>
                <w:szCs w:val="23"/>
                <w:color w:val="auto"/>
                <w:vertAlign w:val="superscript"/>
              </w:rPr>
              <w:t>(1)</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10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1.08</w:t>
            </w:r>
          </w:p>
        </w:tc>
        <w:tc>
          <w:tcPr>
            <w:tcW w:w="360" w:type="dxa"/>
            <w:vAlign w:val="bottom"/>
            <w:shd w:val="clear" w:color="auto" w:fill="F0FFFF"/>
          </w:tcPr>
          <w:p>
            <w:pPr>
              <w:spacing w:after="0"/>
              <w:rPr>
                <w:sz w:val="17"/>
                <w:szCs w:val="17"/>
                <w:color w:val="auto"/>
              </w:rPr>
            </w:pPr>
          </w:p>
        </w:tc>
        <w:tc>
          <w:tcPr>
            <w:tcW w:w="6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.94</w:t>
            </w:r>
          </w:p>
        </w:tc>
        <w:tc>
          <w:tcPr>
            <w:tcW w:w="8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Cash dividends declared</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Book value</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15.12</w:t>
            </w: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12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13.95</w:t>
            </w:r>
          </w:p>
        </w:tc>
        <w:tc>
          <w:tcPr>
            <w:tcW w:w="106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15.12</w:t>
            </w:r>
          </w:p>
        </w:tc>
        <w:tc>
          <w:tcPr>
            <w:tcW w:w="3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13.95</w:t>
            </w:r>
          </w:p>
        </w:tc>
        <w:tc>
          <w:tcPr>
            <w:tcW w:w="8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Tangible book value </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13.00</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12.84</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12.40</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12.08</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3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12.08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0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00" w:type="dxa"/>
            <w:vAlign w:val="bottom"/>
            <w:tcBorders>
              <w:right w:val="single" w:sz="8" w:color="F0FFFF"/>
            </w:tcBorders>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Key performance ratios: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Borders>
              <w:right w:val="single" w:sz="8" w:color="F0FFFF"/>
            </w:tcBorders>
            <w:shd w:val="clear" w:color="auto" w:fill="F0FFFF"/>
          </w:tcPr>
          <w:p>
            <w:pPr>
              <w:ind w:left="320"/>
              <w:spacing w:after="0" w:line="138" w:lineRule="exact"/>
              <w:rPr>
                <w:sz w:val="20"/>
                <w:szCs w:val="20"/>
                <w:color w:val="auto"/>
              </w:rPr>
            </w:pPr>
            <w:r>
              <w:rPr>
                <w:rFonts w:ascii="Times New Roman" w:cs="Times New Roman" w:eastAsia="Times New Roman" w:hAnsi="Times New Roman"/>
                <w:sz w:val="14"/>
                <w:szCs w:val="14"/>
                <w:color w:val="auto"/>
              </w:rPr>
              <w:t>Return on common equity -</w:t>
            </w: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00" w:type="dxa"/>
            <w:vAlign w:val="bottom"/>
            <w:tcBorders>
              <w:right w:val="single" w:sz="8" w:color="F0FFFF"/>
            </w:tcBorders>
            <w:shd w:val="clear" w:color="auto" w:fill="F0FFFF"/>
          </w:tcPr>
          <w:p>
            <w:pPr>
              <w:ind w:left="440"/>
              <w:spacing w:after="0" w:line="200" w:lineRule="exact"/>
              <w:rPr>
                <w:sz w:val="20"/>
                <w:szCs w:val="20"/>
                <w:color w:val="auto"/>
              </w:rPr>
            </w:pPr>
            <w:r>
              <w:rPr>
                <w:rFonts w:ascii="Times New Roman" w:cs="Times New Roman" w:eastAsia="Times New Roman" w:hAnsi="Times New Roman"/>
                <w:sz w:val="23"/>
                <w:szCs w:val="23"/>
                <w:color w:val="auto"/>
                <w:vertAlign w:val="subscript"/>
              </w:rPr>
              <w:t>GAAP</w:t>
            </w:r>
            <w:r>
              <w:rPr>
                <w:rFonts w:ascii="Times New Roman" w:cs="Times New Roman" w:eastAsia="Times New Roman" w:hAnsi="Times New Roman"/>
                <w:sz w:val="11"/>
                <w:szCs w:val="11"/>
                <w:color w:val="auto"/>
              </w:rPr>
              <w:t xml:space="preserve"> (2)(4)</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9.61%</w:t>
            </w:r>
          </w:p>
        </w:tc>
        <w:tc>
          <w:tcPr>
            <w:tcW w:w="1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8.57%</w:t>
            </w:r>
          </w:p>
        </w:tc>
        <w:tc>
          <w:tcPr>
            <w:tcW w:w="12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7.85%</w:t>
            </w:r>
          </w:p>
        </w:tc>
        <w:tc>
          <w:tcPr>
            <w:tcW w:w="8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9.25%</w:t>
            </w:r>
          </w:p>
        </w:tc>
        <w:tc>
          <w:tcPr>
            <w:tcW w:w="360" w:type="dxa"/>
            <w:vAlign w:val="bottom"/>
            <w:shd w:val="clear" w:color="auto" w:fill="F0FFFF"/>
          </w:tcPr>
          <w:p>
            <w:pPr>
              <w:spacing w:after="0"/>
              <w:rPr>
                <w:sz w:val="17"/>
                <w:szCs w:val="17"/>
                <w:color w:val="auto"/>
              </w:rPr>
            </w:pPr>
          </w:p>
        </w:tc>
        <w:tc>
          <w:tcPr>
            <w:tcW w:w="68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8.63%</w:t>
            </w:r>
          </w:p>
        </w:tc>
        <w:tc>
          <w:tcPr>
            <w:tcW w:w="8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ind w:left="320"/>
              <w:spacing w:after="0" w:line="138" w:lineRule="exact"/>
              <w:rPr>
                <w:sz w:val="20"/>
                <w:szCs w:val="20"/>
                <w:color w:val="auto"/>
              </w:rPr>
            </w:pPr>
            <w:r>
              <w:rPr>
                <w:rFonts w:ascii="Times New Roman" w:cs="Times New Roman" w:eastAsia="Times New Roman" w:hAnsi="Times New Roman"/>
                <w:sz w:val="14"/>
                <w:szCs w:val="14"/>
                <w:color w:val="auto"/>
              </w:rPr>
              <w:t>Return on common equity -</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00" w:type="dxa"/>
            <w:vAlign w:val="bottom"/>
          </w:tcPr>
          <w:p>
            <w:pPr>
              <w:ind w:left="440"/>
              <w:spacing w:after="0" w:line="200" w:lineRule="exact"/>
              <w:rPr>
                <w:sz w:val="20"/>
                <w:szCs w:val="20"/>
                <w:color w:val="auto"/>
              </w:rPr>
            </w:pPr>
            <w:r>
              <w:rPr>
                <w:rFonts w:ascii="Times New Roman" w:cs="Times New Roman" w:eastAsia="Times New Roman" w:hAnsi="Times New Roman"/>
                <w:sz w:val="23"/>
                <w:szCs w:val="23"/>
                <w:color w:val="auto"/>
                <w:vertAlign w:val="subscript"/>
              </w:rPr>
              <w:t>operating</w:t>
            </w:r>
            <w:r>
              <w:rPr>
                <w:rFonts w:ascii="Times New Roman" w:cs="Times New Roman" w:eastAsia="Times New Roman" w:hAnsi="Times New Roman"/>
                <w:sz w:val="11"/>
                <w:szCs w:val="11"/>
                <w:color w:val="auto"/>
              </w:rPr>
              <w:t xml:space="preserve"> (1)(2)(4)</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9.20</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9.54</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9.79</w:t>
            </w:r>
          </w:p>
        </w:tc>
        <w:tc>
          <w:tcPr>
            <w:tcW w:w="3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9.60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Borders>
              <w:right w:val="single" w:sz="8" w:color="F0FFFF"/>
            </w:tcBorders>
            <w:shd w:val="clear" w:color="auto" w:fill="F0FFFF"/>
          </w:tcPr>
          <w:p>
            <w:pPr>
              <w:ind w:left="320"/>
              <w:spacing w:after="0" w:line="138" w:lineRule="exact"/>
              <w:rPr>
                <w:sz w:val="20"/>
                <w:szCs w:val="20"/>
                <w:color w:val="auto"/>
              </w:rPr>
            </w:pPr>
            <w:r>
              <w:rPr>
                <w:rFonts w:ascii="Times New Roman" w:cs="Times New Roman" w:eastAsia="Times New Roman" w:hAnsi="Times New Roman"/>
                <w:sz w:val="14"/>
                <w:szCs w:val="14"/>
                <w:color w:val="auto"/>
              </w:rPr>
              <w:t>Return on tangible common</w:t>
            </w: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00" w:type="dxa"/>
            <w:vAlign w:val="bottom"/>
            <w:tcBorders>
              <w:right w:val="single" w:sz="8" w:color="F0FFFF"/>
            </w:tcBorders>
            <w:shd w:val="clear" w:color="auto" w:fill="F0FFFF"/>
          </w:tcPr>
          <w:p>
            <w:pPr>
              <w:ind w:left="440"/>
              <w:spacing w:after="0" w:line="200" w:lineRule="exact"/>
              <w:rPr>
                <w:sz w:val="20"/>
                <w:szCs w:val="20"/>
                <w:color w:val="auto"/>
              </w:rPr>
            </w:pPr>
            <w:r>
              <w:rPr>
                <w:rFonts w:ascii="Times New Roman" w:cs="Times New Roman" w:eastAsia="Times New Roman" w:hAnsi="Times New Roman"/>
                <w:sz w:val="14"/>
                <w:szCs w:val="14"/>
                <w:color w:val="auto"/>
                <w:w w:val="98"/>
              </w:rPr>
              <w:t xml:space="preserve">equity - operating </w:t>
            </w:r>
            <w:r>
              <w:rPr>
                <w:rFonts w:ascii="Times New Roman" w:cs="Times New Roman" w:eastAsia="Times New Roman" w:hAnsi="Times New Roman"/>
                <w:sz w:val="23"/>
                <w:szCs w:val="23"/>
                <w:color w:val="auto"/>
                <w:w w:val="98"/>
                <w:vertAlign w:val="superscript"/>
              </w:rPr>
              <w:t>(1)(2)(3)(4)</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12.45</w:t>
            </w:r>
          </w:p>
        </w:tc>
        <w:tc>
          <w:tcPr>
            <w:tcW w:w="1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10.91</w:t>
            </w:r>
          </w:p>
        </w:tc>
        <w:tc>
          <w:tcPr>
            <w:tcW w:w="12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10.29</w:t>
            </w:r>
          </w:p>
        </w:tc>
        <w:tc>
          <w:tcPr>
            <w:tcW w:w="8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11.64</w:t>
            </w:r>
          </w:p>
        </w:tc>
        <w:tc>
          <w:tcPr>
            <w:tcW w:w="360" w:type="dxa"/>
            <w:vAlign w:val="bottom"/>
            <w:shd w:val="clear" w:color="auto" w:fill="F0FFFF"/>
          </w:tcPr>
          <w:p>
            <w:pPr>
              <w:spacing w:after="0"/>
              <w:rPr>
                <w:sz w:val="17"/>
                <w:szCs w:val="17"/>
                <w:color w:val="auto"/>
              </w:rPr>
            </w:pPr>
          </w:p>
        </w:tc>
        <w:tc>
          <w:tcPr>
            <w:tcW w:w="6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8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Return on assets - GAAP </w:t>
            </w:r>
            <w:r>
              <w:rPr>
                <w:rFonts w:ascii="Times New Roman" w:cs="Times New Roman" w:eastAsia="Times New Roman" w:hAnsi="Times New Roman"/>
                <w:sz w:val="21"/>
                <w:szCs w:val="21"/>
                <w:color w:val="auto"/>
                <w:vertAlign w:val="superscript"/>
              </w:rPr>
              <w:t>(4)</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.82</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.99</w:t>
            </w:r>
          </w:p>
        </w:tc>
        <w:tc>
          <w:tcPr>
            <w:tcW w:w="3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.88</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0" w:type="dxa"/>
            <w:vAlign w:val="bottom"/>
            <w:tcBorders>
              <w:right w:val="single" w:sz="8" w:color="F0FFFF"/>
            </w:tcBorders>
            <w:shd w:val="clear" w:color="auto" w:fill="F0FFFF"/>
          </w:tcPr>
          <w:p>
            <w:pPr>
              <w:ind w:left="320"/>
              <w:spacing w:after="0" w:line="179" w:lineRule="exact"/>
              <w:rPr>
                <w:sz w:val="20"/>
                <w:szCs w:val="20"/>
                <w:color w:val="auto"/>
              </w:rPr>
            </w:pPr>
            <w:r>
              <w:rPr>
                <w:rFonts w:ascii="Times New Roman" w:cs="Times New Roman" w:eastAsia="Times New Roman" w:hAnsi="Times New Roman"/>
                <w:sz w:val="13"/>
                <w:szCs w:val="13"/>
                <w:color w:val="auto"/>
              </w:rPr>
              <w:t xml:space="preserve">Return on assets - operating </w:t>
            </w:r>
            <w:r>
              <w:rPr>
                <w:rFonts w:ascii="Times New Roman" w:cs="Times New Roman" w:eastAsia="Times New Roman" w:hAnsi="Times New Roman"/>
                <w:sz w:val="20"/>
                <w:szCs w:val="20"/>
                <w:color w:val="auto"/>
                <w:vertAlign w:val="superscript"/>
              </w:rPr>
              <w:t>(1)</w:t>
            </w:r>
          </w:p>
        </w:tc>
        <w:tc>
          <w:tcPr>
            <w:tcW w:w="10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20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200" w:type="dxa"/>
            <w:vAlign w:val="bottom"/>
            <w:tcBorders>
              <w:right w:val="single" w:sz="8" w:color="F0FFFF"/>
            </w:tcBorders>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Borders>
              <w:right w:val="single" w:sz="8" w:color="F0FFFF"/>
            </w:tcBorders>
            <w:shd w:val="clear" w:color="auto" w:fill="F0FFFF"/>
          </w:tcPr>
          <w:p>
            <w:pPr>
              <w:ind w:left="44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F0FFFF"/>
          </w:tcPr>
          <w:p>
            <w:pPr>
              <w:spacing w:after="0"/>
              <w:rPr>
                <w:sz w:val="15"/>
                <w:szCs w:val="15"/>
                <w:color w:val="auto"/>
              </w:rPr>
            </w:pPr>
          </w:p>
        </w:tc>
        <w:tc>
          <w:tcPr>
            <w:tcW w:w="9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8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1.05</w:t>
            </w:r>
          </w:p>
        </w:tc>
        <w:tc>
          <w:tcPr>
            <w:tcW w:w="36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.98</w:t>
            </w:r>
          </w:p>
        </w:tc>
        <w:tc>
          <w:tcPr>
            <w:tcW w:w="8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Dividend payout ratio - GAAP</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22.22</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22.58</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22.22</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21.57</w:t>
            </w: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19.05</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Borders>
              <w:right w:val="single" w:sz="8" w:color="F0FFFF"/>
            </w:tcBorders>
            <w:shd w:val="clear" w:color="auto" w:fill="F0FFFF"/>
          </w:tcPr>
          <w:p>
            <w:pPr>
              <w:ind w:left="320"/>
              <w:spacing w:after="0" w:line="138" w:lineRule="exact"/>
              <w:rPr>
                <w:sz w:val="20"/>
                <w:szCs w:val="20"/>
                <w:color w:val="auto"/>
              </w:rPr>
            </w:pPr>
            <w:r>
              <w:rPr>
                <w:rFonts w:ascii="Times New Roman" w:cs="Times New Roman" w:eastAsia="Times New Roman" w:hAnsi="Times New Roman"/>
                <w:sz w:val="14"/>
                <w:szCs w:val="14"/>
                <w:color w:val="auto"/>
              </w:rPr>
              <w:t>Dividend payout ratio -</w:t>
            </w: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00" w:type="dxa"/>
            <w:vAlign w:val="bottom"/>
            <w:tcBorders>
              <w:right w:val="single" w:sz="8" w:color="F0FFFF"/>
            </w:tcBorders>
            <w:shd w:val="clear" w:color="auto" w:fill="F0FFFF"/>
          </w:tcPr>
          <w:p>
            <w:pPr>
              <w:ind w:left="440"/>
              <w:spacing w:after="0" w:line="200" w:lineRule="exact"/>
              <w:rPr>
                <w:sz w:val="20"/>
                <w:szCs w:val="20"/>
                <w:color w:val="auto"/>
              </w:rPr>
            </w:pPr>
            <w:r>
              <w:rPr>
                <w:rFonts w:ascii="Times New Roman" w:cs="Times New Roman" w:eastAsia="Times New Roman" w:hAnsi="Times New Roman"/>
                <w:sz w:val="14"/>
                <w:szCs w:val="14"/>
                <w:color w:val="auto"/>
              </w:rPr>
              <w:t xml:space="preserve">operating </w:t>
            </w:r>
            <w:r>
              <w:rPr>
                <w:rFonts w:ascii="Times New Roman" w:cs="Times New Roman" w:eastAsia="Times New Roman" w:hAnsi="Times New Roman"/>
                <w:sz w:val="23"/>
                <w:szCs w:val="23"/>
                <w:color w:val="auto"/>
                <w:vertAlign w:val="superscript"/>
              </w:rPr>
              <w:t>(1)</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20.51</w:t>
            </w:r>
          </w:p>
        </w:tc>
        <w:tc>
          <w:tcPr>
            <w:tcW w:w="1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19.44</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21.21</w:t>
            </w:r>
          </w:p>
        </w:tc>
        <w:tc>
          <w:tcPr>
            <w:tcW w:w="12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18.18</w:t>
            </w:r>
          </w:p>
        </w:tc>
        <w:tc>
          <w:tcPr>
            <w:tcW w:w="8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20.37</w:t>
            </w:r>
          </w:p>
        </w:tc>
        <w:tc>
          <w:tcPr>
            <w:tcW w:w="360" w:type="dxa"/>
            <w:vAlign w:val="bottom"/>
            <w:shd w:val="clear" w:color="auto" w:fill="F0FFFF"/>
          </w:tcPr>
          <w:p>
            <w:pPr>
              <w:spacing w:after="0"/>
              <w:rPr>
                <w:sz w:val="17"/>
                <w:szCs w:val="17"/>
                <w:color w:val="auto"/>
              </w:rPr>
            </w:pPr>
          </w:p>
        </w:tc>
        <w:tc>
          <w:tcPr>
            <w:tcW w:w="6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17.02</w:t>
            </w:r>
          </w:p>
        </w:tc>
        <w:tc>
          <w:tcPr>
            <w:tcW w:w="8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ind w:left="320"/>
              <w:spacing w:after="0" w:line="138" w:lineRule="exact"/>
              <w:rPr>
                <w:sz w:val="20"/>
                <w:szCs w:val="20"/>
                <w:color w:val="auto"/>
              </w:rPr>
            </w:pPr>
            <w:r>
              <w:rPr>
                <w:rFonts w:ascii="Times New Roman" w:cs="Times New Roman" w:eastAsia="Times New Roman" w:hAnsi="Times New Roman"/>
                <w:sz w:val="14"/>
                <w:szCs w:val="14"/>
                <w:color w:val="auto"/>
              </w:rPr>
              <w:t>Net interest margin (fully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00" w:type="dxa"/>
            <w:vAlign w:val="bottom"/>
          </w:tcPr>
          <w:p>
            <w:pPr>
              <w:ind w:left="440"/>
              <w:spacing w:after="0" w:line="200" w:lineRule="exact"/>
              <w:rPr>
                <w:sz w:val="20"/>
                <w:szCs w:val="20"/>
                <w:color w:val="auto"/>
              </w:rPr>
            </w:pPr>
            <w:r>
              <w:rPr>
                <w:rFonts w:ascii="Times New Roman" w:cs="Times New Roman" w:eastAsia="Times New Roman" w:hAnsi="Times New Roman"/>
                <w:sz w:val="14"/>
                <w:szCs w:val="14"/>
                <w:color w:val="auto"/>
              </w:rPr>
              <w:t xml:space="preserve">taxable equivalent) </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3.26</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3.36</w:t>
            </w:r>
          </w:p>
        </w:tc>
        <w:tc>
          <w:tcPr>
            <w:tcW w:w="3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3.29</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Efficiency ratio - GAAP</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60.78</w:t>
            </w: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59.02</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61.94</w:t>
            </w:r>
          </w:p>
        </w:tc>
        <w:tc>
          <w:tcPr>
            <w:tcW w:w="12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68.97</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64.65</w:t>
            </w: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60.56</w:t>
            </w:r>
          </w:p>
        </w:tc>
        <w:tc>
          <w:tcPr>
            <w:tcW w:w="3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61.94</w:t>
            </w:r>
          </w:p>
        </w:tc>
        <w:tc>
          <w:tcPr>
            <w:tcW w:w="8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tcPr>
          <w:p>
            <w:pPr>
              <w:ind w:left="320"/>
              <w:spacing w:after="0" w:line="189" w:lineRule="exact"/>
              <w:rPr>
                <w:sz w:val="20"/>
                <w:szCs w:val="20"/>
                <w:color w:val="auto"/>
              </w:rPr>
            </w:pPr>
            <w:r>
              <w:rPr>
                <w:rFonts w:ascii="Times New Roman" w:cs="Times New Roman" w:eastAsia="Times New Roman" w:hAnsi="Times New Roman"/>
                <w:sz w:val="13"/>
                <w:szCs w:val="13"/>
                <w:color w:val="auto"/>
              </w:rPr>
              <w:t xml:space="preserve">Efficiency ratio - operating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57.79</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57.82</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59.10</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59.41</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57.81</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58.21</w:t>
            </w:r>
          </w:p>
        </w:tc>
        <w:tc>
          <w:tcPr>
            <w:tcW w:w="3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58.15</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Borders>
              <w:right w:val="single" w:sz="8" w:color="F0FFFF"/>
            </w:tcBorders>
            <w:shd w:val="clear" w:color="auto" w:fill="F0FFFF"/>
          </w:tcPr>
          <w:p>
            <w:pPr>
              <w:ind w:left="320"/>
              <w:spacing w:after="0" w:line="126" w:lineRule="exact"/>
              <w:rPr>
                <w:sz w:val="20"/>
                <w:szCs w:val="20"/>
                <w:color w:val="auto"/>
              </w:rPr>
            </w:pPr>
            <w:r>
              <w:rPr>
                <w:rFonts w:ascii="Times New Roman" w:cs="Times New Roman" w:eastAsia="Times New Roman" w:hAnsi="Times New Roman"/>
                <w:sz w:val="14"/>
                <w:szCs w:val="14"/>
                <w:color w:val="auto"/>
              </w:rPr>
              <w:t>Average equity to average</w:t>
            </w:r>
          </w:p>
        </w:tc>
        <w:tc>
          <w:tcPr>
            <w:tcW w:w="100" w:type="dxa"/>
            <w:vAlign w:val="bottom"/>
            <w:shd w:val="clear" w:color="auto" w:fill="F0FFFF"/>
          </w:tcPr>
          <w:p>
            <w:pPr>
              <w:spacing w:after="0"/>
              <w:rPr>
                <w:sz w:val="10"/>
                <w:szCs w:val="10"/>
                <w:color w:val="auto"/>
              </w:rPr>
            </w:pPr>
          </w:p>
        </w:tc>
        <w:tc>
          <w:tcPr>
            <w:tcW w:w="90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10.38</w:t>
            </w:r>
          </w:p>
        </w:tc>
        <w:tc>
          <w:tcPr>
            <w:tcW w:w="120" w:type="dxa"/>
            <w:vAlign w:val="bottom"/>
            <w:shd w:val="clear" w:color="auto" w:fill="F0FFFF"/>
          </w:tcPr>
          <w:p>
            <w:pPr>
              <w:spacing w:after="0"/>
              <w:rPr>
                <w:sz w:val="10"/>
                <w:szCs w:val="10"/>
                <w:color w:val="auto"/>
              </w:rPr>
            </w:pPr>
          </w:p>
        </w:tc>
        <w:tc>
          <w:tcPr>
            <w:tcW w:w="90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shd w:val="clear" w:color="auto" w:fill="F0FFFF"/>
          </w:tcPr>
          <w:p>
            <w:pPr>
              <w:spacing w:after="0"/>
              <w:rPr>
                <w:sz w:val="10"/>
                <w:szCs w:val="10"/>
                <w:color w:val="auto"/>
              </w:rPr>
            </w:pPr>
          </w:p>
        </w:tc>
        <w:tc>
          <w:tcPr>
            <w:tcW w:w="90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10.72</w:t>
            </w:r>
          </w:p>
        </w:tc>
        <w:tc>
          <w:tcPr>
            <w:tcW w:w="120" w:type="dxa"/>
            <w:vAlign w:val="bottom"/>
            <w:shd w:val="clear" w:color="auto" w:fill="F0FFFF"/>
          </w:tcPr>
          <w:p>
            <w:pPr>
              <w:spacing w:after="0"/>
              <w:rPr>
                <w:sz w:val="10"/>
                <w:szCs w:val="10"/>
                <w:color w:val="auto"/>
              </w:rPr>
            </w:pPr>
          </w:p>
        </w:tc>
        <w:tc>
          <w:tcPr>
            <w:tcW w:w="92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shd w:val="clear" w:color="auto" w:fill="F0FFFF"/>
          </w:tcPr>
          <w:p>
            <w:pPr>
              <w:spacing w:after="0"/>
              <w:rPr>
                <w:sz w:val="10"/>
                <w:szCs w:val="10"/>
                <w:color w:val="auto"/>
              </w:rPr>
            </w:pPr>
          </w:p>
        </w:tc>
        <w:tc>
          <w:tcPr>
            <w:tcW w:w="92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10.39</w:t>
            </w:r>
          </w:p>
        </w:tc>
        <w:tc>
          <w:tcPr>
            <w:tcW w:w="86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86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10.60</w:t>
            </w:r>
          </w:p>
        </w:tc>
        <w:tc>
          <w:tcPr>
            <w:tcW w:w="360" w:type="dxa"/>
            <w:vAlign w:val="bottom"/>
            <w:shd w:val="clear" w:color="auto" w:fill="F0FFFF"/>
          </w:tcPr>
          <w:p>
            <w:pPr>
              <w:spacing w:after="0"/>
              <w:rPr>
                <w:sz w:val="10"/>
                <w:szCs w:val="10"/>
                <w:color w:val="auto"/>
              </w:rPr>
            </w:pPr>
          </w:p>
        </w:tc>
        <w:tc>
          <w:tcPr>
            <w:tcW w:w="68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10.11</w:t>
            </w:r>
          </w:p>
        </w:tc>
        <w:tc>
          <w:tcPr>
            <w:tcW w:w="86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Borders>
              <w:right w:val="single" w:sz="8" w:color="F0FFFF"/>
            </w:tcBorders>
            <w:shd w:val="clear" w:color="auto" w:fill="F0FFFF"/>
          </w:tcPr>
          <w:p>
            <w:pPr>
              <w:ind w:left="44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vMerge w:val="continue"/>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00" w:type="dxa"/>
            <w:vAlign w:val="bottom"/>
            <w:gridSpan w:val="2"/>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vMerge w:val="continue"/>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20" w:type="dxa"/>
            <w:vAlign w:val="bottom"/>
            <w:tcBorders>
              <w:right w:val="single" w:sz="8" w:color="F0FFFF"/>
            </w:tcBorders>
            <w:gridSpan w:val="2"/>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gridSpan w:val="2"/>
            <w:vMerge w:val="continue"/>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60" w:type="dxa"/>
            <w:vAlign w:val="bottom"/>
            <w:tcBorders>
              <w:right w:val="single" w:sz="8" w:color="F0FFFF"/>
            </w:tcBorders>
            <w:gridSpan w:val="2"/>
            <w:vMerge w:val="continue"/>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80" w:type="dxa"/>
            <w:vAlign w:val="bottom"/>
            <w:gridSpan w:val="2"/>
            <w:vMerge w:val="continue"/>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ind w:left="320"/>
              <w:spacing w:after="0" w:line="138" w:lineRule="exact"/>
              <w:rPr>
                <w:sz w:val="20"/>
                <w:szCs w:val="20"/>
                <w:color w:val="auto"/>
              </w:rPr>
            </w:pPr>
            <w:r>
              <w:rPr>
                <w:rFonts w:ascii="Times New Roman" w:cs="Times New Roman" w:eastAsia="Times New Roman" w:hAnsi="Times New Roman"/>
                <w:sz w:val="14"/>
                <w:szCs w:val="14"/>
                <w:color w:val="auto"/>
              </w:rPr>
              <w:t>Average tangible equity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00" w:type="dxa"/>
            <w:vAlign w:val="bottom"/>
          </w:tcPr>
          <w:p>
            <w:pPr>
              <w:ind w:left="440"/>
              <w:spacing w:after="0" w:line="200" w:lineRule="exact"/>
              <w:rPr>
                <w:sz w:val="20"/>
                <w:szCs w:val="20"/>
                <w:color w:val="auto"/>
              </w:rPr>
            </w:pPr>
            <w:r>
              <w:rPr>
                <w:rFonts w:ascii="Times New Roman" w:cs="Times New Roman" w:eastAsia="Times New Roman" w:hAnsi="Times New Roman"/>
                <w:sz w:val="14"/>
                <w:szCs w:val="14"/>
                <w:color w:val="auto"/>
              </w:rPr>
              <w:t xml:space="preserve">average assets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9.41</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9.88</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9.27</w:t>
            </w:r>
          </w:p>
        </w:tc>
        <w:tc>
          <w:tcPr>
            <w:tcW w:w="3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9.88</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Borders>
              <w:right w:val="single" w:sz="8" w:color="F0FFFF"/>
            </w:tcBorders>
            <w:shd w:val="clear" w:color="auto" w:fill="F0FFFF"/>
          </w:tcPr>
          <w:p>
            <w:pPr>
              <w:ind w:left="320"/>
              <w:spacing w:after="0" w:line="138" w:lineRule="exact"/>
              <w:rPr>
                <w:sz w:val="20"/>
                <w:szCs w:val="20"/>
                <w:color w:val="auto"/>
              </w:rPr>
            </w:pPr>
            <w:r>
              <w:rPr>
                <w:rFonts w:ascii="Times New Roman" w:cs="Times New Roman" w:eastAsia="Times New Roman" w:hAnsi="Times New Roman"/>
                <w:sz w:val="14"/>
                <w:szCs w:val="14"/>
                <w:color w:val="auto"/>
              </w:rPr>
              <w:t>Average tangible common</w:t>
            </w: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00" w:type="dxa"/>
            <w:vAlign w:val="bottom"/>
            <w:tcBorders>
              <w:right w:val="single" w:sz="8" w:color="F0FFFF"/>
            </w:tcBorders>
            <w:shd w:val="clear" w:color="auto" w:fill="F0FFFF"/>
          </w:tcPr>
          <w:p>
            <w:pPr>
              <w:ind w:left="440"/>
              <w:spacing w:after="0" w:line="200" w:lineRule="exact"/>
              <w:rPr>
                <w:sz w:val="20"/>
                <w:szCs w:val="20"/>
                <w:color w:val="auto"/>
              </w:rPr>
            </w:pPr>
            <w:r>
              <w:rPr>
                <w:rFonts w:ascii="Times New Roman" w:cs="Times New Roman" w:eastAsia="Times New Roman" w:hAnsi="Times New Roman"/>
                <w:sz w:val="14"/>
                <w:szCs w:val="14"/>
                <w:color w:val="auto"/>
              </w:rPr>
              <w:t xml:space="preserve">equity to average assets </w:t>
            </w:r>
            <w:r>
              <w:rPr>
                <w:rFonts w:ascii="Times New Roman" w:cs="Times New Roman" w:eastAsia="Times New Roman" w:hAnsi="Times New Roman"/>
                <w:sz w:val="23"/>
                <w:szCs w:val="23"/>
                <w:color w:val="auto"/>
                <w:vertAlign w:val="superscript"/>
              </w:rPr>
              <w:t>(3)</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9.32</w:t>
            </w:r>
          </w:p>
        </w:tc>
        <w:tc>
          <w:tcPr>
            <w:tcW w:w="12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9.77</w:t>
            </w:r>
          </w:p>
        </w:tc>
        <w:tc>
          <w:tcPr>
            <w:tcW w:w="8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9.24</w:t>
            </w:r>
          </w:p>
        </w:tc>
        <w:tc>
          <w:tcPr>
            <w:tcW w:w="360" w:type="dxa"/>
            <w:vAlign w:val="bottom"/>
            <w:shd w:val="clear" w:color="auto" w:fill="F0FFFF"/>
          </w:tcPr>
          <w:p>
            <w:pPr>
              <w:spacing w:after="0"/>
              <w:rPr>
                <w:sz w:val="17"/>
                <w:szCs w:val="17"/>
                <w:color w:val="auto"/>
              </w:rPr>
            </w:pPr>
          </w:p>
        </w:tc>
        <w:tc>
          <w:tcPr>
            <w:tcW w:w="6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9.81</w:t>
            </w:r>
          </w:p>
        </w:tc>
        <w:tc>
          <w:tcPr>
            <w:tcW w:w="8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ind w:left="320"/>
              <w:spacing w:after="0" w:line="138" w:lineRule="exact"/>
              <w:rPr>
                <w:sz w:val="20"/>
                <w:szCs w:val="20"/>
                <w:color w:val="auto"/>
              </w:rPr>
            </w:pPr>
            <w:r>
              <w:rPr>
                <w:rFonts w:ascii="Times New Roman" w:cs="Times New Roman" w:eastAsia="Times New Roman" w:hAnsi="Times New Roman"/>
                <w:sz w:val="14"/>
                <w:szCs w:val="14"/>
                <w:color w:val="auto"/>
              </w:rPr>
              <w:t>Tangible common equity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00" w:type="dxa"/>
            <w:vAlign w:val="bottom"/>
          </w:tcPr>
          <w:p>
            <w:pPr>
              <w:ind w:left="440"/>
              <w:spacing w:after="0" w:line="200" w:lineRule="exact"/>
              <w:rPr>
                <w:sz w:val="20"/>
                <w:szCs w:val="20"/>
                <w:color w:val="auto"/>
              </w:rPr>
            </w:pPr>
            <w:r>
              <w:rPr>
                <w:rFonts w:ascii="Times New Roman" w:cs="Times New Roman" w:eastAsia="Times New Roman" w:hAnsi="Times New Roman"/>
                <w:sz w:val="14"/>
                <w:szCs w:val="14"/>
                <w:color w:val="auto"/>
              </w:rPr>
              <w:t xml:space="preserve">risk-weighted assets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12.22</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12.77</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13.08</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12.22</w:t>
            </w:r>
          </w:p>
        </w:tc>
        <w:tc>
          <w:tcPr>
            <w:tcW w:w="3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13.08</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0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00" w:type="dxa"/>
            <w:vAlign w:val="bottom"/>
            <w:tcBorders>
              <w:right w:val="single" w:sz="8" w:color="F0FFFF"/>
            </w:tcBorders>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 QUALITY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Nonperforming loans</w:t>
            </w:r>
          </w:p>
        </w:tc>
        <w:tc>
          <w:tcPr>
            <w:tcW w:w="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21,572</w:t>
            </w:r>
          </w:p>
        </w:tc>
        <w:tc>
          <w:tcPr>
            <w:tcW w:w="1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21,348</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22,419</w:t>
            </w:r>
          </w:p>
        </w:tc>
        <w:tc>
          <w:tcPr>
            <w:tcW w:w="1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22,653</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20,064</w:t>
            </w:r>
          </w:p>
        </w:tc>
        <w:tc>
          <w:tcPr>
            <w:tcW w:w="106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21,572</w:t>
            </w:r>
          </w:p>
        </w:tc>
        <w:tc>
          <w:tcPr>
            <w:tcW w:w="360" w:type="dxa"/>
            <w:vAlign w:val="bottom"/>
            <w:shd w:val="clear" w:color="auto" w:fill="F0FF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20,064</w:t>
            </w:r>
          </w:p>
        </w:tc>
        <w:tc>
          <w:tcPr>
            <w:tcW w:w="8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Foreclosed properties</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9,187</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6,176</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5,163</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4,883</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7,669</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9,187</w:t>
            </w: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7,669</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Borders>
              <w:right w:val="single" w:sz="8" w:color="F0FFFF"/>
            </w:tcBorders>
            <w:vMerge w:val="restart"/>
            <w:shd w:val="clear" w:color="auto" w:fill="F0FFFF"/>
          </w:tcPr>
          <w:p>
            <w:pPr>
              <w:ind w:left="320"/>
              <w:spacing w:after="0" w:line="139" w:lineRule="exact"/>
              <w:rPr>
                <w:sz w:val="20"/>
                <w:szCs w:val="20"/>
                <w:color w:val="auto"/>
              </w:rPr>
            </w:pPr>
            <w:r>
              <w:rPr>
                <w:rFonts w:ascii="Times New Roman" w:cs="Times New Roman" w:eastAsia="Times New Roman" w:hAnsi="Times New Roman"/>
                <w:sz w:val="14"/>
                <w:szCs w:val="14"/>
                <w:color w:val="auto"/>
              </w:rPr>
              <w:t>Total nonperforming assets</w:t>
            </w: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200" w:type="dxa"/>
            <w:vAlign w:val="bottom"/>
            <w:tcBorders>
              <w:right w:val="single" w:sz="8" w:color="F0FFFF"/>
            </w:tcBorders>
            <w:vMerge w:val="continue"/>
            <w:shd w:val="clear" w:color="auto" w:fill="F0FFFF"/>
          </w:tcPr>
          <w:p>
            <w:pPr>
              <w:spacing w:after="0"/>
              <w:rPr>
                <w:sz w:val="9"/>
                <w:szCs w:val="9"/>
                <w:color w:val="auto"/>
              </w:rPr>
            </w:pPr>
          </w:p>
        </w:tc>
        <w:tc>
          <w:tcPr>
            <w:tcW w:w="100" w:type="dxa"/>
            <w:vAlign w:val="bottom"/>
            <w:shd w:val="clear" w:color="auto" w:fill="F0FFFF"/>
          </w:tcPr>
          <w:p>
            <w:pPr>
              <w:spacing w:after="0"/>
              <w:rPr>
                <w:sz w:val="9"/>
                <w:szCs w:val="9"/>
                <w:color w:val="auto"/>
              </w:rPr>
            </w:pPr>
          </w:p>
        </w:tc>
        <w:tc>
          <w:tcPr>
            <w:tcW w:w="90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30,759</w:t>
            </w:r>
          </w:p>
        </w:tc>
        <w:tc>
          <w:tcPr>
            <w:tcW w:w="120" w:type="dxa"/>
            <w:vAlign w:val="bottom"/>
            <w:shd w:val="clear" w:color="auto" w:fill="F0FFFF"/>
          </w:tcPr>
          <w:p>
            <w:pPr>
              <w:spacing w:after="0"/>
              <w:rPr>
                <w:sz w:val="9"/>
                <w:szCs w:val="9"/>
                <w:color w:val="auto"/>
              </w:rPr>
            </w:pPr>
          </w:p>
        </w:tc>
        <w:tc>
          <w:tcPr>
            <w:tcW w:w="90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27,524</w:t>
            </w:r>
          </w:p>
        </w:tc>
        <w:tc>
          <w:tcPr>
            <w:tcW w:w="100" w:type="dxa"/>
            <w:vAlign w:val="bottom"/>
            <w:shd w:val="clear" w:color="auto" w:fill="F0FFFF"/>
          </w:tcPr>
          <w:p>
            <w:pPr>
              <w:spacing w:after="0"/>
              <w:rPr>
                <w:sz w:val="9"/>
                <w:szCs w:val="9"/>
                <w:color w:val="auto"/>
              </w:rPr>
            </w:pPr>
          </w:p>
        </w:tc>
        <w:tc>
          <w:tcPr>
            <w:tcW w:w="90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27,582</w:t>
            </w:r>
          </w:p>
        </w:tc>
        <w:tc>
          <w:tcPr>
            <w:tcW w:w="120" w:type="dxa"/>
            <w:vAlign w:val="bottom"/>
            <w:shd w:val="clear" w:color="auto" w:fill="F0FFFF"/>
          </w:tcPr>
          <w:p>
            <w:pPr>
              <w:spacing w:after="0"/>
              <w:rPr>
                <w:sz w:val="9"/>
                <w:szCs w:val="9"/>
                <w:color w:val="auto"/>
              </w:rPr>
            </w:pPr>
          </w:p>
        </w:tc>
        <w:tc>
          <w:tcPr>
            <w:tcW w:w="92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27,536</w:t>
            </w:r>
          </w:p>
        </w:tc>
        <w:tc>
          <w:tcPr>
            <w:tcW w:w="100" w:type="dxa"/>
            <w:vAlign w:val="bottom"/>
            <w:shd w:val="clear" w:color="auto" w:fill="F0FFFF"/>
          </w:tcPr>
          <w:p>
            <w:pPr>
              <w:spacing w:after="0"/>
              <w:rPr>
                <w:sz w:val="9"/>
                <w:szCs w:val="9"/>
                <w:color w:val="auto"/>
              </w:rPr>
            </w:pPr>
          </w:p>
        </w:tc>
        <w:tc>
          <w:tcPr>
            <w:tcW w:w="92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27,733</w:t>
            </w:r>
          </w:p>
        </w:tc>
        <w:tc>
          <w:tcPr>
            <w:tcW w:w="106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F0FFFF"/>
          </w:tcPr>
          <w:p>
            <w:pPr>
              <w:spacing w:after="0"/>
              <w:rPr>
                <w:sz w:val="9"/>
                <w:szCs w:val="9"/>
                <w:color w:val="auto"/>
              </w:rPr>
            </w:pPr>
          </w:p>
        </w:tc>
        <w:tc>
          <w:tcPr>
            <w:tcW w:w="86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30,759</w:t>
            </w:r>
          </w:p>
        </w:tc>
        <w:tc>
          <w:tcPr>
            <w:tcW w:w="360" w:type="dxa"/>
            <w:vAlign w:val="bottom"/>
            <w:shd w:val="clear" w:color="auto" w:fill="F0FFFF"/>
          </w:tcPr>
          <w:p>
            <w:pPr>
              <w:spacing w:after="0"/>
              <w:rPr>
                <w:sz w:val="9"/>
                <w:szCs w:val="9"/>
                <w:color w:val="auto"/>
              </w:rPr>
            </w:pPr>
          </w:p>
        </w:tc>
        <w:tc>
          <w:tcPr>
            <w:tcW w:w="68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27,733</w:t>
            </w:r>
          </w:p>
        </w:tc>
        <w:tc>
          <w:tcPr>
            <w:tcW w:w="980" w:type="dxa"/>
            <w:vAlign w:val="bottom"/>
            <w:gridSpan w:val="2"/>
            <w:vMerge w:val="restart"/>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Borders>
              <w:right w:val="single" w:sz="8" w:color="F0FFFF"/>
            </w:tcBorders>
            <w:shd w:val="clear" w:color="auto" w:fill="F0FFFF"/>
          </w:tcPr>
          <w:p>
            <w:pPr>
              <w:ind w:left="440"/>
              <w:spacing w:after="0"/>
              <w:rPr>
                <w:sz w:val="20"/>
                <w:szCs w:val="20"/>
                <w:color w:val="auto"/>
              </w:rPr>
            </w:pPr>
            <w:r>
              <w:rPr>
                <w:rFonts w:ascii="Times New Roman" w:cs="Times New Roman" w:eastAsia="Times New Roman" w:hAnsi="Times New Roman"/>
                <w:sz w:val="14"/>
                <w:szCs w:val="14"/>
                <w:color w:val="auto"/>
              </w:rPr>
              <w:t>(NPAs)</w:t>
            </w:r>
          </w:p>
        </w:tc>
        <w:tc>
          <w:tcPr>
            <w:tcW w:w="10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vMerge w:val="continue"/>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00" w:type="dxa"/>
            <w:vAlign w:val="bottom"/>
            <w:gridSpan w:val="2"/>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vMerge w:val="continue"/>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20" w:type="dxa"/>
            <w:vAlign w:val="bottom"/>
            <w:tcBorders>
              <w:right w:val="single" w:sz="8" w:color="F0FFFF"/>
            </w:tcBorders>
            <w:gridSpan w:val="2"/>
            <w:vMerge w:val="continue"/>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gridSpan w:val="2"/>
            <w:vMerge w:val="continue"/>
            <w:shd w:val="clear" w:color="auto" w:fill="F0FFFF"/>
          </w:tcPr>
          <w:p>
            <w:pPr>
              <w:spacing w:after="0"/>
              <w:rPr>
                <w:sz w:val="14"/>
                <w:szCs w:val="14"/>
                <w:color w:val="auto"/>
              </w:rPr>
            </w:pPr>
          </w:p>
        </w:tc>
        <w:tc>
          <w:tcPr>
            <w:tcW w:w="1060" w:type="dxa"/>
            <w:vAlign w:val="bottom"/>
            <w:gridSpan w:val="2"/>
            <w:vMerge w:val="continue"/>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60" w:type="dxa"/>
            <w:vAlign w:val="bottom"/>
            <w:tcBorders>
              <w:right w:val="single" w:sz="8" w:color="F0FFFF"/>
            </w:tcBorders>
            <w:gridSpan w:val="2"/>
            <w:vMerge w:val="continue"/>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80" w:type="dxa"/>
            <w:vAlign w:val="bottom"/>
            <w:gridSpan w:val="2"/>
            <w:vMerge w:val="continue"/>
            <w:shd w:val="clear" w:color="auto" w:fill="F0FFFF"/>
          </w:tcPr>
          <w:p>
            <w:pPr>
              <w:spacing w:after="0"/>
              <w:rPr>
                <w:sz w:val="14"/>
                <w:szCs w:val="14"/>
                <w:color w:val="auto"/>
              </w:rPr>
            </w:pPr>
          </w:p>
        </w:tc>
        <w:tc>
          <w:tcPr>
            <w:tcW w:w="980" w:type="dxa"/>
            <w:vAlign w:val="bottom"/>
            <w:gridSpan w:val="2"/>
            <w:vMerge w:val="continue"/>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Allowance for loan losses</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62,961</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64,253</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66,310</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68,448</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69,062</w:t>
            </w: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62,961</w:t>
            </w: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69,062</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charge-offs</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1,359</w:t>
            </w: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1,730</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2,138</w:t>
            </w:r>
          </w:p>
        </w:tc>
        <w:tc>
          <w:tcPr>
            <w:tcW w:w="12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1,417</w:t>
            </w:r>
          </w:p>
        </w:tc>
        <w:tc>
          <w:tcPr>
            <w:tcW w:w="106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5,227</w:t>
            </w:r>
          </w:p>
        </w:tc>
        <w:tc>
          <w:tcPr>
            <w:tcW w:w="3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4,957</w:t>
            </w:r>
          </w:p>
        </w:tc>
        <w:tc>
          <w:tcPr>
            <w:tcW w:w="8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Allowance for loan losses to loans</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0.94%</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0.94%</w:t>
            </w:r>
          </w:p>
        </w:tc>
        <w:tc>
          <w:tcPr>
            <w:tcW w:w="3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Borders>
              <w:right w:val="single" w:sz="8" w:color="F0FFFF"/>
            </w:tcBorders>
            <w:shd w:val="clear" w:color="auto" w:fill="F0FFFF"/>
          </w:tcPr>
          <w:p>
            <w:pPr>
              <w:ind w:left="160"/>
              <w:spacing w:after="0" w:line="138" w:lineRule="exact"/>
              <w:rPr>
                <w:sz w:val="20"/>
                <w:szCs w:val="20"/>
                <w:color w:val="auto"/>
              </w:rPr>
            </w:pPr>
            <w:r>
              <w:rPr>
                <w:rFonts w:ascii="Times New Roman" w:cs="Times New Roman" w:eastAsia="Times New Roman" w:hAnsi="Times New Roman"/>
                <w:sz w:val="14"/>
                <w:szCs w:val="14"/>
                <w:color w:val="auto"/>
              </w:rPr>
              <w:t>Net charge-offs to average loans</w:t>
            </w: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Borders>
              <w:right w:val="single" w:sz="8" w:color="F0FFFF"/>
            </w:tcBorders>
            <w:shd w:val="clear" w:color="auto" w:fill="F0FFFF"/>
          </w:tcPr>
          <w:p>
            <w:pPr>
              <w:ind w:left="28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F0FFFF"/>
          </w:tcPr>
          <w:p>
            <w:pPr>
              <w:spacing w:after="0"/>
              <w:rPr>
                <w:sz w:val="15"/>
                <w:szCs w:val="15"/>
                <w:color w:val="auto"/>
              </w:rPr>
            </w:pPr>
          </w:p>
        </w:tc>
        <w:tc>
          <w:tcPr>
            <w:tcW w:w="9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8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.11</w:t>
            </w:r>
          </w:p>
        </w:tc>
        <w:tc>
          <w:tcPr>
            <w:tcW w:w="36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8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NPAs to loans and foreclosed</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w:t>
            </w:r>
          </w:p>
        </w:tc>
        <w:tc>
          <w:tcPr>
            <w:tcW w:w="36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properties</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NPAs to total assets</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3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8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200" w:type="dxa"/>
            <w:vAlign w:val="bottom"/>
            <w:tcBorders>
              <w:right w:val="single" w:sz="8" w:color="F0FFFF"/>
            </w:tcBorders>
            <w:shd w:val="clear" w:color="auto" w:fill="F0FF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 xml:space="preserve">AVERAGE BALANCES </w:t>
            </w:r>
            <w:r>
              <w:rPr>
                <w:rFonts w:ascii="Times New Roman" w:cs="Times New Roman" w:eastAsia="Times New Roman" w:hAnsi="Times New Roman"/>
                <w:sz w:val="14"/>
                <w:szCs w:val="14"/>
                <w:i w:val="1"/>
                <w:iCs w:val="1"/>
                <w:color w:val="auto"/>
              </w:rPr>
              <w:t>($ in</w:t>
            </w:r>
          </w:p>
        </w:tc>
        <w:tc>
          <w:tcPr>
            <w:tcW w:w="10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220" w:type="dxa"/>
            <w:vAlign w:val="bottom"/>
            <w:tcBorders>
              <w:right w:val="single" w:sz="8" w:color="F0FFFF"/>
            </w:tcBorders>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200" w:type="dxa"/>
            <w:vAlign w:val="bottom"/>
            <w:tcBorders>
              <w:right w:val="single" w:sz="8" w:color="F0FFFF"/>
            </w:tcBorders>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220" w:type="dxa"/>
            <w:vAlign w:val="bottom"/>
            <w:tcBorders>
              <w:right w:val="single" w:sz="8" w:color="F0FFFF"/>
            </w:tcBorders>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86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200" w:type="dxa"/>
            <w:vAlign w:val="bottom"/>
            <w:tcBorders>
              <w:right w:val="single" w:sz="8" w:color="F0FFFF"/>
            </w:tcBorders>
            <w:shd w:val="clear" w:color="auto" w:fill="F0FFFF"/>
          </w:tcPr>
          <w:p>
            <w:pPr>
              <w:spacing w:after="0"/>
              <w:rPr>
                <w:sz w:val="10"/>
                <w:szCs w:val="10"/>
                <w:color w:val="auto"/>
              </w:rPr>
            </w:pPr>
          </w:p>
        </w:tc>
        <w:tc>
          <w:tcPr>
            <w:tcW w:w="36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86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Borders>
              <w:right w:val="single" w:sz="8" w:color="F0FFFF"/>
            </w:tcBorders>
            <w:shd w:val="clear" w:color="auto" w:fill="F0FFFF"/>
          </w:tcPr>
          <w:p>
            <w:pPr>
              <w:ind w:left="120"/>
              <w:spacing w:after="0"/>
              <w:rPr>
                <w:sz w:val="20"/>
                <w:szCs w:val="20"/>
                <w:color w:val="auto"/>
              </w:rPr>
            </w:pPr>
            <w:r>
              <w:rPr>
                <w:rFonts w:ascii="Times New Roman" w:cs="Times New Roman" w:eastAsia="Times New Roman" w:hAnsi="Times New Roman"/>
                <w:sz w:val="14"/>
                <w:szCs w:val="14"/>
                <w:i w:val="1"/>
                <w:iCs w:val="1"/>
                <w:color w:val="auto"/>
              </w:rPr>
              <w:t>millions)</w:t>
            </w:r>
          </w:p>
        </w:tc>
        <w:tc>
          <w:tcPr>
            <w:tcW w:w="10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20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200" w:type="dxa"/>
            <w:vAlign w:val="bottom"/>
            <w:tcBorders>
              <w:right w:val="single" w:sz="8" w:color="F0FFFF"/>
            </w:tcBorders>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6,675</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6,151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6,004</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5,975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5,457</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6,278</w:t>
            </w:r>
          </w:p>
        </w:tc>
        <w:tc>
          <w:tcPr>
            <w:tcW w:w="3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5,069</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2,610</w:t>
            </w: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2,747</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2,718</w:t>
            </w:r>
          </w:p>
        </w:tc>
        <w:tc>
          <w:tcPr>
            <w:tcW w:w="12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2,607</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2,396</w:t>
            </w:r>
          </w:p>
        </w:tc>
        <w:tc>
          <w:tcPr>
            <w:tcW w:w="106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2,692</w:t>
            </w:r>
          </w:p>
        </w:tc>
        <w:tc>
          <w:tcPr>
            <w:tcW w:w="3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2,288</w:t>
            </w:r>
          </w:p>
        </w:tc>
        <w:tc>
          <w:tcPr>
            <w:tcW w:w="8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Earning assets</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9,443</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9,037</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8,876</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8,792</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8,009</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9,120</w:t>
            </w: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7,511</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10,281</w:t>
            </w: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9,809</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9,634</w:t>
            </w:r>
          </w:p>
        </w:tc>
        <w:tc>
          <w:tcPr>
            <w:tcW w:w="12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9,558</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8,634</w:t>
            </w:r>
          </w:p>
        </w:tc>
        <w:tc>
          <w:tcPr>
            <w:tcW w:w="106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8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9,909</w:t>
            </w:r>
          </w:p>
        </w:tc>
        <w:tc>
          <w:tcPr>
            <w:tcW w:w="3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8,093</w:t>
            </w:r>
          </w:p>
        </w:tc>
        <w:tc>
          <w:tcPr>
            <w:tcW w:w="8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8,307</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7,897</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7,947</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8,028</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7,135</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8,051</w:t>
            </w: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6,727</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1,067</w:t>
            </w: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12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106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8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3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8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00" w:type="dxa"/>
            <w:vAlign w:val="bottom"/>
          </w:tcPr>
          <w:p>
            <w:pPr>
              <w:ind w:left="160"/>
              <w:spacing w:after="0" w:line="124" w:lineRule="exact"/>
              <w:rPr>
                <w:sz w:val="20"/>
                <w:szCs w:val="20"/>
                <w:color w:val="auto"/>
              </w:rPr>
            </w:pPr>
            <w:r>
              <w:rPr>
                <w:rFonts w:ascii="Times New Roman" w:cs="Times New Roman" w:eastAsia="Times New Roman" w:hAnsi="Times New Roman"/>
                <w:sz w:val="14"/>
                <w:szCs w:val="14"/>
                <w:color w:val="auto"/>
              </w:rPr>
              <w:t>Common shares - basic</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71,556</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72,202</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72,162</w:t>
            </w:r>
          </w:p>
        </w:tc>
        <w:tc>
          <w:tcPr>
            <w:tcW w:w="12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72,135</w:t>
            </w:r>
          </w:p>
        </w:tc>
        <w:tc>
          <w:tcPr>
            <w:tcW w:w="10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66,294</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71,992</w:t>
            </w:r>
          </w:p>
        </w:tc>
        <w:tc>
          <w:tcPr>
            <w:tcW w:w="36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63,297</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00" w:type="dxa"/>
            <w:vAlign w:val="bottom"/>
            <w:tcBorders>
              <w:right w:val="single" w:sz="8" w:color="F0FFFF"/>
            </w:tcBorders>
            <w:shd w:val="clear" w:color="auto" w:fill="F0FFFF"/>
          </w:tcPr>
          <w:p>
            <w:pPr>
              <w:ind w:left="160"/>
              <w:spacing w:after="0" w:line="124" w:lineRule="exact"/>
              <w:rPr>
                <w:sz w:val="20"/>
                <w:szCs w:val="20"/>
                <w:color w:val="auto"/>
              </w:rPr>
            </w:pPr>
            <w:r>
              <w:rPr>
                <w:rFonts w:ascii="Times New Roman" w:cs="Times New Roman" w:eastAsia="Times New Roman" w:hAnsi="Times New Roman"/>
                <w:sz w:val="14"/>
                <w:szCs w:val="14"/>
                <w:color w:val="auto"/>
              </w:rPr>
              <w:t>Common shares - diluted</w:t>
            </w:r>
          </w:p>
        </w:tc>
        <w:tc>
          <w:tcPr>
            <w:tcW w:w="100" w:type="dxa"/>
            <w:vAlign w:val="bottom"/>
            <w:shd w:val="clear" w:color="auto" w:fill="F0FFFF"/>
          </w:tcPr>
          <w:p>
            <w:pPr>
              <w:spacing w:after="0"/>
              <w:rPr>
                <w:sz w:val="10"/>
                <w:szCs w:val="10"/>
                <w:color w:val="auto"/>
              </w:rPr>
            </w:pPr>
          </w:p>
        </w:tc>
        <w:tc>
          <w:tcPr>
            <w:tcW w:w="90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71,561</w:t>
            </w:r>
          </w:p>
        </w:tc>
        <w:tc>
          <w:tcPr>
            <w:tcW w:w="120" w:type="dxa"/>
            <w:vAlign w:val="bottom"/>
            <w:shd w:val="clear" w:color="auto" w:fill="F0FFFF"/>
          </w:tcPr>
          <w:p>
            <w:pPr>
              <w:spacing w:after="0"/>
              <w:rPr>
                <w:sz w:val="10"/>
                <w:szCs w:val="10"/>
                <w:color w:val="auto"/>
              </w:rPr>
            </w:pPr>
          </w:p>
        </w:tc>
        <w:tc>
          <w:tcPr>
            <w:tcW w:w="90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72,207</w:t>
            </w:r>
          </w:p>
        </w:tc>
        <w:tc>
          <w:tcPr>
            <w:tcW w:w="100" w:type="dxa"/>
            <w:vAlign w:val="bottom"/>
            <w:shd w:val="clear" w:color="auto" w:fill="F0FFFF"/>
          </w:tcPr>
          <w:p>
            <w:pPr>
              <w:spacing w:after="0"/>
              <w:rPr>
                <w:sz w:val="10"/>
                <w:szCs w:val="10"/>
                <w:color w:val="auto"/>
              </w:rPr>
            </w:pPr>
          </w:p>
        </w:tc>
        <w:tc>
          <w:tcPr>
            <w:tcW w:w="90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72,166</w:t>
            </w:r>
          </w:p>
        </w:tc>
        <w:tc>
          <w:tcPr>
            <w:tcW w:w="120" w:type="dxa"/>
            <w:vAlign w:val="bottom"/>
            <w:shd w:val="clear" w:color="auto" w:fill="F0FFFF"/>
          </w:tcPr>
          <w:p>
            <w:pPr>
              <w:spacing w:after="0"/>
              <w:rPr>
                <w:sz w:val="10"/>
                <w:szCs w:val="10"/>
                <w:color w:val="auto"/>
              </w:rPr>
            </w:pPr>
          </w:p>
        </w:tc>
        <w:tc>
          <w:tcPr>
            <w:tcW w:w="92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72,140</w:t>
            </w:r>
          </w:p>
        </w:tc>
        <w:tc>
          <w:tcPr>
            <w:tcW w:w="100" w:type="dxa"/>
            <w:vAlign w:val="bottom"/>
            <w:shd w:val="clear" w:color="auto" w:fill="F0FFFF"/>
          </w:tcPr>
          <w:p>
            <w:pPr>
              <w:spacing w:after="0"/>
              <w:rPr>
                <w:sz w:val="10"/>
                <w:szCs w:val="10"/>
                <w:color w:val="auto"/>
              </w:rPr>
            </w:pPr>
          </w:p>
        </w:tc>
        <w:tc>
          <w:tcPr>
            <w:tcW w:w="92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66,300</w:t>
            </w:r>
          </w:p>
        </w:tc>
        <w:tc>
          <w:tcPr>
            <w:tcW w:w="106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F0FFFF"/>
          </w:tcPr>
          <w:p>
            <w:pPr>
              <w:spacing w:after="0"/>
              <w:rPr>
                <w:sz w:val="10"/>
                <w:szCs w:val="10"/>
                <w:color w:val="auto"/>
              </w:rPr>
            </w:pPr>
          </w:p>
        </w:tc>
        <w:tc>
          <w:tcPr>
            <w:tcW w:w="86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71,996</w:t>
            </w:r>
          </w:p>
        </w:tc>
        <w:tc>
          <w:tcPr>
            <w:tcW w:w="360" w:type="dxa"/>
            <w:vAlign w:val="bottom"/>
            <w:shd w:val="clear" w:color="auto" w:fill="F0FFFF"/>
          </w:tcPr>
          <w:p>
            <w:pPr>
              <w:spacing w:after="0"/>
              <w:rPr>
                <w:sz w:val="10"/>
                <w:szCs w:val="10"/>
                <w:color w:val="auto"/>
              </w:rPr>
            </w:pPr>
          </w:p>
        </w:tc>
        <w:tc>
          <w:tcPr>
            <w:tcW w:w="68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63,302</w:t>
            </w:r>
          </w:p>
        </w:tc>
        <w:tc>
          <w:tcPr>
            <w:tcW w:w="86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Borders>
              <w:right w:val="single" w:sz="8" w:color="F0FFFF"/>
            </w:tcBorders>
            <w:shd w:val="clear" w:color="auto" w:fill="F0FFFF"/>
          </w:tcPr>
          <w:p>
            <w:pPr>
              <w:ind w:left="28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vMerge w:val="continue"/>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gridSpan w:val="2"/>
            <w:vMerge w:val="continue"/>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vMerge w:val="continue"/>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tcBorders>
              <w:right w:val="single" w:sz="8" w:color="F0FFFF"/>
            </w:tcBorders>
            <w:gridSpan w:val="2"/>
            <w:vMerge w:val="continue"/>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20" w:type="dxa"/>
            <w:vAlign w:val="bottom"/>
            <w:gridSpan w:val="2"/>
            <w:vMerge w:val="continue"/>
            <w:shd w:val="clear" w:color="auto" w:fill="F0FFFF"/>
          </w:tcPr>
          <w:p>
            <w:pPr>
              <w:spacing w:after="0"/>
              <w:rPr>
                <w:sz w:val="15"/>
                <w:szCs w:val="15"/>
                <w:color w:val="auto"/>
              </w:rPr>
            </w:pPr>
          </w:p>
        </w:tc>
        <w:tc>
          <w:tcPr>
            <w:tcW w:w="1060" w:type="dxa"/>
            <w:vAlign w:val="bottom"/>
            <w:gridSpan w:val="2"/>
            <w:vMerge w:val="continue"/>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vMerge w:val="continue"/>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680" w:type="dxa"/>
            <w:vAlign w:val="bottom"/>
            <w:gridSpan w:val="2"/>
            <w:vMerge w:val="continue"/>
            <w:shd w:val="clear" w:color="auto" w:fill="F0FFFF"/>
          </w:tcPr>
          <w:p>
            <w:pPr>
              <w:spacing w:after="0"/>
              <w:rPr>
                <w:sz w:val="15"/>
                <w:szCs w:val="15"/>
                <w:color w:val="auto"/>
              </w:rPr>
            </w:pPr>
          </w:p>
        </w:tc>
        <w:tc>
          <w:tcPr>
            <w:tcW w:w="860" w:type="dxa"/>
            <w:vAlign w:val="bottom"/>
            <w:vMerge w:val="continue"/>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tcBorders>
              <w:right w:val="single" w:sz="8" w:color="F0FFFF"/>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AT PERIOD END </w:t>
            </w:r>
            <w:r>
              <w:rPr>
                <w:rFonts w:ascii="Times New Roman" w:cs="Times New Roman" w:eastAsia="Times New Roman" w:hAnsi="Times New Roman"/>
                <w:sz w:val="14"/>
                <w:szCs w:val="14"/>
                <w:i w:val="1"/>
                <w:iCs w:val="1"/>
                <w:color w:val="auto"/>
              </w:rPr>
              <w:t>($ in millions)</w:t>
            </w: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0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00" w:type="dxa"/>
            <w:vAlign w:val="bottom"/>
            <w:tcBorders>
              <w:right w:val="single" w:sz="8" w:color="F0FFFF"/>
            </w:tcBorders>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6,725</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6,287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6,106</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5,995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6,024</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6,725</w:t>
            </w:r>
          </w:p>
        </w:tc>
        <w:tc>
          <w:tcPr>
            <w:tcW w:w="3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6,024</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2,757</w:t>
            </w:r>
          </w:p>
        </w:tc>
        <w:tc>
          <w:tcPr>
            <w:tcW w:w="12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2,457</w:t>
            </w:r>
          </w:p>
        </w:tc>
        <w:tc>
          <w:tcPr>
            <w:tcW w:w="106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3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2,457</w:t>
            </w:r>
          </w:p>
        </w:tc>
        <w:tc>
          <w:tcPr>
            <w:tcW w:w="8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10,298</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9,928</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9,781</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9,616</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9,404</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10,298</w:t>
            </w: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9,404</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Borders>
              <w:right w:val="single" w:sz="8" w:color="F0FFFF"/>
            </w:tcBorders>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8,442</w:t>
            </w: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7,857</w:t>
            </w:r>
          </w:p>
        </w:tc>
        <w:tc>
          <w:tcPr>
            <w:tcW w:w="10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7,960</w:t>
            </w:r>
          </w:p>
        </w:tc>
        <w:tc>
          <w:tcPr>
            <w:tcW w:w="12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7,873</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7,897</w:t>
            </w:r>
          </w:p>
        </w:tc>
        <w:tc>
          <w:tcPr>
            <w:tcW w:w="106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8,442</w:t>
            </w:r>
          </w:p>
        </w:tc>
        <w:tc>
          <w:tcPr>
            <w:tcW w:w="36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7,897</w:t>
            </w:r>
          </w:p>
        </w:tc>
        <w:tc>
          <w:tcPr>
            <w:tcW w:w="8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00" w:type="dxa"/>
            <w:vAlign w:val="bottom"/>
            <w:tcBorders>
              <w:right w:val="single" w:sz="8" w:color="F0FFFF"/>
            </w:tcBorders>
            <w:shd w:val="clear" w:color="auto" w:fill="F0FFFF"/>
          </w:tcPr>
          <w:p>
            <w:pPr>
              <w:ind w:left="160"/>
              <w:spacing w:after="0" w:line="124" w:lineRule="exact"/>
              <w:rPr>
                <w:sz w:val="20"/>
                <w:szCs w:val="20"/>
                <w:color w:val="auto"/>
              </w:rPr>
            </w:pPr>
            <w:r>
              <w:rPr>
                <w:rFonts w:ascii="Times New Roman" w:cs="Times New Roman" w:eastAsia="Times New Roman" w:hAnsi="Times New Roman"/>
                <w:sz w:val="14"/>
                <w:szCs w:val="14"/>
                <w:color w:val="auto"/>
              </w:rPr>
              <w:t>Common shares outstanding</w:t>
            </w:r>
          </w:p>
        </w:tc>
        <w:tc>
          <w:tcPr>
            <w:tcW w:w="100" w:type="dxa"/>
            <w:vAlign w:val="bottom"/>
            <w:shd w:val="clear" w:color="auto" w:fill="F0FFFF"/>
          </w:tcPr>
          <w:p>
            <w:pPr>
              <w:spacing w:after="0"/>
              <w:rPr>
                <w:sz w:val="10"/>
                <w:szCs w:val="10"/>
                <w:color w:val="auto"/>
              </w:rPr>
            </w:pPr>
          </w:p>
        </w:tc>
        <w:tc>
          <w:tcPr>
            <w:tcW w:w="90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70,861</w:t>
            </w:r>
          </w:p>
        </w:tc>
        <w:tc>
          <w:tcPr>
            <w:tcW w:w="120" w:type="dxa"/>
            <w:vAlign w:val="bottom"/>
            <w:shd w:val="clear" w:color="auto" w:fill="F0FFFF"/>
          </w:tcPr>
          <w:p>
            <w:pPr>
              <w:spacing w:after="0"/>
              <w:rPr>
                <w:sz w:val="10"/>
                <w:szCs w:val="10"/>
                <w:color w:val="auto"/>
              </w:rPr>
            </w:pPr>
          </w:p>
        </w:tc>
        <w:tc>
          <w:tcPr>
            <w:tcW w:w="90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71,122</w:t>
            </w:r>
          </w:p>
        </w:tc>
        <w:tc>
          <w:tcPr>
            <w:tcW w:w="100" w:type="dxa"/>
            <w:vAlign w:val="bottom"/>
            <w:shd w:val="clear" w:color="auto" w:fill="F0FFFF"/>
          </w:tcPr>
          <w:p>
            <w:pPr>
              <w:spacing w:after="0"/>
              <w:rPr>
                <w:sz w:val="10"/>
                <w:szCs w:val="10"/>
                <w:color w:val="auto"/>
              </w:rPr>
            </w:pPr>
          </w:p>
        </w:tc>
        <w:tc>
          <w:tcPr>
            <w:tcW w:w="90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71,544</w:t>
            </w:r>
          </w:p>
        </w:tc>
        <w:tc>
          <w:tcPr>
            <w:tcW w:w="120" w:type="dxa"/>
            <w:vAlign w:val="bottom"/>
            <w:shd w:val="clear" w:color="auto" w:fill="F0FFFF"/>
          </w:tcPr>
          <w:p>
            <w:pPr>
              <w:spacing w:after="0"/>
              <w:rPr>
                <w:sz w:val="10"/>
                <w:szCs w:val="10"/>
                <w:color w:val="auto"/>
              </w:rPr>
            </w:pPr>
          </w:p>
        </w:tc>
        <w:tc>
          <w:tcPr>
            <w:tcW w:w="920" w:type="dxa"/>
            <w:vAlign w:val="bottom"/>
            <w:tcBorders>
              <w:right w:val="single" w:sz="8" w:color="F0FFFF"/>
            </w:tcBorders>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71,484</w:t>
            </w:r>
          </w:p>
        </w:tc>
        <w:tc>
          <w:tcPr>
            <w:tcW w:w="100" w:type="dxa"/>
            <w:vAlign w:val="bottom"/>
            <w:shd w:val="clear" w:color="auto" w:fill="F0FFFF"/>
          </w:tcPr>
          <w:p>
            <w:pPr>
              <w:spacing w:after="0"/>
              <w:rPr>
                <w:sz w:val="10"/>
                <w:szCs w:val="10"/>
                <w:color w:val="auto"/>
              </w:rPr>
            </w:pPr>
          </w:p>
        </w:tc>
        <w:tc>
          <w:tcPr>
            <w:tcW w:w="920" w:type="dxa"/>
            <w:vAlign w:val="bottom"/>
            <w:gridSpan w:val="2"/>
            <w:vMerge w:val="restart"/>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71,472</w:t>
            </w:r>
          </w:p>
        </w:tc>
        <w:tc>
          <w:tcPr>
            <w:tcW w:w="1060" w:type="dxa"/>
            <w:vAlign w:val="bottom"/>
            <w:gridSpan w:val="2"/>
            <w:vMerge w:val="restart"/>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F0FFFF"/>
          </w:tcPr>
          <w:p>
            <w:pPr>
              <w:spacing w:after="0"/>
              <w:rPr>
                <w:sz w:val="10"/>
                <w:szCs w:val="10"/>
                <w:color w:val="auto"/>
              </w:rPr>
            </w:pPr>
          </w:p>
        </w:tc>
        <w:tc>
          <w:tcPr>
            <w:tcW w:w="860" w:type="dxa"/>
            <w:vAlign w:val="bottom"/>
            <w:tcBorders>
              <w:right w:val="single" w:sz="8" w:color="F0FFFF"/>
            </w:tcBorders>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70,861</w:t>
            </w:r>
          </w:p>
        </w:tc>
        <w:tc>
          <w:tcPr>
            <w:tcW w:w="360" w:type="dxa"/>
            <w:vAlign w:val="bottom"/>
            <w:shd w:val="clear" w:color="auto" w:fill="F0FFFF"/>
          </w:tcPr>
          <w:p>
            <w:pPr>
              <w:spacing w:after="0"/>
              <w:rPr>
                <w:sz w:val="10"/>
                <w:szCs w:val="10"/>
                <w:color w:val="auto"/>
              </w:rPr>
            </w:pPr>
          </w:p>
        </w:tc>
        <w:tc>
          <w:tcPr>
            <w:tcW w:w="680" w:type="dxa"/>
            <w:vAlign w:val="bottom"/>
            <w:gridSpan w:val="2"/>
            <w:vMerge w:val="restart"/>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71,472</w:t>
            </w:r>
          </w:p>
        </w:tc>
        <w:tc>
          <w:tcPr>
            <w:tcW w:w="980" w:type="dxa"/>
            <w:vAlign w:val="bottom"/>
            <w:gridSpan w:val="2"/>
            <w:vMerge w:val="restart"/>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Borders>
              <w:right w:val="single" w:sz="8" w:color="F0FFFF"/>
            </w:tcBorders>
            <w:shd w:val="clear" w:color="auto" w:fill="F0FFFF"/>
          </w:tcPr>
          <w:p>
            <w:pPr>
              <w:ind w:left="28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vMerge w:val="continue"/>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gridSpan w:val="2"/>
            <w:vMerge w:val="continue"/>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vMerge w:val="continue"/>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tcBorders>
              <w:right w:val="single" w:sz="8" w:color="F0FFFF"/>
            </w:tcBorders>
            <w:gridSpan w:val="2"/>
            <w:vMerge w:val="continue"/>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20" w:type="dxa"/>
            <w:vAlign w:val="bottom"/>
            <w:gridSpan w:val="2"/>
            <w:vMerge w:val="continue"/>
            <w:shd w:val="clear" w:color="auto" w:fill="F0FFFF"/>
          </w:tcPr>
          <w:p>
            <w:pPr>
              <w:spacing w:after="0"/>
              <w:rPr>
                <w:sz w:val="15"/>
                <w:szCs w:val="15"/>
                <w:color w:val="auto"/>
              </w:rPr>
            </w:pPr>
          </w:p>
        </w:tc>
        <w:tc>
          <w:tcPr>
            <w:tcW w:w="1060" w:type="dxa"/>
            <w:vAlign w:val="bottom"/>
            <w:gridSpan w:val="2"/>
            <w:vMerge w:val="continue"/>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vMerge w:val="continue"/>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680" w:type="dxa"/>
            <w:vAlign w:val="bottom"/>
            <w:gridSpan w:val="2"/>
            <w:vMerge w:val="continue"/>
            <w:shd w:val="clear" w:color="auto" w:fill="F0FFFF"/>
          </w:tcPr>
          <w:p>
            <w:pPr>
              <w:spacing w:after="0"/>
              <w:rPr>
                <w:sz w:val="15"/>
                <w:szCs w:val="15"/>
                <w:color w:val="auto"/>
              </w:rPr>
            </w:pPr>
          </w:p>
        </w:tc>
        <w:tc>
          <w:tcPr>
            <w:tcW w:w="980" w:type="dxa"/>
            <w:vAlign w:val="bottom"/>
            <w:gridSpan w:val="2"/>
            <w:vMerge w:val="continue"/>
            <w:shd w:val="clear" w:color="auto" w:fill="F0FFFF"/>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0" w:gutter="0" w:footer="0" w:header="0"/>
        </w:sectPr>
      </w:pPr>
    </w:p>
    <w:bookmarkStart w:id="46" w:name="page47"/>
    <w:bookmarkEnd w:id="46"/>
    <w:p>
      <w:pPr>
        <w:ind w:firstLine="8"/>
        <w:spacing w:after="0" w:line="244" w:lineRule="auto"/>
        <w:tabs>
          <w:tab w:leader="none" w:pos="212"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Excludes merger-related charges and fourth quarter impairment losses on surplus bank property.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Net income available to common shareholders, which is net of preferred stock dividends, divided by average realized common equity, which excludes accumulated other comprehensive income (loss).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Excludes effect of acquisition related intangibles and associated amortization. </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Annualized.</w:t>
      </w: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Table 1 (Continued) Non-GAAP Performance Measures Reconciliation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780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43" w:lineRule="exact"/>
        <w:rPr>
          <w:sz w:val="20"/>
          <w:szCs w:val="20"/>
          <w:color w:val="auto"/>
        </w:rPr>
      </w:pPr>
    </w:p>
    <w:p>
      <w:pPr>
        <w:ind w:right="920"/>
        <w:spacing w:after="0" w:line="242" w:lineRule="auto"/>
        <w:rPr>
          <w:sz w:val="20"/>
          <w:szCs w:val="20"/>
          <w:color w:val="auto"/>
        </w:rPr>
      </w:pPr>
      <w:r>
        <w:rPr>
          <w:rFonts w:ascii="Times New Roman" w:cs="Times New Roman" w:eastAsia="Times New Roman" w:hAnsi="Times New Roman"/>
          <w:sz w:val="14"/>
          <w:szCs w:val="14"/>
          <w:b w:val="1"/>
          <w:bCs w:val="1"/>
          <w:color w:val="auto"/>
        </w:rPr>
        <w:t xml:space="preserve">Expense reconciliation </w:t>
      </w:r>
      <w:r>
        <w:rPr>
          <w:rFonts w:ascii="Times New Roman" w:cs="Times New Roman" w:eastAsia="Times New Roman" w:hAnsi="Times New Roman"/>
          <w:sz w:val="14"/>
          <w:szCs w:val="14"/>
          <w:color w:val="auto"/>
        </w:rPr>
        <w:t>Expenses (GAAP) Merger-related and other charges</w:t>
      </w:r>
    </w:p>
    <w:p>
      <w:pPr>
        <w:ind w:left="180"/>
        <w:spacing w:after="0"/>
        <w:rPr>
          <w:sz w:val="20"/>
          <w:szCs w:val="20"/>
          <w:color w:val="auto"/>
        </w:rPr>
      </w:pPr>
      <w:r>
        <w:rPr>
          <w:rFonts w:ascii="Times New Roman" w:cs="Times New Roman" w:eastAsia="Times New Roman" w:hAnsi="Times New Roman"/>
          <w:sz w:val="14"/>
          <w:szCs w:val="14"/>
          <w:color w:val="auto"/>
        </w:rPr>
        <w:t>Expenses - operating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42"/>
        </w:trPr>
        <w:tc>
          <w:tcPr>
            <w:tcW w:w="140" w:type="dxa"/>
            <w:vAlign w:val="bottom"/>
          </w:tcPr>
          <w:p>
            <w:pPr>
              <w:spacing w:after="0"/>
              <w:rPr>
                <w:sz w:val="12"/>
                <w:szCs w:val="12"/>
                <w:color w:val="auto"/>
              </w:rPr>
            </w:pPr>
          </w:p>
        </w:tc>
        <w:tc>
          <w:tcPr>
            <w:tcW w:w="1020" w:type="dxa"/>
            <w:vAlign w:val="bottom"/>
            <w:gridSpan w:val="2"/>
          </w:tcPr>
          <w:p>
            <w:pPr>
              <w:jc w:val="right"/>
              <w:ind w:right="520"/>
              <w:spacing w:after="0" w:line="135" w:lineRule="exact"/>
              <w:rPr>
                <w:sz w:val="20"/>
                <w:szCs w:val="20"/>
                <w:color w:val="auto"/>
              </w:rPr>
            </w:pPr>
            <w:r>
              <w:rPr>
                <w:rFonts w:ascii="Times New Roman" w:cs="Times New Roman" w:eastAsia="Times New Roman" w:hAnsi="Times New Roman"/>
                <w:sz w:val="14"/>
                <w:szCs w:val="14"/>
                <w:b w:val="1"/>
                <w:bCs w:val="1"/>
                <w:color w:val="auto"/>
              </w:rPr>
              <w:t>Third</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28"/>
              <w:spacing w:after="0" w:line="135" w:lineRule="exact"/>
              <w:rPr>
                <w:sz w:val="20"/>
                <w:szCs w:val="20"/>
                <w:color w:val="auto"/>
              </w:rPr>
            </w:pPr>
            <w:r>
              <w:rPr>
                <w:rFonts w:ascii="Times New Roman" w:cs="Times New Roman" w:eastAsia="Times New Roman" w:hAnsi="Times New Roman"/>
                <w:sz w:val="14"/>
                <w:szCs w:val="14"/>
                <w:b w:val="1"/>
                <w:bCs w:val="1"/>
                <w:color w:val="auto"/>
              </w:rPr>
              <w:t>First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Fourth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5"/>
          </w:tcPr>
          <w:p>
            <w:pPr>
              <w:jc w:val="right"/>
              <w:ind w:right="620"/>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Pr>
          <w:p>
            <w:pPr>
              <w:spacing w:after="0"/>
              <w:rPr>
                <w:sz w:val="14"/>
                <w:szCs w:val="14"/>
                <w:color w:val="auto"/>
              </w:rPr>
            </w:pPr>
          </w:p>
        </w:tc>
      </w:tr>
      <w:tr>
        <w:trPr>
          <w:trHeight w:val="423"/>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58,060</w:t>
            </w:r>
          </w:p>
        </w:tc>
        <w:tc>
          <w:tcPr>
            <w:tcW w:w="24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57,885</w:t>
            </w:r>
          </w:p>
        </w:tc>
        <w:tc>
          <w:tcPr>
            <w:tcW w:w="2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65,488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54,269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179,968</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145,750</w:t>
            </w:r>
          </w:p>
        </w:tc>
        <w:tc>
          <w:tcPr>
            <w:tcW w:w="40" w:type="dxa"/>
            <w:vAlign w:val="bottom"/>
          </w:tcPr>
          <w:p>
            <w:pPr>
              <w:spacing w:after="0"/>
              <w:rPr>
                <w:sz w:val="24"/>
                <w:szCs w:val="24"/>
                <w:color w:val="auto"/>
              </w:rPr>
            </w:pPr>
          </w:p>
        </w:tc>
      </w:tr>
      <w:tr>
        <w:trPr>
          <w:trHeight w:val="192"/>
        </w:trPr>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(3,152)</w:t>
            </w:r>
          </w:p>
        </w:tc>
        <w:tc>
          <w:tcPr>
            <w:tcW w:w="14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(5,744)</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(6,981)</w:t>
            </w:r>
          </w:p>
        </w:tc>
        <w:tc>
          <w:tcPr>
            <w:tcW w:w="1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(8,917)</w:t>
            </w:r>
          </w:p>
        </w:tc>
      </w:tr>
      <w:tr>
        <w:trPr>
          <w:trHeight w:val="162"/>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60,871</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55,232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48,525</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172,987</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136,833</w:t>
            </w:r>
          </w:p>
        </w:tc>
        <w:tc>
          <w:tcPr>
            <w:tcW w:w="40" w:type="dxa"/>
            <w:vAlign w:val="bottom"/>
          </w:tcPr>
          <w:p>
            <w:pPr>
              <w:spacing w:after="0"/>
              <w:rPr>
                <w:sz w:val="14"/>
                <w:szCs w:val="14"/>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-445135</wp:posOffset>
            </wp:positionV>
            <wp:extent cx="724662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-256540</wp:posOffset>
            </wp:positionV>
            <wp:extent cx="7246620" cy="111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40" w:space="720"/>
            <w:col w:w="7860"/>
          </w:cols>
          <w:pgMar w:left="240" w:top="898" w:right="2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vMerge w:val="restart"/>
          </w:tcPr>
          <w:p>
            <w:pPr>
              <w:spacing w:after="0"/>
              <w:rPr>
                <w:sz w:val="11"/>
                <w:szCs w:val="11"/>
                <w:color w:val="auto"/>
              </w:rPr>
            </w:pPr>
          </w:p>
        </w:tc>
        <w:tc>
          <w:tcPr>
            <w:tcW w:w="354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reconciliation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Net income (GAAP)</w:t>
            </w:r>
          </w:p>
        </w:tc>
        <w:tc>
          <w:tcPr>
            <w:tcW w:w="300" w:type="dxa"/>
            <w:vAlign w:val="bottom"/>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25,874</w:t>
            </w:r>
          </w:p>
        </w:tc>
        <w:tc>
          <w:tcPr>
            <w:tcW w:w="300" w:type="dxa"/>
            <w:vAlign w:val="bottom"/>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25,266</w:t>
            </w:r>
          </w:p>
        </w:tc>
        <w:tc>
          <w:tcPr>
            <w:tcW w:w="340" w:type="dxa"/>
            <w:vAlign w:val="bottom"/>
            <w:gridSpan w:val="2"/>
            <w:shd w:val="clear" w:color="auto" w:fill="F0FFFF"/>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22,295</w:t>
            </w:r>
          </w:p>
        </w:tc>
        <w:tc>
          <w:tcPr>
            <w:tcW w:w="340" w:type="dxa"/>
            <w:vAlign w:val="bottom"/>
            <w:gridSpan w:val="2"/>
            <w:shd w:val="clear" w:color="auto" w:fill="F0FFFF"/>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18,208</w:t>
            </w:r>
          </w:p>
        </w:tc>
        <w:tc>
          <w:tcPr>
            <w:tcW w:w="36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17,887</w:t>
            </w:r>
          </w:p>
        </w:tc>
        <w:tc>
          <w:tcPr>
            <w:tcW w:w="280" w:type="dxa"/>
            <w:vAlign w:val="bottom"/>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F0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73,435</w:t>
            </w:r>
          </w:p>
        </w:tc>
        <w:tc>
          <w:tcPr>
            <w:tcW w:w="280" w:type="dxa"/>
            <w:vAlign w:val="bottom"/>
            <w:shd w:val="clear" w:color="auto" w:fill="F0FF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Merger-related and other charges</w:t>
            </w:r>
          </w:p>
        </w:tc>
        <w:tc>
          <w:tcPr>
            <w:tcW w:w="30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300" w:type="dxa"/>
            <w:vAlign w:val="bottom"/>
          </w:tcPr>
          <w:p>
            <w:pPr>
              <w:spacing w:after="0"/>
              <w:rPr>
                <w:sz w:val="12"/>
                <w:szCs w:val="12"/>
                <w:color w:val="auto"/>
              </w:rPr>
            </w:pPr>
          </w:p>
        </w:tc>
        <w:tc>
          <w:tcPr>
            <w:tcW w:w="7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2,653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9,078</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5,744</w:t>
            </w:r>
          </w:p>
        </w:tc>
        <w:tc>
          <w:tcPr>
            <w:tcW w:w="280" w:type="dxa"/>
            <w:vAlign w:val="bottom"/>
          </w:tcPr>
          <w:p>
            <w:pPr>
              <w:spacing w:after="0"/>
              <w:rPr>
                <w:sz w:val="12"/>
                <w:szCs w:val="12"/>
                <w:color w:val="auto"/>
              </w:rPr>
            </w:pPr>
          </w:p>
        </w:tc>
        <w:tc>
          <w:tcPr>
            <w:tcW w:w="8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6,981</w:t>
            </w:r>
          </w:p>
        </w:tc>
        <w:tc>
          <w:tcPr>
            <w:tcW w:w="280" w:type="dxa"/>
            <w:vAlign w:val="bottom"/>
          </w:tcPr>
          <w:p>
            <w:pPr>
              <w:spacing w:after="0"/>
              <w:rPr>
                <w:sz w:val="12"/>
                <w:szCs w:val="12"/>
                <w:color w:val="auto"/>
              </w:rPr>
            </w:pPr>
          </w:p>
        </w:tc>
        <w:tc>
          <w:tcPr>
            <w:tcW w:w="7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30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(1,193)</w:t>
            </w:r>
          </w:p>
        </w:tc>
        <w:tc>
          <w:tcPr>
            <w:tcW w:w="3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rPr>
              <w:t>(445)</w:t>
            </w:r>
          </w:p>
        </w:tc>
        <w:tc>
          <w:tcPr>
            <w:tcW w:w="6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68"/>
              <w:spacing w:after="0"/>
              <w:rPr>
                <w:sz w:val="20"/>
                <w:szCs w:val="20"/>
                <w:color w:val="auto"/>
              </w:rPr>
            </w:pPr>
            <w:r>
              <w:rPr>
                <w:rFonts w:ascii="Times New Roman" w:cs="Times New Roman" w:eastAsia="Times New Roman" w:hAnsi="Times New Roman"/>
                <w:sz w:val="14"/>
                <w:szCs w:val="14"/>
                <w:color w:val="auto"/>
              </w:rPr>
              <w:t>(1,004)</w:t>
            </w:r>
          </w:p>
        </w:tc>
        <w:tc>
          <w:tcPr>
            <w:tcW w:w="6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rPr>
              <w:t>(3,486)</w:t>
            </w:r>
          </w:p>
        </w:tc>
        <w:tc>
          <w:tcPr>
            <w:tcW w:w="60" w:type="dxa"/>
            <w:vAlign w:val="bottom"/>
            <w:shd w:val="clear" w:color="auto" w:fill="F0FFFF"/>
          </w:tcPr>
          <w:p>
            <w:pPr>
              <w:spacing w:after="0"/>
              <w:rPr>
                <w:sz w:val="15"/>
                <w:szCs w:val="15"/>
                <w:color w:val="auto"/>
              </w:rPr>
            </w:pPr>
          </w:p>
        </w:tc>
        <w:tc>
          <w:tcPr>
            <w:tcW w:w="30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(1,905)</w:t>
            </w:r>
          </w:p>
        </w:tc>
        <w:tc>
          <w:tcPr>
            <w:tcW w:w="28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(2,642)</w:t>
            </w:r>
          </w:p>
        </w:tc>
        <w:tc>
          <w:tcPr>
            <w:tcW w:w="28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rPr>
              <w:t>(2,902)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income - operating</w:t>
            </w:r>
          </w:p>
        </w:tc>
        <w:tc>
          <w:tcPr>
            <w:tcW w:w="300" w:type="dxa"/>
            <w:vAlign w:val="bottom"/>
            <w:tcBorders>
              <w:top w:val="single" w:sz="8" w:color="auto"/>
              <w:bottom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27,833</w:t>
            </w:r>
          </w:p>
        </w:tc>
        <w:tc>
          <w:tcPr>
            <w:tcW w:w="220" w:type="dxa"/>
            <w:vAlign w:val="bottom"/>
            <w:tcBorders>
              <w:top w:val="single" w:sz="8" w:color="F0FF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25,997</w:t>
            </w:r>
          </w:p>
        </w:tc>
        <w:tc>
          <w:tcPr>
            <w:tcW w:w="18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23,944</w:t>
            </w:r>
          </w:p>
        </w:tc>
        <w:tc>
          <w:tcPr>
            <w:tcW w:w="18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23,800</w:t>
            </w:r>
          </w:p>
        </w:tc>
        <w:tc>
          <w:tcPr>
            <w:tcW w:w="16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21,726</w:t>
            </w:r>
          </w:p>
        </w:tc>
        <w:tc>
          <w:tcPr>
            <w:tcW w:w="240" w:type="dxa"/>
            <w:vAlign w:val="bottom"/>
            <w:tcBorders>
              <w:top w:val="single" w:sz="8" w:color="F0FF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77,774</w:t>
            </w:r>
          </w:p>
        </w:tc>
        <w:tc>
          <w:tcPr>
            <w:tcW w:w="240" w:type="dxa"/>
            <w:vAlign w:val="bottom"/>
            <w:tcBorders>
              <w:top w:val="single" w:sz="8" w:color="F0FF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59,385</w:t>
            </w: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54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5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Net income available to common shareholders (GAAP)</w:t>
            </w:r>
          </w:p>
        </w:tc>
        <w:tc>
          <w:tcPr>
            <w:tcW w:w="300" w:type="dxa"/>
            <w:vAlign w:val="bottom"/>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25,874</w:t>
            </w:r>
          </w:p>
        </w:tc>
        <w:tc>
          <w:tcPr>
            <w:tcW w:w="300" w:type="dxa"/>
            <w:vAlign w:val="bottom"/>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25,266</w:t>
            </w:r>
          </w:p>
        </w:tc>
        <w:tc>
          <w:tcPr>
            <w:tcW w:w="340" w:type="dxa"/>
            <w:vAlign w:val="bottom"/>
            <w:gridSpan w:val="2"/>
            <w:shd w:val="clear" w:color="auto" w:fill="F0FFFF"/>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22,274</w:t>
            </w:r>
          </w:p>
        </w:tc>
        <w:tc>
          <w:tcPr>
            <w:tcW w:w="340" w:type="dxa"/>
            <w:vAlign w:val="bottom"/>
            <w:gridSpan w:val="2"/>
            <w:shd w:val="clear" w:color="auto" w:fill="F0FFFF"/>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18,183</w:t>
            </w:r>
          </w:p>
        </w:tc>
        <w:tc>
          <w:tcPr>
            <w:tcW w:w="36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17,862</w:t>
            </w:r>
          </w:p>
        </w:tc>
        <w:tc>
          <w:tcPr>
            <w:tcW w:w="280" w:type="dxa"/>
            <w:vAlign w:val="bottom"/>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F0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73,414</w:t>
            </w:r>
          </w:p>
        </w:tc>
        <w:tc>
          <w:tcPr>
            <w:tcW w:w="280" w:type="dxa"/>
            <w:vAlign w:val="bottom"/>
            <w:shd w:val="clear" w:color="auto" w:fill="F0FF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Merger-related and other charges</w:t>
            </w:r>
          </w:p>
        </w:tc>
        <w:tc>
          <w:tcPr>
            <w:tcW w:w="30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300" w:type="dxa"/>
            <w:vAlign w:val="bottom"/>
          </w:tcPr>
          <w:p>
            <w:pPr>
              <w:spacing w:after="0"/>
              <w:rPr>
                <w:sz w:val="12"/>
                <w:szCs w:val="12"/>
                <w:color w:val="auto"/>
              </w:rPr>
            </w:pPr>
          </w:p>
        </w:tc>
        <w:tc>
          <w:tcPr>
            <w:tcW w:w="7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2,653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9,078</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5,744</w:t>
            </w:r>
          </w:p>
        </w:tc>
        <w:tc>
          <w:tcPr>
            <w:tcW w:w="280" w:type="dxa"/>
            <w:vAlign w:val="bottom"/>
          </w:tcPr>
          <w:p>
            <w:pPr>
              <w:spacing w:after="0"/>
              <w:rPr>
                <w:sz w:val="12"/>
                <w:szCs w:val="12"/>
                <w:color w:val="auto"/>
              </w:rPr>
            </w:pPr>
          </w:p>
        </w:tc>
        <w:tc>
          <w:tcPr>
            <w:tcW w:w="8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6,981</w:t>
            </w:r>
          </w:p>
        </w:tc>
        <w:tc>
          <w:tcPr>
            <w:tcW w:w="280" w:type="dxa"/>
            <w:vAlign w:val="bottom"/>
          </w:tcPr>
          <w:p>
            <w:pPr>
              <w:spacing w:after="0"/>
              <w:rPr>
                <w:sz w:val="12"/>
                <w:szCs w:val="12"/>
                <w:color w:val="auto"/>
              </w:rPr>
            </w:pPr>
          </w:p>
        </w:tc>
        <w:tc>
          <w:tcPr>
            <w:tcW w:w="7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30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(1,193)</w:t>
            </w:r>
          </w:p>
        </w:tc>
        <w:tc>
          <w:tcPr>
            <w:tcW w:w="3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rPr>
              <w:t>(445)</w:t>
            </w:r>
          </w:p>
        </w:tc>
        <w:tc>
          <w:tcPr>
            <w:tcW w:w="6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68"/>
              <w:spacing w:after="0"/>
              <w:rPr>
                <w:sz w:val="20"/>
                <w:szCs w:val="20"/>
                <w:color w:val="auto"/>
              </w:rPr>
            </w:pPr>
            <w:r>
              <w:rPr>
                <w:rFonts w:ascii="Times New Roman" w:cs="Times New Roman" w:eastAsia="Times New Roman" w:hAnsi="Times New Roman"/>
                <w:sz w:val="14"/>
                <w:szCs w:val="14"/>
                <w:color w:val="auto"/>
              </w:rPr>
              <w:t>(1,004)</w:t>
            </w:r>
          </w:p>
        </w:tc>
        <w:tc>
          <w:tcPr>
            <w:tcW w:w="6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rPr>
              <w:t>(3,486)</w:t>
            </w:r>
          </w:p>
        </w:tc>
        <w:tc>
          <w:tcPr>
            <w:tcW w:w="60" w:type="dxa"/>
            <w:vAlign w:val="bottom"/>
            <w:shd w:val="clear" w:color="auto" w:fill="F0FFFF"/>
          </w:tcPr>
          <w:p>
            <w:pPr>
              <w:spacing w:after="0"/>
              <w:rPr>
                <w:sz w:val="15"/>
                <w:szCs w:val="15"/>
                <w:color w:val="auto"/>
              </w:rPr>
            </w:pPr>
          </w:p>
        </w:tc>
        <w:tc>
          <w:tcPr>
            <w:tcW w:w="30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(1,905)</w:t>
            </w:r>
          </w:p>
        </w:tc>
        <w:tc>
          <w:tcPr>
            <w:tcW w:w="28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(2,642)</w:t>
            </w:r>
          </w:p>
        </w:tc>
        <w:tc>
          <w:tcPr>
            <w:tcW w:w="28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rPr>
              <w:t>(2,902)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40" w:type="dxa"/>
            <w:vAlign w:val="bottom"/>
            <w:tcBorders>
              <w:top w:val="single" w:sz="8" w:color="F0FFFF"/>
            </w:tcBorders>
          </w:tcPr>
          <w:p>
            <w:pPr>
              <w:ind w:left="160"/>
              <w:spacing w:after="0" w:line="100" w:lineRule="exact"/>
              <w:rPr>
                <w:sz w:val="20"/>
                <w:szCs w:val="20"/>
                <w:color w:val="auto"/>
              </w:rPr>
            </w:pPr>
            <w:r>
              <w:rPr>
                <w:rFonts w:ascii="Times New Roman" w:cs="Times New Roman" w:eastAsia="Times New Roman" w:hAnsi="Times New Roman"/>
                <w:sz w:val="11"/>
                <w:szCs w:val="11"/>
                <w:color w:val="auto"/>
              </w:rPr>
              <w:t>Net income available to common shareholders -</w:t>
            </w:r>
          </w:p>
        </w:tc>
        <w:tc>
          <w:tcPr>
            <w:tcW w:w="3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F0FFFF"/>
            </w:tcBorders>
          </w:tcPr>
          <w:p>
            <w:pPr>
              <w:spacing w:after="0"/>
              <w:rPr>
                <w:sz w:val="8"/>
                <w:szCs w:val="8"/>
                <w:color w:val="auto"/>
              </w:rPr>
            </w:pPr>
          </w:p>
        </w:tc>
        <w:tc>
          <w:tcPr>
            <w:tcW w:w="60" w:type="dxa"/>
            <w:vAlign w:val="bottom"/>
            <w:tcBorders>
              <w:top w:val="single" w:sz="8" w:color="F0FFFF"/>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Borders>
              <w:top w:val="single" w:sz="8" w:color="F0FFFF"/>
            </w:tcBorders>
          </w:tcPr>
          <w:p>
            <w:pPr>
              <w:spacing w:after="0"/>
              <w:rPr>
                <w:sz w:val="8"/>
                <w:szCs w:val="8"/>
                <w:color w:val="auto"/>
              </w:rPr>
            </w:pPr>
          </w:p>
        </w:tc>
        <w:tc>
          <w:tcPr>
            <w:tcW w:w="60" w:type="dxa"/>
            <w:vAlign w:val="bottom"/>
            <w:tcBorders>
              <w:top w:val="single" w:sz="8" w:color="F0FFFF"/>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Borders>
              <w:top w:val="single" w:sz="8" w:color="F0FFFF"/>
            </w:tcBorders>
          </w:tcPr>
          <w:p>
            <w:pPr>
              <w:spacing w:after="0"/>
              <w:rPr>
                <w:sz w:val="8"/>
                <w:szCs w:val="8"/>
                <w:color w:val="auto"/>
              </w:rPr>
            </w:pPr>
          </w:p>
        </w:tc>
        <w:tc>
          <w:tcPr>
            <w:tcW w:w="60" w:type="dxa"/>
            <w:vAlign w:val="bottom"/>
            <w:tcBorders>
              <w:top w:val="single" w:sz="8" w:color="F0FFFF"/>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F0FFFF"/>
            </w:tcBorders>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27,833</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25,997</w:t>
            </w:r>
          </w:p>
        </w:tc>
        <w:tc>
          <w:tcPr>
            <w:tcW w:w="34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23,923</w:t>
            </w:r>
          </w:p>
        </w:tc>
        <w:tc>
          <w:tcPr>
            <w:tcW w:w="34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23,775</w:t>
            </w:r>
          </w:p>
        </w:tc>
        <w:tc>
          <w:tcPr>
            <w:tcW w:w="3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21,701</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77,753</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59,343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54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Diluted income per common share reconciliation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Diluted income per common share (GAAP)</w:t>
            </w:r>
          </w:p>
        </w:tc>
        <w:tc>
          <w:tcPr>
            <w:tcW w:w="300" w:type="dxa"/>
            <w:vAlign w:val="bottom"/>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300" w:type="dxa"/>
            <w:vAlign w:val="bottom"/>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340" w:type="dxa"/>
            <w:vAlign w:val="bottom"/>
            <w:gridSpan w:val="2"/>
            <w:shd w:val="clear" w:color="auto" w:fill="F0FFFF"/>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340" w:type="dxa"/>
            <w:vAlign w:val="bottom"/>
            <w:gridSpan w:val="2"/>
            <w:shd w:val="clear" w:color="auto" w:fill="F0FFFF"/>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F0F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36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80" w:type="dxa"/>
            <w:vAlign w:val="bottom"/>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F0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80" w:type="dxa"/>
            <w:vAlign w:val="bottom"/>
            <w:shd w:val="clear" w:color="auto" w:fill="F0FF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300" w:type="dxa"/>
            <w:vAlign w:val="bottom"/>
          </w:tcPr>
          <w:p>
            <w:pPr>
              <w:spacing w:after="0"/>
              <w:rPr>
                <w:sz w:val="14"/>
                <w:szCs w:val="14"/>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.03</w:t>
            </w:r>
          </w:p>
        </w:tc>
        <w:tc>
          <w:tcPr>
            <w:tcW w:w="30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.06</w:t>
            </w:r>
          </w:p>
        </w:tc>
        <w:tc>
          <w:tcPr>
            <w:tcW w:w="280" w:type="dxa"/>
            <w:vAlign w:val="bottom"/>
          </w:tcPr>
          <w:p>
            <w:pPr>
              <w:spacing w:after="0"/>
              <w:rPr>
                <w:sz w:val="14"/>
                <w:szCs w:val="14"/>
                <w:color w:val="auto"/>
              </w:rPr>
            </w:pPr>
          </w:p>
        </w:tc>
        <w:tc>
          <w:tcPr>
            <w:tcW w:w="8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5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Diluted income per common share - operating</w:t>
            </w:r>
          </w:p>
        </w:tc>
        <w:tc>
          <w:tcPr>
            <w:tcW w:w="300" w:type="dxa"/>
            <w:vAlign w:val="bottom"/>
            <w:tcBorders>
              <w:top w:val="single" w:sz="8" w:color="auto"/>
              <w:bottom w:val="single" w:sz="8" w:color="auto"/>
            </w:tcBorders>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300" w:type="dxa"/>
            <w:vAlign w:val="bottom"/>
            <w:tcBorders>
              <w:top w:val="single" w:sz="8" w:color="auto"/>
              <w:bottom w:val="single" w:sz="8" w:color="auto"/>
            </w:tcBorders>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280" w:type="dxa"/>
            <w:vAlign w:val="bottom"/>
            <w:tcBorders>
              <w:top w:val="single" w:sz="8" w:color="auto"/>
              <w:bottom w:val="single" w:sz="8" w:color="auto"/>
            </w:tcBorders>
            <w:shd w:val="clear" w:color="auto" w:fill="F0FF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280" w:type="dxa"/>
            <w:vAlign w:val="bottom"/>
            <w:tcBorders>
              <w:top w:val="single" w:sz="8" w:color="auto"/>
              <w:bottom w:val="single" w:sz="8" w:color="auto"/>
            </w:tcBorders>
            <w:shd w:val="clear" w:color="auto" w:fill="F0FF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300" w:type="dxa"/>
            <w:vAlign w:val="bottom"/>
            <w:tcBorders>
              <w:top w:val="single" w:sz="8" w:color="auto"/>
              <w:bottom w:val="single" w:sz="8" w:color="auto"/>
            </w:tcBorders>
            <w:shd w:val="clear" w:color="auto" w:fill="F0FF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80" w:type="dxa"/>
            <w:vAlign w:val="bottom"/>
            <w:tcBorders>
              <w:top w:val="single" w:sz="8" w:color="auto"/>
              <w:bottom w:val="single" w:sz="8" w:color="auto"/>
            </w:tcBorders>
            <w:shd w:val="clear" w:color="auto" w:fill="F0FF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80" w:type="dxa"/>
            <w:vAlign w:val="bottom"/>
            <w:tcBorders>
              <w:top w:val="single" w:sz="8" w:color="auto"/>
              <w:bottom w:val="single" w:sz="8" w:color="auto"/>
            </w:tcBorders>
            <w:shd w:val="clear" w:color="auto" w:fill="F0FF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Book value per common share reconciliation</w:t>
            </w:r>
          </w:p>
        </w:tc>
        <w:tc>
          <w:tcPr>
            <w:tcW w:w="3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 value per common share (GAAP)</w:t>
            </w: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15.12</w:t>
            </w: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340" w:type="dxa"/>
            <w:vAlign w:val="bottom"/>
            <w:gridSpan w:val="2"/>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340" w:type="dxa"/>
            <w:vAlign w:val="bottom"/>
            <w:gridSpan w:val="2"/>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3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13.95</w:t>
            </w:r>
          </w:p>
        </w:tc>
        <w:tc>
          <w:tcPr>
            <w:tcW w:w="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15.12</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13.95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30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(2.12)</w:t>
            </w:r>
          </w:p>
        </w:tc>
        <w:tc>
          <w:tcPr>
            <w:tcW w:w="3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c>
          <w:tcPr>
            <w:tcW w:w="6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68"/>
              <w:spacing w:after="0"/>
              <w:rPr>
                <w:sz w:val="20"/>
                <w:szCs w:val="20"/>
                <w:color w:val="auto"/>
              </w:rPr>
            </w:pPr>
            <w:r>
              <w:rPr>
                <w:rFonts w:ascii="Times New Roman" w:cs="Times New Roman" w:eastAsia="Times New Roman" w:hAnsi="Times New Roman"/>
                <w:sz w:val="14"/>
                <w:szCs w:val="14"/>
                <w:color w:val="auto"/>
              </w:rPr>
              <w:t>(1.95)</w:t>
            </w:r>
          </w:p>
        </w:tc>
        <w:tc>
          <w:tcPr>
            <w:tcW w:w="6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c>
          <w:tcPr>
            <w:tcW w:w="60" w:type="dxa"/>
            <w:vAlign w:val="bottom"/>
            <w:shd w:val="clear" w:color="auto" w:fill="F0FFFF"/>
          </w:tcPr>
          <w:p>
            <w:pPr>
              <w:spacing w:after="0"/>
              <w:rPr>
                <w:sz w:val="15"/>
                <w:szCs w:val="15"/>
                <w:color w:val="auto"/>
              </w:rPr>
            </w:pPr>
          </w:p>
        </w:tc>
        <w:tc>
          <w:tcPr>
            <w:tcW w:w="30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(1.87)</w:t>
            </w:r>
          </w:p>
        </w:tc>
        <w:tc>
          <w:tcPr>
            <w:tcW w:w="28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(2.12)</w:t>
            </w:r>
          </w:p>
        </w:tc>
        <w:tc>
          <w:tcPr>
            <w:tcW w:w="28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Tangible book value per common share</w:t>
            </w:r>
          </w:p>
        </w:tc>
        <w:tc>
          <w:tcPr>
            <w:tcW w:w="300" w:type="dxa"/>
            <w:vAlign w:val="bottom"/>
            <w:tcBorders>
              <w:top w:val="single" w:sz="8" w:color="auto"/>
              <w:bottom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220" w:type="dxa"/>
            <w:vAlign w:val="bottom"/>
            <w:tcBorders>
              <w:top w:val="single" w:sz="8" w:color="F0FF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w:t>
            </w:r>
          </w:p>
        </w:tc>
        <w:tc>
          <w:tcPr>
            <w:tcW w:w="18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18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16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w:t>
            </w:r>
          </w:p>
        </w:tc>
        <w:tc>
          <w:tcPr>
            <w:tcW w:w="240" w:type="dxa"/>
            <w:vAlign w:val="bottom"/>
            <w:tcBorders>
              <w:top w:val="single" w:sz="8" w:color="F0FF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240" w:type="dxa"/>
            <w:vAlign w:val="bottom"/>
            <w:tcBorders>
              <w:top w:val="single" w:sz="8" w:color="F0FF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w:t>
            </w: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54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Return on tangible common equity reconciliation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Return on common equity (GAAP)</w:t>
            </w:r>
          </w:p>
        </w:tc>
        <w:tc>
          <w:tcPr>
            <w:tcW w:w="30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9.61%</w:t>
            </w:r>
          </w:p>
        </w:tc>
        <w:tc>
          <w:tcPr>
            <w:tcW w:w="3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6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7.85%</w:t>
            </w:r>
          </w:p>
        </w:tc>
        <w:tc>
          <w:tcPr>
            <w:tcW w:w="28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2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300" w:type="dxa"/>
            <w:vAlign w:val="bottom"/>
          </w:tcPr>
          <w:p>
            <w:pPr>
              <w:spacing w:after="0"/>
              <w:rPr>
                <w:sz w:val="14"/>
                <w:szCs w:val="14"/>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.73</w:t>
            </w:r>
          </w:p>
        </w:tc>
        <w:tc>
          <w:tcPr>
            <w:tcW w:w="30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2.16</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1.69</w:t>
            </w:r>
          </w:p>
        </w:tc>
        <w:tc>
          <w:tcPr>
            <w:tcW w:w="280" w:type="dxa"/>
            <w:vAlign w:val="bottom"/>
          </w:tcPr>
          <w:p>
            <w:pPr>
              <w:spacing w:after="0"/>
              <w:rPr>
                <w:sz w:val="14"/>
                <w:szCs w:val="14"/>
                <w:color w:val="auto"/>
              </w:rPr>
            </w:pPr>
          </w:p>
        </w:tc>
        <w:tc>
          <w:tcPr>
            <w:tcW w:w="8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.54</w:t>
            </w:r>
          </w:p>
        </w:tc>
        <w:tc>
          <w:tcPr>
            <w:tcW w:w="28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top w:val="single" w:sz="8" w:color="F0FFFF"/>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Return on common equity - operating</w:t>
            </w:r>
          </w:p>
        </w:tc>
        <w:tc>
          <w:tcPr>
            <w:tcW w:w="30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220" w:type="dxa"/>
            <w:vAlign w:val="bottom"/>
            <w:tcBorders>
              <w:top w:val="single" w:sz="8" w:color="F0FFFF"/>
            </w:tcBorders>
            <w:shd w:val="clear" w:color="auto" w:fill="F0FFFF"/>
          </w:tcPr>
          <w:p>
            <w:pPr>
              <w:spacing w:after="0"/>
              <w:rPr>
                <w:sz w:val="12"/>
                <w:szCs w:val="12"/>
                <w:color w:val="auto"/>
              </w:rPr>
            </w:pPr>
          </w:p>
        </w:tc>
        <w:tc>
          <w:tcPr>
            <w:tcW w:w="30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28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28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16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30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240" w:type="dxa"/>
            <w:vAlign w:val="bottom"/>
            <w:tcBorders>
              <w:top w:val="single" w:sz="8" w:color="F0FFFF"/>
            </w:tcBorders>
            <w:shd w:val="clear" w:color="auto" w:fill="F0FFFF"/>
          </w:tcPr>
          <w:p>
            <w:pPr>
              <w:spacing w:after="0"/>
              <w:rPr>
                <w:sz w:val="12"/>
                <w:szCs w:val="12"/>
                <w:color w:val="auto"/>
              </w:rPr>
            </w:pPr>
          </w:p>
        </w:tc>
        <w:tc>
          <w:tcPr>
            <w:tcW w:w="28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9.79</w:t>
            </w:r>
          </w:p>
        </w:tc>
        <w:tc>
          <w:tcPr>
            <w:tcW w:w="240" w:type="dxa"/>
            <w:vAlign w:val="bottom"/>
            <w:tcBorders>
              <w:top w:val="single" w:sz="8" w:color="F0FFFF"/>
            </w:tcBorders>
            <w:shd w:val="clear" w:color="auto" w:fill="F0FFFF"/>
          </w:tcPr>
          <w:p>
            <w:pPr>
              <w:spacing w:after="0"/>
              <w:rPr>
                <w:sz w:val="12"/>
                <w:szCs w:val="12"/>
                <w:color w:val="auto"/>
              </w:rPr>
            </w:pPr>
          </w:p>
        </w:tc>
        <w:tc>
          <w:tcPr>
            <w:tcW w:w="28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9.60</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300" w:type="dxa"/>
            <w:vAlign w:val="bottom"/>
          </w:tcPr>
          <w:p>
            <w:pPr>
              <w:spacing w:after="0"/>
              <w:rPr>
                <w:sz w:val="14"/>
                <w:szCs w:val="14"/>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2.11</w:t>
            </w:r>
          </w:p>
        </w:tc>
        <w:tc>
          <w:tcPr>
            <w:tcW w:w="30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1.75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1.71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1.69</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.75</w:t>
            </w:r>
          </w:p>
        </w:tc>
        <w:tc>
          <w:tcPr>
            <w:tcW w:w="280" w:type="dxa"/>
            <w:vAlign w:val="bottom"/>
          </w:tcPr>
          <w:p>
            <w:pPr>
              <w:spacing w:after="0"/>
              <w:rPr>
                <w:sz w:val="14"/>
                <w:szCs w:val="14"/>
                <w:color w:val="auto"/>
              </w:rPr>
            </w:pPr>
          </w:p>
        </w:tc>
        <w:tc>
          <w:tcPr>
            <w:tcW w:w="8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1.85</w:t>
            </w:r>
          </w:p>
        </w:tc>
        <w:tc>
          <w:tcPr>
            <w:tcW w:w="28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5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Return on tangible common equity - operating</w:t>
            </w:r>
          </w:p>
        </w:tc>
        <w:tc>
          <w:tcPr>
            <w:tcW w:w="300" w:type="dxa"/>
            <w:vAlign w:val="bottom"/>
            <w:tcBorders>
              <w:top w:val="single" w:sz="8" w:color="auto"/>
              <w:bottom w:val="single" w:sz="8" w:color="auto"/>
            </w:tcBorders>
            <w:shd w:val="clear" w:color="auto" w:fill="F0FFFF"/>
          </w:tcPr>
          <w:p>
            <w:pPr>
              <w:spacing w:after="0"/>
              <w:rPr>
                <w:sz w:val="15"/>
                <w:szCs w:val="15"/>
                <w:color w:val="auto"/>
              </w:rPr>
            </w:pP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F0FFFF"/>
          </w:tcPr>
          <w:p>
            <w:pPr>
              <w:spacing w:after="0"/>
              <w:rPr>
                <w:sz w:val="15"/>
                <w:szCs w:val="15"/>
                <w:color w:val="auto"/>
              </w:rPr>
            </w:pP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280" w:type="dxa"/>
            <w:vAlign w:val="bottom"/>
            <w:tcBorders>
              <w:top w:val="single" w:sz="8" w:color="auto"/>
              <w:bottom w:val="single" w:sz="8" w:color="auto"/>
            </w:tcBorders>
            <w:shd w:val="clear" w:color="auto" w:fill="F0FFFF"/>
          </w:tcPr>
          <w:p>
            <w:pPr>
              <w:spacing w:after="0"/>
              <w:rPr>
                <w:sz w:val="15"/>
                <w:szCs w:val="15"/>
                <w:color w:val="auto"/>
              </w:rPr>
            </w:pP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280" w:type="dxa"/>
            <w:vAlign w:val="bottom"/>
            <w:tcBorders>
              <w:top w:val="single" w:sz="8" w:color="auto"/>
              <w:bottom w:val="single" w:sz="8" w:color="auto"/>
            </w:tcBorders>
            <w:shd w:val="clear" w:color="auto" w:fill="F0FFFF"/>
          </w:tcPr>
          <w:p>
            <w:pPr>
              <w:spacing w:after="0"/>
              <w:rPr>
                <w:sz w:val="15"/>
                <w:szCs w:val="15"/>
                <w:color w:val="auto"/>
              </w:rPr>
            </w:pP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300" w:type="dxa"/>
            <w:vAlign w:val="bottom"/>
            <w:tcBorders>
              <w:top w:val="single" w:sz="8" w:color="auto"/>
              <w:bottom w:val="single" w:sz="8" w:color="auto"/>
            </w:tcBorders>
            <w:shd w:val="clear" w:color="auto" w:fill="F0FFFF"/>
          </w:tcPr>
          <w:p>
            <w:pPr>
              <w:spacing w:after="0"/>
              <w:rPr>
                <w:sz w:val="15"/>
                <w:szCs w:val="15"/>
                <w:color w:val="auto"/>
              </w:rPr>
            </w:pP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F0FFFF"/>
          </w:tcPr>
          <w:p>
            <w:pPr>
              <w:spacing w:after="0"/>
              <w:rPr>
                <w:sz w:val="15"/>
                <w:szCs w:val="15"/>
                <w:color w:val="auto"/>
              </w:rPr>
            </w:pP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F0FFFF"/>
          </w:tcPr>
          <w:p>
            <w:pPr>
              <w:spacing w:after="0"/>
              <w:rPr>
                <w:sz w:val="15"/>
                <w:szCs w:val="15"/>
                <w:color w:val="auto"/>
              </w:rPr>
            </w:pP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sectPr>
          <w:pgSz w:w="11900" w:h="16838" w:orient="portrait"/>
          <w:cols w:equalWidth="0" w:num="1">
            <w:col w:w="11420"/>
          </w:cols>
          <w:pgMar w:left="240" w:top="89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Return on assets reconciliation</w:t>
      </w:r>
    </w:p>
    <w:p>
      <w:pPr>
        <w:spacing w:after="0" w:line="229" w:lineRule="auto"/>
        <w:rPr>
          <w:sz w:val="20"/>
          <w:szCs w:val="20"/>
          <w:color w:val="auto"/>
        </w:rPr>
      </w:pPr>
      <w:r>
        <w:rPr>
          <w:rFonts w:ascii="Times New Roman" w:cs="Times New Roman" w:eastAsia="Times New Roman" w:hAnsi="Times New Roman"/>
          <w:sz w:val="14"/>
          <w:szCs w:val="14"/>
          <w:color w:val="auto"/>
        </w:rPr>
        <w:t>Return on assets (GAAP)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Merger-related and other charges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Return on assets - operating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payout ratio reconciliation</w:t>
      </w:r>
    </w:p>
    <w:p>
      <w:pPr>
        <w:spacing w:after="0" w:line="229" w:lineRule="auto"/>
        <w:rPr>
          <w:sz w:val="20"/>
          <w:szCs w:val="20"/>
          <w:color w:val="auto"/>
        </w:rPr>
      </w:pPr>
      <w:r>
        <w:rPr>
          <w:rFonts w:ascii="Times New Roman" w:cs="Times New Roman" w:eastAsia="Times New Roman" w:hAnsi="Times New Roman"/>
          <w:sz w:val="14"/>
          <w:szCs w:val="14"/>
          <w:color w:val="auto"/>
        </w:rPr>
        <w:t>Dividend payout ratio (GAAP)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Merger-related and other charges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Dividend payout ratio - operating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Efficiency ratio reconciliation</w:t>
      </w:r>
    </w:p>
    <w:p>
      <w:pPr>
        <w:spacing w:after="0" w:line="229" w:lineRule="auto"/>
        <w:rPr>
          <w:sz w:val="20"/>
          <w:szCs w:val="20"/>
          <w:color w:val="auto"/>
        </w:rPr>
      </w:pPr>
      <w:r>
        <w:rPr>
          <w:rFonts w:ascii="Times New Roman" w:cs="Times New Roman" w:eastAsia="Times New Roman" w:hAnsi="Times New Roman"/>
          <w:sz w:val="14"/>
          <w:szCs w:val="14"/>
          <w:color w:val="auto"/>
        </w:rPr>
        <w:t>Efficiency ratio (GAAP)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Merger-related and other charges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Efficiency ratio - operating</w:t>
      </w:r>
    </w:p>
    <w:p>
      <w:pPr>
        <w:spacing w:after="0" w:line="202"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14"/>
          <w:szCs w:val="14"/>
          <w:b w:val="1"/>
          <w:bCs w:val="1"/>
          <w:color w:val="auto"/>
        </w:rPr>
        <w:t xml:space="preserve">Average equity to assets reconciliation </w:t>
      </w:r>
      <w:r>
        <w:rPr>
          <w:rFonts w:ascii="Times New Roman" w:cs="Times New Roman" w:eastAsia="Times New Roman" w:hAnsi="Times New Roman"/>
          <w:sz w:val="14"/>
          <w:szCs w:val="14"/>
          <w:color w:val="auto"/>
        </w:rPr>
        <w:t>Equity to assets (GAAP)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 of goodwill and other intangibles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78"/>
        </w:trPr>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.08</w:t>
            </w: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.03</w:t>
            </w: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.07</w:t>
            </w: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.23</w:t>
            </w: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.18</w:t>
            </w: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.06</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r>
      <w:tr>
        <w:trPr>
          <w:trHeight w:val="162"/>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6"/>
        </w:trPr>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22.22%</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20.00%</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22.58%</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24.00%</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22.22%</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21.57%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19.05%</w:t>
            </w:r>
          </w:p>
        </w:tc>
      </w:tr>
      <w:tr>
        <w:trPr>
          <w:trHeight w:val="192"/>
        </w:trPr>
        <w:tc>
          <w:tcPr>
            <w:tcW w:w="11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(1.71)</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(.56)</w:t>
            </w: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(1.37)</w:t>
            </w: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(5.82)</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(4.04)</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c>
          <w:tcPr>
            <w:tcW w:w="102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color w:val="auto"/>
              </w:rPr>
              <w:t>(2.03)</w:t>
            </w:r>
          </w:p>
        </w:tc>
      </w:tr>
      <w:tr>
        <w:trPr>
          <w:trHeight w:val="162"/>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17.02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6"/>
        </w:trPr>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60.78%</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59.02%</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61.94%</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68.97%</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64.65%</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60.56%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61.94%</w:t>
            </w:r>
          </w:p>
        </w:tc>
      </w:tr>
      <w:tr>
        <w:trPr>
          <w:trHeight w:val="192"/>
        </w:trPr>
        <w:tc>
          <w:tcPr>
            <w:tcW w:w="11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(2.99)</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(2.84)</w:t>
            </w: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(9.56)</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(6.84)</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(2.35)</w:t>
            </w:r>
          </w:p>
        </w:tc>
        <w:tc>
          <w:tcPr>
            <w:tcW w:w="102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color w:val="auto"/>
              </w:rPr>
              <w:t>(3.79)</w:t>
            </w:r>
          </w:p>
        </w:tc>
      </w:tr>
      <w:tr>
        <w:trPr>
          <w:trHeight w:val="162"/>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59.41</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58.15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6"/>
        </w:trPr>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10.38%</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10.72%</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10.72%</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10.68%</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10.39%</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10.60%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10.11%</w:t>
            </w:r>
          </w:p>
        </w:tc>
      </w:tr>
      <w:tr>
        <w:trPr>
          <w:trHeight w:val="185"/>
        </w:trPr>
        <w:tc>
          <w:tcPr>
            <w:tcW w:w="11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(1.40)</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(1.29)</w:t>
            </w: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(1.31)</w:t>
            </w: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(1.28)</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(.51)</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(1.33)</w:t>
            </w:r>
          </w:p>
        </w:tc>
        <w:tc>
          <w:tcPr>
            <w:tcW w:w="102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-1911985</wp:posOffset>
            </wp:positionV>
            <wp:extent cx="724662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-1723390</wp:posOffset>
            </wp:positionV>
            <wp:extent cx="7246620" cy="1117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-1482725</wp:posOffset>
            </wp:positionV>
            <wp:extent cx="7246620" cy="1117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-1276985</wp:posOffset>
            </wp:positionV>
            <wp:extent cx="724662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-1071245</wp:posOffset>
            </wp:positionV>
            <wp:extent cx="724662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-831215</wp:posOffset>
            </wp:positionV>
            <wp:extent cx="724662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-642620</wp:posOffset>
            </wp:positionV>
            <wp:extent cx="7246620"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-402590</wp:posOffset>
            </wp:positionV>
            <wp:extent cx="7246620" cy="111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-196850</wp:posOffset>
            </wp:positionV>
            <wp:extent cx="724662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40" w:space="720"/>
            <w:col w:w="7860"/>
          </w:cols>
          <w:pgMar w:left="240" w:top="898"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540" w:type="dxa"/>
            <w:vAlign w:val="bottom"/>
            <w:tcBorders>
              <w:top w:val="single" w:sz="8" w:color="F0FFFF"/>
            </w:tcBorders>
            <w:shd w:val="clear" w:color="auto" w:fill="F0FFFF"/>
          </w:tcPr>
          <w:p>
            <w:pPr>
              <w:spacing w:after="0" w:line="155" w:lineRule="exact"/>
              <w:rPr>
                <w:sz w:val="20"/>
                <w:szCs w:val="20"/>
                <w:color w:val="auto"/>
              </w:rPr>
            </w:pPr>
            <w:r>
              <w:rPr>
                <w:rFonts w:ascii="Times New Roman" w:cs="Times New Roman" w:eastAsia="Times New Roman" w:hAnsi="Times New Roman"/>
                <w:sz w:val="14"/>
                <w:szCs w:val="14"/>
                <w:color w:val="auto"/>
              </w:rPr>
              <w:t>Tangible equity to assets</w:t>
            </w:r>
          </w:p>
        </w:tc>
        <w:tc>
          <w:tcPr>
            <w:tcW w:w="94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8.98</w:t>
            </w:r>
          </w:p>
        </w:tc>
        <w:tc>
          <w:tcPr>
            <w:tcW w:w="220" w:type="dxa"/>
            <w:vAlign w:val="bottom"/>
            <w:tcBorders>
              <w:top w:val="single" w:sz="8" w:color="F0FFFF"/>
            </w:tcBorders>
            <w:shd w:val="clear" w:color="auto" w:fill="F0FFFF"/>
          </w:tcPr>
          <w:p>
            <w:pPr>
              <w:spacing w:after="0"/>
              <w:rPr>
                <w:sz w:val="13"/>
                <w:szCs w:val="13"/>
                <w:color w:val="auto"/>
              </w:rPr>
            </w:pPr>
          </w:p>
        </w:tc>
        <w:tc>
          <w:tcPr>
            <w:tcW w:w="90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9.43</w:t>
            </w:r>
          </w:p>
        </w:tc>
        <w:tc>
          <w:tcPr>
            <w:tcW w:w="240" w:type="dxa"/>
            <w:vAlign w:val="bottom"/>
            <w:tcBorders>
              <w:top w:val="single" w:sz="8" w:color="F0FFFF"/>
            </w:tcBorders>
            <w:shd w:val="clear" w:color="auto" w:fill="F0FFFF"/>
          </w:tcPr>
          <w:p>
            <w:pPr>
              <w:spacing w:after="0"/>
              <w:rPr>
                <w:sz w:val="13"/>
                <w:szCs w:val="13"/>
                <w:color w:val="auto"/>
              </w:rPr>
            </w:pPr>
          </w:p>
        </w:tc>
        <w:tc>
          <w:tcPr>
            <w:tcW w:w="90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9.41</w:t>
            </w:r>
          </w:p>
        </w:tc>
        <w:tc>
          <w:tcPr>
            <w:tcW w:w="240" w:type="dxa"/>
            <w:vAlign w:val="bottom"/>
            <w:tcBorders>
              <w:top w:val="single" w:sz="8" w:color="F0FFFF"/>
            </w:tcBorders>
            <w:shd w:val="clear" w:color="auto" w:fill="F0FFFF"/>
          </w:tcPr>
          <w:p>
            <w:pPr>
              <w:spacing w:after="0"/>
              <w:rPr>
                <w:sz w:val="13"/>
                <w:szCs w:val="13"/>
                <w:color w:val="auto"/>
              </w:rPr>
            </w:pPr>
          </w:p>
        </w:tc>
        <w:tc>
          <w:tcPr>
            <w:tcW w:w="90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9.40</w:t>
            </w:r>
          </w:p>
        </w:tc>
        <w:tc>
          <w:tcPr>
            <w:tcW w:w="220" w:type="dxa"/>
            <w:vAlign w:val="bottom"/>
            <w:tcBorders>
              <w:top w:val="single" w:sz="8" w:color="F0FFFF"/>
            </w:tcBorders>
            <w:shd w:val="clear" w:color="auto" w:fill="F0FFFF"/>
          </w:tcPr>
          <w:p>
            <w:pPr>
              <w:spacing w:after="0"/>
              <w:rPr>
                <w:sz w:val="13"/>
                <w:szCs w:val="13"/>
                <w:color w:val="auto"/>
              </w:rPr>
            </w:pPr>
          </w:p>
        </w:tc>
        <w:tc>
          <w:tcPr>
            <w:tcW w:w="90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9.88</w:t>
            </w:r>
          </w:p>
        </w:tc>
        <w:tc>
          <w:tcPr>
            <w:tcW w:w="240" w:type="dxa"/>
            <w:vAlign w:val="bottom"/>
            <w:tcBorders>
              <w:top w:val="single" w:sz="8" w:color="F0FFFF"/>
            </w:tcBorders>
            <w:shd w:val="clear" w:color="auto" w:fill="F0FFFF"/>
          </w:tcPr>
          <w:p>
            <w:pPr>
              <w:spacing w:after="0"/>
              <w:rPr>
                <w:sz w:val="13"/>
                <w:szCs w:val="13"/>
                <w:color w:val="auto"/>
              </w:rPr>
            </w:pPr>
          </w:p>
        </w:tc>
        <w:tc>
          <w:tcPr>
            <w:tcW w:w="90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9.27</w:t>
            </w:r>
          </w:p>
        </w:tc>
        <w:tc>
          <w:tcPr>
            <w:tcW w:w="240" w:type="dxa"/>
            <w:vAlign w:val="bottom"/>
            <w:tcBorders>
              <w:top w:val="single" w:sz="8" w:color="F0FFFF"/>
            </w:tcBorders>
            <w:shd w:val="clear" w:color="auto" w:fill="F0FFFF"/>
          </w:tcPr>
          <w:p>
            <w:pPr>
              <w:spacing w:after="0"/>
              <w:rPr>
                <w:sz w:val="13"/>
                <w:szCs w:val="13"/>
                <w:color w:val="auto"/>
              </w:rPr>
            </w:pPr>
          </w:p>
        </w:tc>
        <w:tc>
          <w:tcPr>
            <w:tcW w:w="900" w:type="dxa"/>
            <w:vAlign w:val="bottom"/>
            <w:tcBorders>
              <w:top w:val="single" w:sz="8" w:color="auto"/>
            </w:tcBorders>
            <w:shd w:val="clear" w:color="auto" w:fill="F0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top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Effect of preferred equity</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(.09)</w:t>
            </w: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5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Tangible common equity to assets</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540" w:type="dxa"/>
            <w:vAlign w:val="bottom"/>
            <w:shd w:val="clear" w:color="auto" w:fill="F0FF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Tangible common equity to risk-weighted assets</w:t>
            </w:r>
          </w:p>
        </w:tc>
        <w:tc>
          <w:tcPr>
            <w:tcW w:w="94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90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90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90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90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90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9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4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Tier 1 capital ratio (Regulatory)</w:t>
            </w:r>
          </w:p>
        </w:tc>
        <w:tc>
          <w:tcPr>
            <w:tcW w:w="11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11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11.44%</w:t>
            </w:r>
          </w:p>
        </w:tc>
        <w:tc>
          <w:tcPr>
            <w:tcW w:w="11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11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11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Effect of other comprehensive income</w:t>
            </w:r>
          </w:p>
        </w:tc>
        <w:tc>
          <w:tcPr>
            <w:tcW w:w="1160" w:type="dxa"/>
            <w:vAlign w:val="bottom"/>
            <w:gridSpan w:val="2"/>
            <w:shd w:val="clear" w:color="auto" w:fill="F0F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140" w:type="dxa"/>
            <w:vAlign w:val="bottom"/>
            <w:gridSpan w:val="2"/>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12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14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140" w:type="dxa"/>
            <w:vAlign w:val="bottom"/>
            <w:gridSpan w:val="2"/>
            <w:shd w:val="clear" w:color="auto" w:fill="F0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deferred tax limitation</w:t>
            </w:r>
          </w:p>
        </w:tc>
        <w:tc>
          <w:tcPr>
            <w:tcW w:w="11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1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1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1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1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1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Effect of trust preferred</w:t>
            </w:r>
          </w:p>
        </w:tc>
        <w:tc>
          <w:tcPr>
            <w:tcW w:w="116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14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140" w:type="dxa"/>
            <w:vAlign w:val="bottom"/>
            <w:gridSpan w:val="2"/>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12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14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14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2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preferred equity</w:t>
            </w:r>
          </w:p>
        </w:tc>
        <w:tc>
          <w:tcPr>
            <w:tcW w:w="11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1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1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Basel III intangibles transition adjustment</w:t>
            </w:r>
          </w:p>
        </w:tc>
        <w:tc>
          <w:tcPr>
            <w:tcW w:w="116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14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140" w:type="dxa"/>
            <w:vAlign w:val="bottom"/>
            <w:gridSpan w:val="2"/>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12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14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140" w:type="dxa"/>
            <w:vAlign w:val="bottom"/>
            <w:gridSpan w:val="2"/>
            <w:shd w:val="clear" w:color="auto" w:fill="F0FF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2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Basel III disallowed investments</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.03</w:t>
            </w: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.03</w:t>
            </w: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5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Tangible common equity to risk-weighted assets</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revenue (the difference between the interest earned on assets and the interest paid on deposits and borrowed funds) is the single largest component of total revenue. United actively manages its balance sheet to provide optimal levels of revenue while balancing interest rate, credit and liquidity risks. Net interest revenue for the third quarter of 2016 was $79.0 million. Taxable equivalent net interest revenue for the third quarter of 2016 was $79.2 million, which represents an increase of $13.5 million from the same period in 2015. The combination of the larger earning asset base from the acquisitions of Tidelands and Palmetto and growth in the loan portfolio were responsible for the increase in net interest revenue. United continues to focus on loan and deposit pricing in an effort to maintain a steady level of net interest revenue. The acquisition of Tidelands on July 1, 2016 and Palmetto on September 1, 2015 contributed to the increase as the acquired entities’ results are included in consolidated results beginning on the acquisition date.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loans increased $1.22 billion, or 22%, from the third quarter of last year, while the yield on loans decreased two basis points, reflecting ongoing pricing pressure on new and renewed loans.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interest-earning assets for the third quarter of 2016 increased $1.43 billion, or 18%, from the third quarter of 2015, which was due primarily to the increase in loans, including the acquisition of Tidelands and Palmetto loans. Average investment securities for the third quarter of 2016 increased $221 million from a year ago, partially due to the Tidelands and Palmetto acquisitions. The average yield on the taxable investment portfolio increased 23 basis points from a year ago, primarily due to the impact of higher short-term interest rates on the floating rate portion of United’s securities portfolio as well as accelerated discount accretion on called agency bonds and higher yields on fixed rate investments.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interest-bearing liabilities of $6.62 billion for the third quarter of 2016 increased $951 million from the third quarter of 2015. Average noninterest bearing deposits increased $518 million from the third quarter of 2015 to $2.49 billion for the third quarter of 2016. The average cost of interest-bearing liabilities for the third quarter of 2016 was .39% compared to .38% for the same period in 2015, reflecting greater use of borrowed funds to fund balance sheet growth. Also contributing to the overall higher rate on interest-bearing liabilities was a higher average rate on money market deposits and a higher average rate on brokered time deposits.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third quarters of 2016 and 2015, the net interest spread was 3.22% and 3.15%, respectively, while the net interest margin was 3.34% and 3.26%, respectively. The increase in both ratios reflects the impact of higher short-term interest rates on floating-rate loans and securities, while deposit pricing increased slightly from the prior year. Additionally, United was able to improve its overall yield on interest-earning assets through growth in the loan portfolio, which had a positive impact on the composition of interest-earning assets, and higher yields on fixed rate investments.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first nine months of 2016, net interest revenue was $229 million, an increase of $45.2 million, or 25%, from the first nine months of 2015. Similarly, fully taxable equivalent net interest revenue for the first nine months of 2016 was $230 million, an increase of $45.0 million, or 24%, from the first nine months of 2015. Average earning assets increased $1.61 billion, or 21%, during the first nine months of 2016 compared to the same period a year ago, primarily due to loan growth, both organic and acquisition-related. The yield on earning assets increased seven basis points to 3.63% in the first nine months of 2016 despite a four basis point decrease in loan yield. The lower loan portfolio yield reflects competitive pricing pressure on new and renewed loans and a shift in loan mix to more floating rate loans. Investment yield increased 24 basis points for the first nine months of 2016 compared to the same period in 2015, which helped offset some of the decrease in loan yield. The rate on interest-bearing liabilities over the same period remained flat. The higher yield on interest-earning assets combined with the unchanged cost of interest-bearing liabilities resulted in a seven basis point increase in the net interest margin from the first nine months of 2015 to the first nine months of 2016.</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 the relationship between interest revenue and expense, and the average amounts of interest-earning assets and interest-bearing liabilities for the periods indicated.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Table 2 - Average Consolidated Balance Sheets and Net Interest Analysis</w:t>
      </w:r>
    </w:p>
    <w:p>
      <w:pPr>
        <w:spacing w:after="0"/>
        <w:rPr>
          <w:sz w:val="20"/>
          <w:szCs w:val="20"/>
          <w:color w:val="auto"/>
        </w:rPr>
      </w:pPr>
      <w:r>
        <w:rPr>
          <w:rFonts w:ascii="Times New Roman" w:cs="Times New Roman" w:eastAsia="Times New Roman" w:hAnsi="Times New Roman"/>
          <w:sz w:val="14"/>
          <w:szCs w:val="14"/>
          <w:color w:val="auto"/>
        </w:rPr>
        <w:t>For the Three Months Ended September 30,</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11"/>
              <w:spacing w:after="0" w:line="137" w:lineRule="exact"/>
              <w:rPr>
                <w:sz w:val="20"/>
                <w:szCs w:val="20"/>
                <w:color w:val="auto"/>
              </w:rPr>
            </w:pPr>
            <w:r>
              <w:rPr>
                <w:rFonts w:ascii="Times New Roman" w:cs="Times New Roman" w:eastAsia="Times New Roman" w:hAnsi="Times New Roman"/>
                <w:sz w:val="14"/>
                <w:szCs w:val="14"/>
                <w:b w:val="1"/>
                <w:bCs w:val="1"/>
                <w:color w:val="auto"/>
              </w:rPr>
              <w:t>Avg.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4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ind w:right="311"/>
              <w:spacing w:after="0" w:line="137" w:lineRule="exact"/>
              <w:rPr>
                <w:sz w:val="20"/>
                <w:szCs w:val="20"/>
                <w:color w:val="auto"/>
              </w:rPr>
            </w:pPr>
            <w:r>
              <w:rPr>
                <w:rFonts w:ascii="Times New Roman" w:cs="Times New Roman" w:eastAsia="Times New Roman" w:hAnsi="Times New Roman"/>
                <w:sz w:val="14"/>
                <w:szCs w:val="14"/>
                <w:b w:val="1"/>
                <w:bCs w:val="1"/>
                <w:color w:val="auto"/>
              </w:rPr>
              <w:t>Avg.</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 fully taxable equivalent (FTE))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top w:val="single" w:sz="8" w:color="auto"/>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8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6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auto"/>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Interest-earning assets: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F0FFFF"/>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80" w:type="dxa"/>
            <w:vAlign w:val="bottom"/>
            <w:gridSpan w:val="2"/>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6,675,328</w:t>
            </w:r>
          </w:p>
        </w:tc>
        <w:tc>
          <w:tcPr>
            <w:tcW w:w="280" w:type="dxa"/>
            <w:vAlign w:val="bottom"/>
            <w:gridSpan w:val="2"/>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69,427</w:t>
            </w: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4.14%</w:t>
            </w:r>
          </w:p>
        </w:tc>
        <w:tc>
          <w:tcPr>
            <w:tcW w:w="180" w:type="dxa"/>
            <w:vAlign w:val="bottom"/>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5,457,158</w:t>
            </w:r>
          </w:p>
        </w:tc>
        <w:tc>
          <w:tcPr>
            <w:tcW w:w="220" w:type="dxa"/>
            <w:vAlign w:val="bottom"/>
            <w:shd w:val="clear" w:color="auto" w:fill="F0FFFF"/>
          </w:tcPr>
          <w:p>
            <w:pPr>
              <w:spacing w:after="0"/>
              <w:rPr>
                <w:sz w:val="16"/>
                <w:szCs w:val="16"/>
                <w:color w:val="auto"/>
              </w:rPr>
            </w:pP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57,258</w:t>
            </w:r>
          </w:p>
        </w:tc>
        <w:tc>
          <w:tcPr>
            <w:tcW w:w="1140" w:type="dxa"/>
            <w:vAlign w:val="bottom"/>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Taxable securities </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2,588,037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15,284</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2.36</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2,367,417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12,624</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F0FFFF"/>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22,113</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219</w:t>
            </w: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3.96</w:t>
            </w: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28,889</w:t>
            </w:r>
          </w:p>
        </w:tc>
        <w:tc>
          <w:tcPr>
            <w:tcW w:w="160" w:type="dxa"/>
            <w:vAlign w:val="bottom"/>
            <w:shd w:val="clear" w:color="auto" w:fill="F0FFFF"/>
          </w:tcPr>
          <w:p>
            <w:pPr>
              <w:spacing w:after="0"/>
              <w:rPr>
                <w:sz w:val="16"/>
                <w:szCs w:val="16"/>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Federal funds sold and other interest-earning assets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157,972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754</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1.91</w:t>
            </w: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155,957</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2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8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6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 interest-earning assets (FTE)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9,443,450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85,684</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3.61</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8,009,421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71,120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top w:val="single" w:sz="8" w:color="F0FFFF"/>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Non-interest-earning assets:</w:t>
            </w:r>
          </w:p>
        </w:tc>
        <w:tc>
          <w:tcPr>
            <w:tcW w:w="1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8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6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Allowance for loan losses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(63,874)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(71,090)</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100,775</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80,678</w:t>
            </w: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Premises and equipment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198,234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179,463</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F0FFFF"/>
          </w:tcPr>
          <w:p>
            <w:pPr>
              <w:ind w:left="160"/>
              <w:spacing w:after="0" w:line="202" w:lineRule="exact"/>
              <w:rPr>
                <w:sz w:val="20"/>
                <w:szCs w:val="20"/>
                <w:color w:val="auto"/>
              </w:rPr>
            </w:pPr>
            <w:r>
              <w:rPr>
                <w:rFonts w:ascii="Times New Roman" w:cs="Times New Roman" w:eastAsia="Times New Roman" w:hAnsi="Times New Roman"/>
                <w:sz w:val="14"/>
                <w:szCs w:val="14"/>
                <w:color w:val="auto"/>
              </w:rPr>
              <w:t xml:space="preserve">Other assets </w:t>
            </w:r>
            <w:r>
              <w:rPr>
                <w:rFonts w:ascii="Times New Roman" w:cs="Times New Roman" w:eastAsia="Times New Roman" w:hAnsi="Times New Roman"/>
                <w:sz w:val="23"/>
                <w:szCs w:val="23"/>
                <w:color w:val="auto"/>
                <w:vertAlign w:val="superscript"/>
              </w:rPr>
              <w:t>(3)</w:t>
            </w:r>
          </w:p>
        </w:tc>
        <w:tc>
          <w:tcPr>
            <w:tcW w:w="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602,690</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86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435,060</w:t>
            </w:r>
          </w:p>
        </w:tc>
        <w:tc>
          <w:tcPr>
            <w:tcW w:w="160" w:type="dxa"/>
            <w:vAlign w:val="bottom"/>
            <w:shd w:val="clear" w:color="auto" w:fill="F0FFFF"/>
          </w:tcPr>
          <w:p>
            <w:pPr>
              <w:spacing w:after="0"/>
              <w:rPr>
                <w:sz w:val="19"/>
                <w:szCs w:val="19"/>
                <w:color w:val="auto"/>
              </w:rPr>
            </w:pPr>
          </w:p>
        </w:tc>
        <w:tc>
          <w:tcPr>
            <w:tcW w:w="8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top w:val="single" w:sz="8" w:color="F0FFFF"/>
            </w:tcBorders>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10,281,275</w:t>
            </w:r>
          </w:p>
        </w:tc>
        <w:tc>
          <w:tcPr>
            <w:tcW w:w="14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80" w:type="dxa"/>
            <w:vAlign w:val="bottom"/>
            <w:tcBorders>
              <w:top w:val="single" w:sz="8" w:color="F0FFFF"/>
            </w:tcBorders>
          </w:tcPr>
          <w:p>
            <w:pPr>
              <w:spacing w:after="0"/>
              <w:rPr>
                <w:sz w:val="12"/>
                <w:szCs w:val="12"/>
                <w:color w:val="auto"/>
              </w:rPr>
            </w:pPr>
          </w:p>
        </w:tc>
        <w:tc>
          <w:tcPr>
            <w:tcW w:w="860" w:type="dxa"/>
            <w:vAlign w:val="bottom"/>
            <w:tcBorders>
              <w:top w:val="single" w:sz="8" w:color="F0FFFF"/>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1020" w:type="dxa"/>
            <w:vAlign w:val="bottom"/>
            <w:tcBorders>
              <w:top w:val="single" w:sz="8" w:color="F0FFFF"/>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8,633,532</w:t>
            </w:r>
          </w:p>
        </w:tc>
        <w:tc>
          <w:tcPr>
            <w:tcW w:w="220" w:type="dxa"/>
            <w:vAlign w:val="bottom"/>
            <w:tcBorders>
              <w:top w:val="single" w:sz="8" w:color="F0FFFF"/>
            </w:tcBorders>
          </w:tcPr>
          <w:p>
            <w:pPr>
              <w:spacing w:after="0"/>
              <w:rPr>
                <w:sz w:val="12"/>
                <w:szCs w:val="12"/>
                <w:color w:val="auto"/>
              </w:rPr>
            </w:pPr>
          </w:p>
        </w:tc>
        <w:tc>
          <w:tcPr>
            <w:tcW w:w="160" w:type="dxa"/>
            <w:vAlign w:val="bottom"/>
            <w:tcBorders>
              <w:top w:val="single" w:sz="8" w:color="F0FFFF"/>
            </w:tcBorders>
          </w:tcPr>
          <w:p>
            <w:pPr>
              <w:spacing w:after="0"/>
              <w:rPr>
                <w:sz w:val="12"/>
                <w:szCs w:val="12"/>
                <w:color w:val="auto"/>
              </w:rPr>
            </w:pPr>
          </w:p>
        </w:tc>
        <w:tc>
          <w:tcPr>
            <w:tcW w:w="840" w:type="dxa"/>
            <w:vAlign w:val="bottom"/>
            <w:tcBorders>
              <w:top w:val="single" w:sz="8" w:color="F0FFFF"/>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102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8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Interest-bearing liabilities:</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NOW</w:t>
            </w:r>
          </w:p>
        </w:tc>
        <w:tc>
          <w:tcPr>
            <w:tcW w:w="28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1,744,473</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12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1,491,801</w:t>
            </w: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22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1,997,165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1,347</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1,737,740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2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537,447</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2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386,254</w:t>
            </w: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Time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1,375,706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1,277,829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4"/>
                <w:szCs w:val="14"/>
                <w:color w:val="auto"/>
              </w:rPr>
              <w:t>Brokered time deposits</w:t>
            </w:r>
          </w:p>
        </w:tc>
        <w:tc>
          <w:tcPr>
            <w:tcW w:w="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162,255</w:t>
            </w: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(166)</w:t>
            </w:r>
          </w:p>
        </w:tc>
        <w:tc>
          <w:tcPr>
            <w:tcW w:w="124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268,716</w:t>
            </w:r>
          </w:p>
        </w:tc>
        <w:tc>
          <w:tcPr>
            <w:tcW w:w="16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(325)</w:t>
            </w:r>
          </w:p>
        </w:tc>
        <w:tc>
          <w:tcPr>
            <w:tcW w:w="1140" w:type="dxa"/>
            <w:vAlign w:val="bottom"/>
            <w:gridSpan w:val="3"/>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tcBorders>
              <w:top w:val="single" w:sz="8" w:color="F0FFFF"/>
              <w:bottom w:val="single" w:sz="8" w:color="F0FFFF"/>
            </w:tcBorders>
          </w:tcPr>
          <w:p>
            <w:pPr>
              <w:ind w:left="480"/>
              <w:spacing w:after="0" w:line="136" w:lineRule="exact"/>
              <w:rPr>
                <w:sz w:val="20"/>
                <w:szCs w:val="20"/>
                <w:color w:val="auto"/>
              </w:rPr>
            </w:pPr>
            <w:r>
              <w:rPr>
                <w:rFonts w:ascii="Times New Roman" w:cs="Times New Roman" w:eastAsia="Times New Roman" w:hAnsi="Times New Roman"/>
                <w:sz w:val="14"/>
                <w:szCs w:val="14"/>
                <w:color w:val="auto"/>
              </w:rPr>
              <w:t>Total interest-bearing deposits</w:t>
            </w:r>
          </w:p>
        </w:tc>
        <w:tc>
          <w:tcPr>
            <w:tcW w:w="120" w:type="dxa"/>
            <w:vAlign w:val="bottom"/>
            <w:tcBorders>
              <w:top w:val="single" w:sz="8" w:color="F0FFFF"/>
              <w:bottom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5,817,046</w:t>
            </w:r>
          </w:p>
        </w:tc>
        <w:tc>
          <w:tcPr>
            <w:tcW w:w="140" w:type="dxa"/>
            <w:vAlign w:val="bottom"/>
            <w:tcBorders>
              <w:top w:val="single" w:sz="8" w:color="F0FFFF"/>
              <w:bottom w:val="single" w:sz="8" w:color="F0FFFF"/>
            </w:tcBorders>
          </w:tcPr>
          <w:p>
            <w:pPr>
              <w:spacing w:after="0"/>
              <w:rPr>
                <w:sz w:val="12"/>
                <w:szCs w:val="12"/>
                <w:color w:val="auto"/>
              </w:rPr>
            </w:pPr>
          </w:p>
        </w:tc>
        <w:tc>
          <w:tcPr>
            <w:tcW w:w="100" w:type="dxa"/>
            <w:vAlign w:val="bottom"/>
            <w:tcBorders>
              <w:top w:val="single" w:sz="8" w:color="F0FFFF"/>
              <w:bottom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2,509</w:t>
            </w:r>
          </w:p>
        </w:tc>
        <w:tc>
          <w:tcPr>
            <w:tcW w:w="240" w:type="dxa"/>
            <w:vAlign w:val="bottom"/>
            <w:tcBorders>
              <w:top w:val="single" w:sz="8" w:color="F0FFFF"/>
              <w:bottom w:val="single" w:sz="8" w:color="F0FFFF"/>
            </w:tcBorders>
          </w:tcPr>
          <w:p>
            <w:pPr>
              <w:spacing w:after="0"/>
              <w:rPr>
                <w:sz w:val="12"/>
                <w:szCs w:val="12"/>
                <w:color w:val="auto"/>
              </w:rPr>
            </w:pPr>
          </w:p>
        </w:tc>
        <w:tc>
          <w:tcPr>
            <w:tcW w:w="1240" w:type="dxa"/>
            <w:vAlign w:val="bottom"/>
            <w:tcBorders>
              <w:top w:val="single" w:sz="8" w:color="F0FFFF"/>
              <w:bottom w:val="single" w:sz="8" w:color="F0FFFF"/>
            </w:tcBorders>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5,162,340</w:t>
            </w:r>
          </w:p>
        </w:tc>
        <w:tc>
          <w:tcPr>
            <w:tcW w:w="220" w:type="dxa"/>
            <w:vAlign w:val="bottom"/>
            <w:tcBorders>
              <w:top w:val="single" w:sz="8" w:color="F0FFFF"/>
              <w:bottom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2,173</w:t>
            </w:r>
          </w:p>
        </w:tc>
        <w:tc>
          <w:tcPr>
            <w:tcW w:w="220" w:type="dxa"/>
            <w:vAlign w:val="bottom"/>
            <w:tcBorders>
              <w:top w:val="single" w:sz="8" w:color="F0FFFF"/>
              <w:bottom w:val="single" w:sz="8" w:color="F0FFFF"/>
            </w:tcBorders>
          </w:tcPr>
          <w:p>
            <w:pPr>
              <w:spacing w:after="0"/>
              <w:rPr>
                <w:sz w:val="12"/>
                <w:szCs w:val="12"/>
                <w:color w:val="auto"/>
              </w:rPr>
            </w:pPr>
          </w:p>
        </w:tc>
        <w:tc>
          <w:tcPr>
            <w:tcW w:w="1040" w:type="dxa"/>
            <w:vAlign w:val="bottom"/>
            <w:tcBorders>
              <w:top w:val="single" w:sz="8" w:color="F0FFFF"/>
              <w:bottom w:val="single" w:sz="8" w:color="F0FFFF"/>
            </w:tcBorders>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F0FFFF"/>
              <w:bottom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Federal funds purchased and other borrowings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42,234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72,909</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Federal Home Loan Bank advances</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583,312</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12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281,429</w:t>
            </w: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22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Long-term debt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177,333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2,828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6.34</w:t>
            </w: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152,105</w:t>
            </w:r>
          </w:p>
        </w:tc>
        <w:tc>
          <w:tcPr>
            <w:tcW w:w="1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2,669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Borders>
              <w:top w:val="single" w:sz="8" w:color="F0FFFF"/>
              <w:bottom w:val="single" w:sz="8" w:color="F0FFFF"/>
            </w:tcBorders>
            <w:shd w:val="clear" w:color="auto" w:fill="F0FFFF"/>
          </w:tcPr>
          <w:p>
            <w:pPr>
              <w:ind w:left="480"/>
              <w:spacing w:after="0" w:line="149" w:lineRule="exact"/>
              <w:rPr>
                <w:sz w:val="20"/>
                <w:szCs w:val="20"/>
                <w:color w:val="auto"/>
              </w:rPr>
            </w:pPr>
            <w:r>
              <w:rPr>
                <w:rFonts w:ascii="Times New Roman" w:cs="Times New Roman" w:eastAsia="Times New Roman" w:hAnsi="Times New Roman"/>
                <w:sz w:val="14"/>
                <w:szCs w:val="14"/>
                <w:color w:val="auto"/>
              </w:rPr>
              <w:t>Total borrowed funds</w:t>
            </w:r>
          </w:p>
        </w:tc>
        <w:tc>
          <w:tcPr>
            <w:tcW w:w="120" w:type="dxa"/>
            <w:vAlign w:val="bottom"/>
            <w:tcBorders>
              <w:top w:val="single" w:sz="8" w:color="F0FFFF"/>
              <w:bottom w:val="single" w:sz="8" w:color="F0FFFF"/>
            </w:tcBorders>
            <w:shd w:val="clear" w:color="auto" w:fill="F0FFFF"/>
          </w:tcPr>
          <w:p>
            <w:pPr>
              <w:spacing w:after="0"/>
              <w:rPr>
                <w:sz w:val="13"/>
                <w:szCs w:val="13"/>
                <w:color w:val="auto"/>
              </w:rPr>
            </w:pPr>
          </w:p>
        </w:tc>
        <w:tc>
          <w:tcPr>
            <w:tcW w:w="160" w:type="dxa"/>
            <w:vAlign w:val="bottom"/>
            <w:tcBorders>
              <w:top w:val="single" w:sz="8" w:color="auto"/>
              <w:bottom w:val="single" w:sz="8" w:color="auto"/>
            </w:tcBorders>
            <w:shd w:val="clear" w:color="auto" w:fill="F0FFFF"/>
          </w:tcPr>
          <w:p>
            <w:pPr>
              <w:spacing w:after="0"/>
              <w:rPr>
                <w:sz w:val="13"/>
                <w:szCs w:val="13"/>
                <w:color w:val="auto"/>
              </w:rPr>
            </w:pPr>
          </w:p>
        </w:tc>
        <w:tc>
          <w:tcPr>
            <w:tcW w:w="88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802,879</w:t>
            </w:r>
          </w:p>
        </w:tc>
        <w:tc>
          <w:tcPr>
            <w:tcW w:w="140" w:type="dxa"/>
            <w:vAlign w:val="bottom"/>
            <w:tcBorders>
              <w:top w:val="single" w:sz="8" w:color="F0FFFF"/>
              <w:bottom w:val="single" w:sz="8" w:color="F0FFFF"/>
            </w:tcBorders>
            <w:shd w:val="clear" w:color="auto" w:fill="F0FFFF"/>
          </w:tcPr>
          <w:p>
            <w:pPr>
              <w:spacing w:after="0"/>
              <w:rPr>
                <w:sz w:val="13"/>
                <w:szCs w:val="13"/>
                <w:color w:val="auto"/>
              </w:rPr>
            </w:pPr>
          </w:p>
        </w:tc>
        <w:tc>
          <w:tcPr>
            <w:tcW w:w="100" w:type="dxa"/>
            <w:vAlign w:val="bottom"/>
            <w:tcBorders>
              <w:top w:val="single" w:sz="8" w:color="F0FFFF"/>
              <w:bottom w:val="single" w:sz="8" w:color="F0FFFF"/>
            </w:tcBorders>
            <w:shd w:val="clear" w:color="auto" w:fill="F0FFFF"/>
          </w:tcPr>
          <w:p>
            <w:pPr>
              <w:spacing w:after="0"/>
              <w:rPr>
                <w:sz w:val="13"/>
                <w:szCs w:val="13"/>
                <w:color w:val="auto"/>
              </w:rPr>
            </w:pPr>
          </w:p>
        </w:tc>
        <w:tc>
          <w:tcPr>
            <w:tcW w:w="180" w:type="dxa"/>
            <w:vAlign w:val="bottom"/>
            <w:tcBorders>
              <w:top w:val="single" w:sz="8" w:color="auto"/>
              <w:bottom w:val="single" w:sz="8" w:color="auto"/>
            </w:tcBorders>
            <w:shd w:val="clear" w:color="auto" w:fill="F0FFFF"/>
          </w:tcPr>
          <w:p>
            <w:pPr>
              <w:spacing w:after="0"/>
              <w:rPr>
                <w:sz w:val="13"/>
                <w:szCs w:val="13"/>
                <w:color w:val="auto"/>
              </w:rPr>
            </w:pPr>
          </w:p>
        </w:tc>
        <w:tc>
          <w:tcPr>
            <w:tcW w:w="8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3,941</w:t>
            </w:r>
          </w:p>
        </w:tc>
        <w:tc>
          <w:tcPr>
            <w:tcW w:w="240" w:type="dxa"/>
            <w:vAlign w:val="bottom"/>
            <w:tcBorders>
              <w:top w:val="single" w:sz="8" w:color="F0FFFF"/>
              <w:bottom w:val="single" w:sz="8" w:color="F0FFFF"/>
            </w:tcBorders>
            <w:shd w:val="clear" w:color="auto" w:fill="F0FFFF"/>
          </w:tcPr>
          <w:p>
            <w:pPr>
              <w:spacing w:after="0"/>
              <w:rPr>
                <w:sz w:val="13"/>
                <w:szCs w:val="13"/>
                <w:color w:val="auto"/>
              </w:rPr>
            </w:pPr>
          </w:p>
        </w:tc>
        <w:tc>
          <w:tcPr>
            <w:tcW w:w="1240" w:type="dxa"/>
            <w:vAlign w:val="bottom"/>
            <w:tcBorders>
              <w:top w:val="single" w:sz="8" w:color="F0FFFF"/>
              <w:bottom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80" w:type="dxa"/>
            <w:vAlign w:val="bottom"/>
            <w:tcBorders>
              <w:top w:val="single" w:sz="8" w:color="auto"/>
              <w:bottom w:val="single" w:sz="8" w:color="auto"/>
            </w:tcBorders>
            <w:shd w:val="clear" w:color="auto" w:fill="F0FFFF"/>
          </w:tcPr>
          <w:p>
            <w:pPr>
              <w:spacing w:after="0"/>
              <w:rPr>
                <w:sz w:val="13"/>
                <w:szCs w:val="13"/>
                <w:color w:val="auto"/>
              </w:rPr>
            </w:pPr>
          </w:p>
        </w:tc>
        <w:tc>
          <w:tcPr>
            <w:tcW w:w="8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506,443</w:t>
            </w: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160" w:type="dxa"/>
            <w:vAlign w:val="bottom"/>
            <w:tcBorders>
              <w:top w:val="single" w:sz="8" w:color="auto"/>
              <w:bottom w:val="single" w:sz="8" w:color="auto"/>
            </w:tcBorders>
            <w:shd w:val="clear" w:color="auto" w:fill="F0FFFF"/>
          </w:tcPr>
          <w:p>
            <w:pPr>
              <w:spacing w:after="0"/>
              <w:rPr>
                <w:sz w:val="13"/>
                <w:szCs w:val="13"/>
                <w:color w:val="auto"/>
              </w:rPr>
            </w:pPr>
          </w:p>
        </w:tc>
        <w:tc>
          <w:tcPr>
            <w:tcW w:w="8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3,229</w:t>
            </w: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1040" w:type="dxa"/>
            <w:vAlign w:val="bottom"/>
            <w:tcBorders>
              <w:top w:val="single" w:sz="8" w:color="F0FFFF"/>
              <w:bottom w:val="single" w:sz="8" w:color="F0FFFF"/>
            </w:tcBorders>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top w:val="single" w:sz="8" w:color="F0FFFF"/>
              <w:bottom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shd w:val="clear" w:color="auto" w:fill="F0FFFF"/>
          </w:tcPr>
          <w:p>
            <w:pPr>
              <w:ind w:left="480"/>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6,619,925</w:t>
            </w: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6,450</w:t>
            </w: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shd w:val="clear" w:color="auto" w:fill="F0FFFF"/>
          </w:tcPr>
          <w:p>
            <w:pPr>
              <w:spacing w:after="0"/>
              <w:rPr>
                <w:sz w:val="15"/>
                <w:szCs w:val="15"/>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5,668,783</w:t>
            </w:r>
          </w:p>
        </w:tc>
        <w:tc>
          <w:tcPr>
            <w:tcW w:w="2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5,402</w:t>
            </w: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80" w:type="dxa"/>
            <w:vAlign w:val="bottom"/>
            <w:tcBorders>
              <w:top w:val="single" w:sz="8" w:color="F0FFFF"/>
            </w:tcBorders>
          </w:tcPr>
          <w:p>
            <w:pPr>
              <w:spacing w:after="0" w:line="136" w:lineRule="exact"/>
              <w:rPr>
                <w:sz w:val="20"/>
                <w:szCs w:val="20"/>
                <w:color w:val="auto"/>
              </w:rPr>
            </w:pPr>
            <w:r>
              <w:rPr>
                <w:rFonts w:ascii="Times New Roman" w:cs="Times New Roman" w:eastAsia="Times New Roman" w:hAnsi="Times New Roman"/>
                <w:sz w:val="14"/>
                <w:szCs w:val="14"/>
                <w:color w:val="auto"/>
              </w:rPr>
              <w:t>Non-interest-bearing liabilities:</w:t>
            </w:r>
          </w:p>
        </w:tc>
        <w:tc>
          <w:tcPr>
            <w:tcW w:w="120" w:type="dxa"/>
            <w:vAlign w:val="bottom"/>
            <w:tcBorders>
              <w:top w:val="single" w:sz="8" w:color="F0FFFF"/>
            </w:tcBorders>
          </w:tcPr>
          <w:p>
            <w:pPr>
              <w:spacing w:after="0"/>
              <w:rPr>
                <w:sz w:val="11"/>
                <w:szCs w:val="11"/>
                <w:color w:val="auto"/>
              </w:rPr>
            </w:pPr>
          </w:p>
        </w:tc>
        <w:tc>
          <w:tcPr>
            <w:tcW w:w="160" w:type="dxa"/>
            <w:vAlign w:val="bottom"/>
            <w:tcBorders>
              <w:top w:val="single" w:sz="8" w:color="F0FFFF"/>
            </w:tcBorders>
          </w:tcPr>
          <w:p>
            <w:pPr>
              <w:spacing w:after="0"/>
              <w:rPr>
                <w:sz w:val="11"/>
                <w:szCs w:val="11"/>
                <w:color w:val="auto"/>
              </w:rPr>
            </w:pPr>
          </w:p>
        </w:tc>
        <w:tc>
          <w:tcPr>
            <w:tcW w:w="880" w:type="dxa"/>
            <w:vAlign w:val="bottom"/>
            <w:tcBorders>
              <w:top w:val="single" w:sz="8" w:color="F0FFFF"/>
            </w:tcBorders>
          </w:tcPr>
          <w:p>
            <w:pPr>
              <w:spacing w:after="0"/>
              <w:rPr>
                <w:sz w:val="11"/>
                <w:szCs w:val="11"/>
                <w:color w:val="auto"/>
              </w:rPr>
            </w:pPr>
          </w:p>
        </w:tc>
        <w:tc>
          <w:tcPr>
            <w:tcW w:w="14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Borders>
              <w:top w:val="single" w:sz="8" w:color="F0FFFF"/>
            </w:tcBorders>
          </w:tcPr>
          <w:p>
            <w:pPr>
              <w:spacing w:after="0"/>
              <w:rPr>
                <w:sz w:val="11"/>
                <w:szCs w:val="11"/>
                <w:color w:val="auto"/>
              </w:rPr>
            </w:pPr>
          </w:p>
        </w:tc>
        <w:tc>
          <w:tcPr>
            <w:tcW w:w="1020" w:type="dxa"/>
            <w:vAlign w:val="bottom"/>
            <w:tcBorders>
              <w:top w:val="single" w:sz="8" w:color="F0FFFF"/>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180" w:type="dxa"/>
            <w:vAlign w:val="bottom"/>
            <w:tcBorders>
              <w:top w:val="single" w:sz="8" w:color="F0FFFF"/>
            </w:tcBorders>
          </w:tcPr>
          <w:p>
            <w:pPr>
              <w:spacing w:after="0"/>
              <w:rPr>
                <w:sz w:val="11"/>
                <w:szCs w:val="11"/>
                <w:color w:val="auto"/>
              </w:rPr>
            </w:pPr>
          </w:p>
        </w:tc>
        <w:tc>
          <w:tcPr>
            <w:tcW w:w="840" w:type="dxa"/>
            <w:vAlign w:val="bottom"/>
            <w:tcBorders>
              <w:top w:val="single" w:sz="8" w:color="F0FFFF"/>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102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2,490,019</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1,972,291</w:t>
            </w: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103,859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95,342</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top w:val="single" w:sz="8" w:color="F0FFFF"/>
            </w:tcBorders>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9,213,803</w:t>
            </w: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860" w:type="dxa"/>
            <w:vAlign w:val="bottom"/>
            <w:tcBorders>
              <w:top w:val="single" w:sz="8" w:color="F0FFFF"/>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7,736,416</w:t>
            </w: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F0FFFF"/>
            </w:tcBorders>
            <w:shd w:val="clear" w:color="auto" w:fill="F0FFFF"/>
          </w:tcPr>
          <w:p>
            <w:pPr>
              <w:spacing w:after="0"/>
              <w:rPr>
                <w:sz w:val="12"/>
                <w:szCs w:val="12"/>
                <w:color w:val="auto"/>
              </w:rPr>
            </w:pPr>
          </w:p>
        </w:tc>
        <w:tc>
          <w:tcPr>
            <w:tcW w:w="84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1,067,472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897,116</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8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10,281,275</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86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102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8,633,532</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84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020" w:type="dxa"/>
            <w:vAlign w:val="bottom"/>
            <w:tcBorders>
              <w:top w:val="single" w:sz="8" w:color="F0FFFF"/>
              <w:bottom w:val="single" w:sz="8" w:color="F0FFFF"/>
            </w:tcBorders>
            <w:shd w:val="clear" w:color="auto" w:fill="F0FFFF"/>
          </w:tcPr>
          <w:p>
            <w:pPr>
              <w:spacing w:after="0"/>
              <w:rPr>
                <w:sz w:val="15"/>
                <w:szCs w:val="15"/>
                <w:color w:val="auto"/>
              </w:rPr>
            </w:pPr>
          </w:p>
        </w:tc>
        <w:tc>
          <w:tcPr>
            <w:tcW w:w="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Net interest revenue (FTE)</w:t>
            </w:r>
          </w:p>
        </w:tc>
        <w:tc>
          <w:tcPr>
            <w:tcW w:w="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79,234</w:t>
            </w:r>
          </w:p>
        </w:tc>
        <w:tc>
          <w:tcPr>
            <w:tcW w:w="10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65,718</w:t>
            </w:r>
          </w:p>
        </w:tc>
        <w:tc>
          <w:tcPr>
            <w:tcW w:w="102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8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F0FFFF"/>
          </w:tcPr>
          <w:p>
            <w:pPr>
              <w:spacing w:after="0" w:line="20" w:lineRule="exact"/>
              <w:rPr>
                <w:sz w:val="1"/>
                <w:szCs w:val="1"/>
                <w:color w:val="auto"/>
              </w:rPr>
            </w:pPr>
          </w:p>
        </w:tc>
        <w:tc>
          <w:tcPr>
            <w:tcW w:w="840" w:type="dxa"/>
            <w:vAlign w:val="bottom"/>
            <w:tcBorders>
              <w:top w:val="single" w:sz="8" w:color="auto"/>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interest-rate spread (FTE)</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line="190" w:lineRule="exact"/>
              <w:rPr>
                <w:sz w:val="20"/>
                <w:szCs w:val="20"/>
                <w:color w:val="auto"/>
              </w:rPr>
            </w:pPr>
            <w:r>
              <w:rPr>
                <w:rFonts w:ascii="Times New Roman" w:cs="Times New Roman" w:eastAsia="Times New Roman" w:hAnsi="Times New Roman"/>
                <w:sz w:val="12"/>
                <w:szCs w:val="12"/>
                <w:color w:val="auto"/>
              </w:rPr>
              <w:t>3.22</w:t>
            </w:r>
            <w:r>
              <w:rPr>
                <w:rFonts w:ascii="Times New Roman" w:cs="Times New Roman" w:eastAsia="Times New Roman" w:hAnsi="Times New Roman"/>
                <w:sz w:val="21"/>
                <w:szCs w:val="21"/>
                <w:color w:val="auto"/>
                <w:vertAlign w:val="superscript"/>
              </w:rPr>
              <w:t>%</w:t>
            </w: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vMerge w:val="restart"/>
          </w:tcPr>
          <w:p>
            <w:pPr>
              <w:jc w:val="right"/>
              <w:spacing w:after="0" w:line="190" w:lineRule="exact"/>
              <w:rPr>
                <w:sz w:val="20"/>
                <w:szCs w:val="20"/>
                <w:color w:val="auto"/>
              </w:rPr>
            </w:pPr>
            <w:r>
              <w:rPr>
                <w:rFonts w:ascii="Times New Roman" w:cs="Times New Roman" w:eastAsia="Times New Roman" w:hAnsi="Times New Roman"/>
                <w:sz w:val="12"/>
                <w:szCs w:val="12"/>
                <w:color w:val="auto"/>
              </w:rPr>
              <w:t>3.15</w:t>
            </w:r>
            <w:r>
              <w:rPr>
                <w:rFonts w:ascii="Times New Roman" w:cs="Times New Roman" w:eastAsia="Times New Roman" w:hAnsi="Times New Roman"/>
                <w:sz w:val="21"/>
                <w:szCs w:val="21"/>
                <w:color w:val="auto"/>
                <w:vertAlign w:val="superscript"/>
              </w:rPr>
              <w:t>%</w:t>
            </w:r>
          </w:p>
        </w:tc>
        <w:tc>
          <w:tcPr>
            <w:tcW w:w="0" w:type="dxa"/>
            <w:vAlign w:val="bottom"/>
          </w:tcPr>
          <w:p>
            <w:pPr>
              <w:spacing w:after="0" w:line="20" w:lineRule="exact"/>
              <w:rPr>
                <w:sz w:val="1"/>
                <w:szCs w:val="1"/>
                <w:color w:val="auto"/>
              </w:rPr>
            </w:pPr>
          </w:p>
        </w:tc>
      </w:tr>
      <w:tr>
        <w:trPr>
          <w:trHeight w:val="150"/>
        </w:trPr>
        <w:tc>
          <w:tcPr>
            <w:tcW w:w="3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8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80" w:type="dxa"/>
            <w:vAlign w:val="bottom"/>
          </w:tcPr>
          <w:p>
            <w:pPr>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Net interest margin (FTE) </w:t>
            </w:r>
            <w:r>
              <w:rPr>
                <w:rFonts w:ascii="Times New Roman" w:cs="Times New Roman" w:eastAsia="Times New Roman" w:hAnsi="Times New Roman"/>
                <w:sz w:val="18"/>
                <w:szCs w:val="18"/>
                <w:b w:val="1"/>
                <w:bCs w:val="1"/>
                <w:color w:val="auto"/>
                <w:vertAlign w:val="superscript"/>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tcPr>
          <w:p>
            <w:pPr>
              <w:jc w:val="right"/>
              <w:ind w:right="220"/>
              <w:spacing w:after="0" w:line="54" w:lineRule="exact"/>
              <w:rPr>
                <w:sz w:val="20"/>
                <w:szCs w:val="20"/>
                <w:color w:val="auto"/>
              </w:rPr>
            </w:pPr>
            <w:r>
              <w:rPr>
                <w:rFonts w:ascii="Times New Roman" w:cs="Times New Roman" w:eastAsia="Times New Roman" w:hAnsi="Times New Roman"/>
                <w:sz w:val="6"/>
                <w:szCs w:val="6"/>
                <w:color w:val="auto"/>
              </w:rPr>
              <w:t>3.34</w:t>
            </w: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3.26</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Included in the average balance of loans outstanding are loans where the accrual of interest has been discontinued and loans that are held for sale.</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Securities available for sale are shown at amortized cost. Pretax unrealized gains of $30.4 million in 2016 and $8.56 million in 2015 are included in other assets for purposes of this presentation.</w:t>
      </w:r>
    </w:p>
    <w:p>
      <w:pPr>
        <w:ind w:left="340" w:hanging="332"/>
        <w:spacing w:after="0" w:line="180" w:lineRule="auto"/>
        <w:tabs>
          <w:tab w:leader="none" w:pos="3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Table 3 - Average Consolidated Balance Sheets and Net Interest Analysis</w:t>
      </w:r>
    </w:p>
    <w:p>
      <w:pPr>
        <w:spacing w:after="0"/>
        <w:rPr>
          <w:sz w:val="20"/>
          <w:szCs w:val="20"/>
          <w:color w:val="auto"/>
        </w:rPr>
      </w:pPr>
      <w:r>
        <w:rPr>
          <w:rFonts w:ascii="Times New Roman" w:cs="Times New Roman" w:eastAsia="Times New Roman" w:hAnsi="Times New Roman"/>
          <w:sz w:val="14"/>
          <w:szCs w:val="14"/>
          <w:color w:val="auto"/>
        </w:rPr>
        <w:t>For the Nine Months Ended September 30,</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11"/>
              <w:spacing w:after="0" w:line="137" w:lineRule="exact"/>
              <w:rPr>
                <w:sz w:val="20"/>
                <w:szCs w:val="20"/>
                <w:color w:val="auto"/>
              </w:rPr>
            </w:pPr>
            <w:r>
              <w:rPr>
                <w:rFonts w:ascii="Times New Roman" w:cs="Times New Roman" w:eastAsia="Times New Roman" w:hAnsi="Times New Roman"/>
                <w:sz w:val="14"/>
                <w:szCs w:val="14"/>
                <w:b w:val="1"/>
                <w:bCs w:val="1"/>
                <w:color w:val="auto"/>
              </w:rPr>
              <w:t>Avg.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4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ind w:right="311"/>
              <w:spacing w:after="0" w:line="137" w:lineRule="exact"/>
              <w:rPr>
                <w:sz w:val="20"/>
                <w:szCs w:val="20"/>
                <w:color w:val="auto"/>
              </w:rPr>
            </w:pPr>
            <w:r>
              <w:rPr>
                <w:rFonts w:ascii="Times New Roman" w:cs="Times New Roman" w:eastAsia="Times New Roman" w:hAnsi="Times New Roman"/>
                <w:sz w:val="14"/>
                <w:szCs w:val="14"/>
                <w:b w:val="1"/>
                <w:bCs w:val="1"/>
                <w:color w:val="auto"/>
              </w:rPr>
              <w:t>Avg.</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 fully taxable equivalent (FTE))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top w:val="single" w:sz="8" w:color="auto"/>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8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6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auto"/>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Interest-earning assets: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F0FFFF"/>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80" w:type="dxa"/>
            <w:vAlign w:val="bottom"/>
            <w:gridSpan w:val="2"/>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6,277,972</w:t>
            </w:r>
          </w:p>
        </w:tc>
        <w:tc>
          <w:tcPr>
            <w:tcW w:w="280" w:type="dxa"/>
            <w:vAlign w:val="bottom"/>
            <w:gridSpan w:val="2"/>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196,956</w:t>
            </w:r>
          </w:p>
        </w:tc>
        <w:tc>
          <w:tcPr>
            <w:tcW w:w="12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4.19%</w:t>
            </w:r>
          </w:p>
        </w:tc>
        <w:tc>
          <w:tcPr>
            <w:tcW w:w="180" w:type="dxa"/>
            <w:vAlign w:val="bottom"/>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5,069,270</w:t>
            </w:r>
          </w:p>
        </w:tc>
        <w:tc>
          <w:tcPr>
            <w:tcW w:w="220" w:type="dxa"/>
            <w:vAlign w:val="bottom"/>
            <w:shd w:val="clear" w:color="auto" w:fill="F0FFFF"/>
          </w:tcPr>
          <w:p>
            <w:pPr>
              <w:spacing w:after="0"/>
              <w:rPr>
                <w:sz w:val="16"/>
                <w:szCs w:val="16"/>
                <w:color w:val="auto"/>
              </w:rPr>
            </w:pP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160,204</w:t>
            </w:r>
          </w:p>
        </w:tc>
        <w:tc>
          <w:tcPr>
            <w:tcW w:w="1140" w:type="dxa"/>
            <w:vAlign w:val="bottom"/>
            <w:gridSpan w:val="3"/>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Taxable securities </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2,665,272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47,590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2.38</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2,263,907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36,380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F0FFFF"/>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26,415</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735</w:t>
            </w: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3.71</w:t>
            </w: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23,649</w:t>
            </w:r>
          </w:p>
        </w:tc>
        <w:tc>
          <w:tcPr>
            <w:tcW w:w="160" w:type="dxa"/>
            <w:vAlign w:val="bottom"/>
            <w:shd w:val="clear" w:color="auto" w:fill="F0FFFF"/>
          </w:tcPr>
          <w:p>
            <w:pPr>
              <w:spacing w:after="0"/>
              <w:rPr>
                <w:sz w:val="16"/>
                <w:szCs w:val="16"/>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2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Federal funds sold and other interest-earning assets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150,146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2,719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2.41</w:t>
            </w: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154,392</w:t>
            </w:r>
          </w:p>
        </w:tc>
        <w:tc>
          <w:tcPr>
            <w:tcW w:w="1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2,734</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8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6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 interest-earning assets (FTE)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9,119,805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248,000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3.63</w:t>
            </w: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7,511,218</w:t>
            </w:r>
          </w:p>
        </w:tc>
        <w:tc>
          <w:tcPr>
            <w:tcW w:w="1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200,163</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top w:val="single" w:sz="8" w:color="F0FFFF"/>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Non-interest-earning assets:</w:t>
            </w:r>
          </w:p>
        </w:tc>
        <w:tc>
          <w:tcPr>
            <w:tcW w:w="1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8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6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Allowance for loan losses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(66,142)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(71,425)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93,802</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78,948</w:t>
            </w: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Premises and equipment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187,019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169,037</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F0FFFF"/>
          </w:tcPr>
          <w:p>
            <w:pPr>
              <w:ind w:left="160"/>
              <w:spacing w:after="0" w:line="202" w:lineRule="exact"/>
              <w:rPr>
                <w:sz w:val="20"/>
                <w:szCs w:val="20"/>
                <w:color w:val="auto"/>
              </w:rPr>
            </w:pPr>
            <w:r>
              <w:rPr>
                <w:rFonts w:ascii="Times New Roman" w:cs="Times New Roman" w:eastAsia="Times New Roman" w:hAnsi="Times New Roman"/>
                <w:sz w:val="14"/>
                <w:szCs w:val="14"/>
                <w:color w:val="auto"/>
              </w:rPr>
              <w:t xml:space="preserve">Other assets </w:t>
            </w:r>
            <w:r>
              <w:rPr>
                <w:rFonts w:ascii="Times New Roman" w:cs="Times New Roman" w:eastAsia="Times New Roman" w:hAnsi="Times New Roman"/>
                <w:sz w:val="23"/>
                <w:szCs w:val="23"/>
                <w:color w:val="auto"/>
                <w:vertAlign w:val="superscript"/>
              </w:rPr>
              <w:t>(3)</w:t>
            </w:r>
          </w:p>
        </w:tc>
        <w:tc>
          <w:tcPr>
            <w:tcW w:w="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574,870</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86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405,101</w:t>
            </w:r>
          </w:p>
        </w:tc>
        <w:tc>
          <w:tcPr>
            <w:tcW w:w="160" w:type="dxa"/>
            <w:vAlign w:val="bottom"/>
            <w:shd w:val="clear" w:color="auto" w:fill="F0FFFF"/>
          </w:tcPr>
          <w:p>
            <w:pPr>
              <w:spacing w:after="0"/>
              <w:rPr>
                <w:sz w:val="19"/>
                <w:szCs w:val="19"/>
                <w:color w:val="auto"/>
              </w:rPr>
            </w:pPr>
          </w:p>
        </w:tc>
        <w:tc>
          <w:tcPr>
            <w:tcW w:w="8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top w:val="single" w:sz="8" w:color="F0FFFF"/>
            </w:tcBorders>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9,909,354</w:t>
            </w:r>
          </w:p>
        </w:tc>
        <w:tc>
          <w:tcPr>
            <w:tcW w:w="14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80" w:type="dxa"/>
            <w:vAlign w:val="bottom"/>
            <w:tcBorders>
              <w:top w:val="single" w:sz="8" w:color="F0FFFF"/>
            </w:tcBorders>
          </w:tcPr>
          <w:p>
            <w:pPr>
              <w:spacing w:after="0"/>
              <w:rPr>
                <w:sz w:val="12"/>
                <w:szCs w:val="12"/>
                <w:color w:val="auto"/>
              </w:rPr>
            </w:pPr>
          </w:p>
        </w:tc>
        <w:tc>
          <w:tcPr>
            <w:tcW w:w="860" w:type="dxa"/>
            <w:vAlign w:val="bottom"/>
            <w:tcBorders>
              <w:top w:val="single" w:sz="8" w:color="F0FFFF"/>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1020" w:type="dxa"/>
            <w:vAlign w:val="bottom"/>
            <w:tcBorders>
              <w:top w:val="single" w:sz="8" w:color="F0FFFF"/>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8,092,879</w:t>
            </w:r>
          </w:p>
        </w:tc>
        <w:tc>
          <w:tcPr>
            <w:tcW w:w="220" w:type="dxa"/>
            <w:vAlign w:val="bottom"/>
            <w:tcBorders>
              <w:top w:val="single" w:sz="8" w:color="F0FFFF"/>
            </w:tcBorders>
          </w:tcPr>
          <w:p>
            <w:pPr>
              <w:spacing w:after="0"/>
              <w:rPr>
                <w:sz w:val="12"/>
                <w:szCs w:val="12"/>
                <w:color w:val="auto"/>
              </w:rPr>
            </w:pPr>
          </w:p>
        </w:tc>
        <w:tc>
          <w:tcPr>
            <w:tcW w:w="160" w:type="dxa"/>
            <w:vAlign w:val="bottom"/>
            <w:tcBorders>
              <w:top w:val="single" w:sz="8" w:color="F0FFFF"/>
            </w:tcBorders>
          </w:tcPr>
          <w:p>
            <w:pPr>
              <w:spacing w:after="0"/>
              <w:rPr>
                <w:sz w:val="12"/>
                <w:szCs w:val="12"/>
                <w:color w:val="auto"/>
              </w:rPr>
            </w:pPr>
          </w:p>
        </w:tc>
        <w:tc>
          <w:tcPr>
            <w:tcW w:w="840" w:type="dxa"/>
            <w:vAlign w:val="bottom"/>
            <w:tcBorders>
              <w:top w:val="single" w:sz="8" w:color="F0FFFF"/>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102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8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Interest-bearing liabilities:</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NOW</w:t>
            </w:r>
          </w:p>
        </w:tc>
        <w:tc>
          <w:tcPr>
            <w:tcW w:w="28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1,795,372</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1,381</w:t>
            </w:r>
          </w:p>
        </w:tc>
        <w:tc>
          <w:tcPr>
            <w:tcW w:w="12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1,462,344</w:t>
            </w: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04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1,901,903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3,661</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1,605,098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2,460</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505,337</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2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340,878</w:t>
            </w: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2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Time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1,280,503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2,325</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1,253,047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3,816</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shd w:val="clear" w:color="auto" w:fill="F0FFFF"/>
          </w:tcPr>
          <w:p>
            <w:pPr>
              <w:ind w:left="320"/>
              <w:spacing w:after="0"/>
              <w:rPr>
                <w:sz w:val="20"/>
                <w:szCs w:val="20"/>
                <w:color w:val="auto"/>
              </w:rPr>
            </w:pPr>
            <w:r>
              <w:rPr>
                <w:rFonts w:ascii="Times New Roman" w:cs="Times New Roman" w:eastAsia="Times New Roman" w:hAnsi="Times New Roman"/>
                <w:sz w:val="14"/>
                <w:szCs w:val="14"/>
                <w:color w:val="auto"/>
              </w:rPr>
              <w:t>Brokered time deposits</w:t>
            </w:r>
          </w:p>
        </w:tc>
        <w:tc>
          <w:tcPr>
            <w:tcW w:w="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194,199</w:t>
            </w: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(273)</w:t>
            </w:r>
          </w:p>
        </w:tc>
        <w:tc>
          <w:tcPr>
            <w:tcW w:w="124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272,688</w:t>
            </w:r>
          </w:p>
        </w:tc>
        <w:tc>
          <w:tcPr>
            <w:tcW w:w="16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(982)</w:t>
            </w:r>
          </w:p>
        </w:tc>
        <w:tc>
          <w:tcPr>
            <w:tcW w:w="1140" w:type="dxa"/>
            <w:vAlign w:val="bottom"/>
            <w:gridSpan w:val="3"/>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tcBorders>
              <w:top w:val="single" w:sz="8" w:color="F0FFFF"/>
              <w:bottom w:val="single" w:sz="8" w:color="F0FFFF"/>
            </w:tcBorders>
          </w:tcPr>
          <w:p>
            <w:pPr>
              <w:ind w:left="480"/>
              <w:spacing w:after="0" w:line="136" w:lineRule="exact"/>
              <w:rPr>
                <w:sz w:val="20"/>
                <w:szCs w:val="20"/>
                <w:color w:val="auto"/>
              </w:rPr>
            </w:pPr>
            <w:r>
              <w:rPr>
                <w:rFonts w:ascii="Times New Roman" w:cs="Times New Roman" w:eastAsia="Times New Roman" w:hAnsi="Times New Roman"/>
                <w:sz w:val="14"/>
                <w:szCs w:val="14"/>
                <w:color w:val="auto"/>
              </w:rPr>
              <w:t>Total interest-bearing deposits</w:t>
            </w:r>
          </w:p>
        </w:tc>
        <w:tc>
          <w:tcPr>
            <w:tcW w:w="120" w:type="dxa"/>
            <w:vAlign w:val="bottom"/>
            <w:tcBorders>
              <w:top w:val="single" w:sz="8" w:color="F0FFFF"/>
              <w:bottom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5,677,314</w:t>
            </w:r>
          </w:p>
        </w:tc>
        <w:tc>
          <w:tcPr>
            <w:tcW w:w="140" w:type="dxa"/>
            <w:vAlign w:val="bottom"/>
            <w:tcBorders>
              <w:top w:val="single" w:sz="8" w:color="F0FFFF"/>
              <w:bottom w:val="single" w:sz="8" w:color="F0FFFF"/>
            </w:tcBorders>
          </w:tcPr>
          <w:p>
            <w:pPr>
              <w:spacing w:after="0"/>
              <w:rPr>
                <w:sz w:val="12"/>
                <w:szCs w:val="12"/>
                <w:color w:val="auto"/>
              </w:rPr>
            </w:pPr>
          </w:p>
        </w:tc>
        <w:tc>
          <w:tcPr>
            <w:tcW w:w="100" w:type="dxa"/>
            <w:vAlign w:val="bottom"/>
            <w:tcBorders>
              <w:top w:val="single" w:sz="8" w:color="F0FFFF"/>
              <w:bottom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7,196</w:t>
            </w:r>
          </w:p>
        </w:tc>
        <w:tc>
          <w:tcPr>
            <w:tcW w:w="240" w:type="dxa"/>
            <w:vAlign w:val="bottom"/>
            <w:tcBorders>
              <w:top w:val="single" w:sz="8" w:color="F0FFFF"/>
              <w:bottom w:val="single" w:sz="8" w:color="F0FFFF"/>
            </w:tcBorders>
          </w:tcPr>
          <w:p>
            <w:pPr>
              <w:spacing w:after="0"/>
              <w:rPr>
                <w:sz w:val="12"/>
                <w:szCs w:val="12"/>
                <w:color w:val="auto"/>
              </w:rPr>
            </w:pPr>
          </w:p>
        </w:tc>
        <w:tc>
          <w:tcPr>
            <w:tcW w:w="1240" w:type="dxa"/>
            <w:vAlign w:val="bottom"/>
            <w:tcBorders>
              <w:top w:val="single" w:sz="8" w:color="F0FFFF"/>
              <w:bottom w:val="single" w:sz="8" w:color="F0FFFF"/>
            </w:tcBorders>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4,934,055</w:t>
            </w:r>
          </w:p>
        </w:tc>
        <w:tc>
          <w:tcPr>
            <w:tcW w:w="220" w:type="dxa"/>
            <w:vAlign w:val="bottom"/>
            <w:tcBorders>
              <w:top w:val="single" w:sz="8" w:color="F0FFFF"/>
              <w:bottom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6,444</w:t>
            </w:r>
          </w:p>
        </w:tc>
        <w:tc>
          <w:tcPr>
            <w:tcW w:w="220" w:type="dxa"/>
            <w:vAlign w:val="bottom"/>
            <w:tcBorders>
              <w:top w:val="single" w:sz="8" w:color="F0FFFF"/>
              <w:bottom w:val="single" w:sz="8" w:color="F0FFFF"/>
            </w:tcBorders>
          </w:tcPr>
          <w:p>
            <w:pPr>
              <w:spacing w:after="0"/>
              <w:rPr>
                <w:sz w:val="12"/>
                <w:szCs w:val="12"/>
                <w:color w:val="auto"/>
              </w:rPr>
            </w:pPr>
          </w:p>
        </w:tc>
        <w:tc>
          <w:tcPr>
            <w:tcW w:w="1040" w:type="dxa"/>
            <w:vAlign w:val="bottom"/>
            <w:tcBorders>
              <w:top w:val="single" w:sz="8" w:color="F0FFFF"/>
              <w:bottom w:val="single" w:sz="8" w:color="F0FFFF"/>
            </w:tcBorders>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F0FFFF"/>
              <w:bottom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Federal funds purchased and other borrowings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29,427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52,385</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2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Federal Home Loan Bank advances</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506,524</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2,731</w:t>
            </w:r>
          </w:p>
        </w:tc>
        <w:tc>
          <w:tcPr>
            <w:tcW w:w="124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270,260</w:t>
            </w:r>
          </w:p>
        </w:tc>
        <w:tc>
          <w:tcPr>
            <w:tcW w:w="16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1,307</w:t>
            </w:r>
          </w:p>
        </w:tc>
        <w:tc>
          <w:tcPr>
            <w:tcW w:w="104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Long-term debt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168,955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8,178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6.47</w:t>
            </w: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131,338</w:t>
            </w:r>
          </w:p>
        </w:tc>
        <w:tc>
          <w:tcPr>
            <w:tcW w:w="1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7,481</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Borders>
              <w:top w:val="single" w:sz="8" w:color="F0FFFF"/>
              <w:bottom w:val="single" w:sz="8" w:color="F0FFFF"/>
            </w:tcBorders>
            <w:shd w:val="clear" w:color="auto" w:fill="F0FFFF"/>
          </w:tcPr>
          <w:p>
            <w:pPr>
              <w:ind w:left="480"/>
              <w:spacing w:after="0" w:line="149" w:lineRule="exact"/>
              <w:rPr>
                <w:sz w:val="20"/>
                <w:szCs w:val="20"/>
                <w:color w:val="auto"/>
              </w:rPr>
            </w:pPr>
            <w:r>
              <w:rPr>
                <w:rFonts w:ascii="Times New Roman" w:cs="Times New Roman" w:eastAsia="Times New Roman" w:hAnsi="Times New Roman"/>
                <w:sz w:val="14"/>
                <w:szCs w:val="14"/>
                <w:color w:val="auto"/>
              </w:rPr>
              <w:t>Total borrowed funds</w:t>
            </w:r>
          </w:p>
        </w:tc>
        <w:tc>
          <w:tcPr>
            <w:tcW w:w="120" w:type="dxa"/>
            <w:vAlign w:val="bottom"/>
            <w:tcBorders>
              <w:top w:val="single" w:sz="8" w:color="F0FFFF"/>
              <w:bottom w:val="single" w:sz="8" w:color="F0FFFF"/>
            </w:tcBorders>
            <w:shd w:val="clear" w:color="auto" w:fill="F0FFFF"/>
          </w:tcPr>
          <w:p>
            <w:pPr>
              <w:spacing w:after="0"/>
              <w:rPr>
                <w:sz w:val="13"/>
                <w:szCs w:val="13"/>
                <w:color w:val="auto"/>
              </w:rPr>
            </w:pPr>
          </w:p>
        </w:tc>
        <w:tc>
          <w:tcPr>
            <w:tcW w:w="160" w:type="dxa"/>
            <w:vAlign w:val="bottom"/>
            <w:tcBorders>
              <w:top w:val="single" w:sz="8" w:color="auto"/>
              <w:bottom w:val="single" w:sz="8" w:color="auto"/>
            </w:tcBorders>
            <w:shd w:val="clear" w:color="auto" w:fill="F0FFFF"/>
          </w:tcPr>
          <w:p>
            <w:pPr>
              <w:spacing w:after="0"/>
              <w:rPr>
                <w:sz w:val="13"/>
                <w:szCs w:val="13"/>
                <w:color w:val="auto"/>
              </w:rPr>
            </w:pPr>
          </w:p>
        </w:tc>
        <w:tc>
          <w:tcPr>
            <w:tcW w:w="88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704,906</w:t>
            </w:r>
          </w:p>
        </w:tc>
        <w:tc>
          <w:tcPr>
            <w:tcW w:w="140" w:type="dxa"/>
            <w:vAlign w:val="bottom"/>
            <w:tcBorders>
              <w:top w:val="single" w:sz="8" w:color="F0FFFF"/>
              <w:bottom w:val="single" w:sz="8" w:color="F0FFFF"/>
            </w:tcBorders>
            <w:shd w:val="clear" w:color="auto" w:fill="F0FFFF"/>
          </w:tcPr>
          <w:p>
            <w:pPr>
              <w:spacing w:after="0"/>
              <w:rPr>
                <w:sz w:val="13"/>
                <w:szCs w:val="13"/>
                <w:color w:val="auto"/>
              </w:rPr>
            </w:pPr>
          </w:p>
        </w:tc>
        <w:tc>
          <w:tcPr>
            <w:tcW w:w="100" w:type="dxa"/>
            <w:vAlign w:val="bottom"/>
            <w:tcBorders>
              <w:top w:val="single" w:sz="8" w:color="F0FFFF"/>
              <w:bottom w:val="single" w:sz="8" w:color="F0FFFF"/>
            </w:tcBorders>
            <w:shd w:val="clear" w:color="auto" w:fill="F0FFFF"/>
          </w:tcPr>
          <w:p>
            <w:pPr>
              <w:spacing w:after="0"/>
              <w:rPr>
                <w:sz w:val="13"/>
                <w:szCs w:val="13"/>
                <w:color w:val="auto"/>
              </w:rPr>
            </w:pPr>
          </w:p>
        </w:tc>
        <w:tc>
          <w:tcPr>
            <w:tcW w:w="180" w:type="dxa"/>
            <w:vAlign w:val="bottom"/>
            <w:tcBorders>
              <w:top w:val="single" w:sz="8" w:color="auto"/>
              <w:bottom w:val="single" w:sz="8" w:color="auto"/>
            </w:tcBorders>
            <w:shd w:val="clear" w:color="auto" w:fill="F0FFFF"/>
          </w:tcPr>
          <w:p>
            <w:pPr>
              <w:spacing w:after="0"/>
              <w:rPr>
                <w:sz w:val="13"/>
                <w:szCs w:val="13"/>
                <w:color w:val="auto"/>
              </w:rPr>
            </w:pPr>
          </w:p>
        </w:tc>
        <w:tc>
          <w:tcPr>
            <w:tcW w:w="8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11,187</w:t>
            </w:r>
          </w:p>
        </w:tc>
        <w:tc>
          <w:tcPr>
            <w:tcW w:w="240" w:type="dxa"/>
            <w:vAlign w:val="bottom"/>
            <w:tcBorders>
              <w:top w:val="single" w:sz="8" w:color="F0FFFF"/>
              <w:bottom w:val="single" w:sz="8" w:color="F0FFFF"/>
            </w:tcBorders>
            <w:shd w:val="clear" w:color="auto" w:fill="F0FFFF"/>
          </w:tcPr>
          <w:p>
            <w:pPr>
              <w:spacing w:after="0"/>
              <w:rPr>
                <w:sz w:val="13"/>
                <w:szCs w:val="13"/>
                <w:color w:val="auto"/>
              </w:rPr>
            </w:pPr>
          </w:p>
        </w:tc>
        <w:tc>
          <w:tcPr>
            <w:tcW w:w="1240" w:type="dxa"/>
            <w:vAlign w:val="bottom"/>
            <w:tcBorders>
              <w:top w:val="single" w:sz="8" w:color="F0FFFF"/>
              <w:bottom w:val="single" w:sz="8" w:color="F0FFFF"/>
            </w:tcBorders>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180" w:type="dxa"/>
            <w:vAlign w:val="bottom"/>
            <w:tcBorders>
              <w:top w:val="single" w:sz="8" w:color="auto"/>
              <w:bottom w:val="single" w:sz="8" w:color="auto"/>
            </w:tcBorders>
            <w:shd w:val="clear" w:color="auto" w:fill="F0FFFF"/>
          </w:tcPr>
          <w:p>
            <w:pPr>
              <w:spacing w:after="0"/>
              <w:rPr>
                <w:sz w:val="13"/>
                <w:szCs w:val="13"/>
                <w:color w:val="auto"/>
              </w:rPr>
            </w:pPr>
          </w:p>
        </w:tc>
        <w:tc>
          <w:tcPr>
            <w:tcW w:w="8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453,983</w:t>
            </w: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160" w:type="dxa"/>
            <w:vAlign w:val="bottom"/>
            <w:tcBorders>
              <w:top w:val="single" w:sz="8" w:color="auto"/>
              <w:bottom w:val="single" w:sz="8" w:color="auto"/>
            </w:tcBorders>
            <w:shd w:val="clear" w:color="auto" w:fill="F0FFFF"/>
          </w:tcPr>
          <w:p>
            <w:pPr>
              <w:spacing w:after="0"/>
              <w:rPr>
                <w:sz w:val="13"/>
                <w:szCs w:val="13"/>
                <w:color w:val="auto"/>
              </w:rPr>
            </w:pPr>
          </w:p>
        </w:tc>
        <w:tc>
          <w:tcPr>
            <w:tcW w:w="8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9,067</w:t>
            </w: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1040" w:type="dxa"/>
            <w:vAlign w:val="bottom"/>
            <w:tcBorders>
              <w:top w:val="single" w:sz="8" w:color="F0FFFF"/>
              <w:bottom w:val="single" w:sz="8" w:color="F0FFFF"/>
            </w:tcBorders>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top w:val="single" w:sz="8" w:color="F0FFFF"/>
              <w:bottom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shd w:val="clear" w:color="auto" w:fill="F0FFFF"/>
          </w:tcPr>
          <w:p>
            <w:pPr>
              <w:ind w:left="480"/>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6,382,220</w:t>
            </w: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18,383</w:t>
            </w:r>
          </w:p>
        </w:tc>
        <w:tc>
          <w:tcPr>
            <w:tcW w:w="12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shd w:val="clear" w:color="auto" w:fill="F0FFFF"/>
          </w:tcPr>
          <w:p>
            <w:pPr>
              <w:spacing w:after="0"/>
              <w:rPr>
                <w:sz w:val="15"/>
                <w:szCs w:val="15"/>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5,388,038</w:t>
            </w:r>
          </w:p>
        </w:tc>
        <w:tc>
          <w:tcPr>
            <w:tcW w:w="2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15,511</w:t>
            </w:r>
          </w:p>
        </w:tc>
        <w:tc>
          <w:tcPr>
            <w:tcW w:w="22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80" w:type="dxa"/>
            <w:vAlign w:val="bottom"/>
            <w:tcBorders>
              <w:top w:val="single" w:sz="8" w:color="F0FFFF"/>
            </w:tcBorders>
          </w:tcPr>
          <w:p>
            <w:pPr>
              <w:spacing w:after="0" w:line="136" w:lineRule="exact"/>
              <w:rPr>
                <w:sz w:val="20"/>
                <w:szCs w:val="20"/>
                <w:color w:val="auto"/>
              </w:rPr>
            </w:pPr>
            <w:r>
              <w:rPr>
                <w:rFonts w:ascii="Times New Roman" w:cs="Times New Roman" w:eastAsia="Times New Roman" w:hAnsi="Times New Roman"/>
                <w:sz w:val="14"/>
                <w:szCs w:val="14"/>
                <w:color w:val="auto"/>
              </w:rPr>
              <w:t>Non-interest-bearing liabilities:</w:t>
            </w:r>
          </w:p>
        </w:tc>
        <w:tc>
          <w:tcPr>
            <w:tcW w:w="120" w:type="dxa"/>
            <w:vAlign w:val="bottom"/>
            <w:tcBorders>
              <w:top w:val="single" w:sz="8" w:color="F0FFFF"/>
            </w:tcBorders>
          </w:tcPr>
          <w:p>
            <w:pPr>
              <w:spacing w:after="0"/>
              <w:rPr>
                <w:sz w:val="11"/>
                <w:szCs w:val="11"/>
                <w:color w:val="auto"/>
              </w:rPr>
            </w:pPr>
          </w:p>
        </w:tc>
        <w:tc>
          <w:tcPr>
            <w:tcW w:w="160" w:type="dxa"/>
            <w:vAlign w:val="bottom"/>
            <w:tcBorders>
              <w:top w:val="single" w:sz="8" w:color="F0FFFF"/>
            </w:tcBorders>
          </w:tcPr>
          <w:p>
            <w:pPr>
              <w:spacing w:after="0"/>
              <w:rPr>
                <w:sz w:val="11"/>
                <w:szCs w:val="11"/>
                <w:color w:val="auto"/>
              </w:rPr>
            </w:pPr>
          </w:p>
        </w:tc>
        <w:tc>
          <w:tcPr>
            <w:tcW w:w="880" w:type="dxa"/>
            <w:vAlign w:val="bottom"/>
            <w:tcBorders>
              <w:top w:val="single" w:sz="8" w:color="F0FFFF"/>
            </w:tcBorders>
          </w:tcPr>
          <w:p>
            <w:pPr>
              <w:spacing w:after="0"/>
              <w:rPr>
                <w:sz w:val="11"/>
                <w:szCs w:val="11"/>
                <w:color w:val="auto"/>
              </w:rPr>
            </w:pPr>
          </w:p>
        </w:tc>
        <w:tc>
          <w:tcPr>
            <w:tcW w:w="14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Borders>
              <w:top w:val="single" w:sz="8" w:color="F0FFFF"/>
            </w:tcBorders>
          </w:tcPr>
          <w:p>
            <w:pPr>
              <w:spacing w:after="0"/>
              <w:rPr>
                <w:sz w:val="11"/>
                <w:szCs w:val="11"/>
                <w:color w:val="auto"/>
              </w:rPr>
            </w:pPr>
          </w:p>
        </w:tc>
        <w:tc>
          <w:tcPr>
            <w:tcW w:w="1020" w:type="dxa"/>
            <w:vAlign w:val="bottom"/>
            <w:tcBorders>
              <w:top w:val="single" w:sz="8" w:color="F0FFFF"/>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180" w:type="dxa"/>
            <w:vAlign w:val="bottom"/>
            <w:tcBorders>
              <w:top w:val="single" w:sz="8" w:color="F0FFFF"/>
            </w:tcBorders>
          </w:tcPr>
          <w:p>
            <w:pPr>
              <w:spacing w:after="0"/>
              <w:rPr>
                <w:sz w:val="11"/>
                <w:szCs w:val="11"/>
                <w:color w:val="auto"/>
              </w:rPr>
            </w:pPr>
          </w:p>
        </w:tc>
        <w:tc>
          <w:tcPr>
            <w:tcW w:w="840" w:type="dxa"/>
            <w:vAlign w:val="bottom"/>
            <w:tcBorders>
              <w:top w:val="single" w:sz="8" w:color="F0FFFF"/>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102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2,374,076</w:t>
            </w: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1,793,181</w:t>
            </w: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102,421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93,218</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Borders>
              <w:top w:val="single" w:sz="8" w:color="F0FFFF"/>
            </w:tcBorders>
            <w:shd w:val="clear" w:color="auto" w:fill="F0FFFF"/>
          </w:tcPr>
          <w:p>
            <w:pPr>
              <w:ind w:left="48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88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8,858,717</w:t>
            </w: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860" w:type="dxa"/>
            <w:vAlign w:val="bottom"/>
            <w:tcBorders>
              <w:top w:val="single" w:sz="8" w:color="F0FFFF"/>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7,274,437</w:t>
            </w: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F0FFFF"/>
            </w:tcBorders>
            <w:shd w:val="clear" w:color="auto" w:fill="F0FFFF"/>
          </w:tcPr>
          <w:p>
            <w:pPr>
              <w:spacing w:after="0"/>
              <w:rPr>
                <w:sz w:val="12"/>
                <w:szCs w:val="12"/>
                <w:color w:val="auto"/>
              </w:rPr>
            </w:pPr>
          </w:p>
        </w:tc>
        <w:tc>
          <w:tcPr>
            <w:tcW w:w="84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2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1,050,637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818,442</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88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9,909,354</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86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102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8,092,879</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84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020" w:type="dxa"/>
            <w:vAlign w:val="bottom"/>
            <w:tcBorders>
              <w:top w:val="single" w:sz="8" w:color="F0FFFF"/>
              <w:bottom w:val="single" w:sz="8" w:color="F0FFFF"/>
            </w:tcBorders>
            <w:shd w:val="clear" w:color="auto" w:fill="F0FFFF"/>
          </w:tcPr>
          <w:p>
            <w:pPr>
              <w:spacing w:after="0"/>
              <w:rPr>
                <w:sz w:val="15"/>
                <w:szCs w:val="15"/>
                <w:color w:val="auto"/>
              </w:rPr>
            </w:pPr>
          </w:p>
        </w:tc>
        <w:tc>
          <w:tcPr>
            <w:tcW w:w="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b w:val="1"/>
                <w:bCs w:val="1"/>
                <w:color w:val="auto"/>
              </w:rPr>
              <w:t>Net interest revenue (FTE)</w:t>
            </w:r>
          </w:p>
        </w:tc>
        <w:tc>
          <w:tcPr>
            <w:tcW w:w="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229,617</w:t>
            </w:r>
          </w:p>
        </w:tc>
        <w:tc>
          <w:tcPr>
            <w:tcW w:w="10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4"/>
                <w:szCs w:val="14"/>
                <w:color w:val="auto"/>
              </w:rPr>
              <w:t>184,652</w:t>
            </w:r>
          </w:p>
        </w:tc>
        <w:tc>
          <w:tcPr>
            <w:tcW w:w="102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8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F0FFFF"/>
          </w:tcPr>
          <w:p>
            <w:pPr>
              <w:spacing w:after="0" w:line="20" w:lineRule="exact"/>
              <w:rPr>
                <w:sz w:val="1"/>
                <w:szCs w:val="1"/>
                <w:color w:val="auto"/>
              </w:rPr>
            </w:pPr>
          </w:p>
        </w:tc>
        <w:tc>
          <w:tcPr>
            <w:tcW w:w="840" w:type="dxa"/>
            <w:vAlign w:val="bottom"/>
            <w:tcBorders>
              <w:top w:val="single" w:sz="8" w:color="auto"/>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interest-rate spread (FTE)</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line="190" w:lineRule="exact"/>
              <w:rPr>
                <w:sz w:val="20"/>
                <w:szCs w:val="20"/>
                <w:color w:val="auto"/>
              </w:rPr>
            </w:pPr>
            <w:r>
              <w:rPr>
                <w:rFonts w:ascii="Times New Roman" w:cs="Times New Roman" w:eastAsia="Times New Roman" w:hAnsi="Times New Roman"/>
                <w:sz w:val="12"/>
                <w:szCs w:val="12"/>
                <w:color w:val="auto"/>
              </w:rPr>
              <w:t>3.25</w:t>
            </w:r>
            <w:r>
              <w:rPr>
                <w:rFonts w:ascii="Times New Roman" w:cs="Times New Roman" w:eastAsia="Times New Roman" w:hAnsi="Times New Roman"/>
                <w:sz w:val="21"/>
                <w:szCs w:val="21"/>
                <w:color w:val="auto"/>
                <w:vertAlign w:val="superscript"/>
              </w:rPr>
              <w:t>%</w:t>
            </w: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vMerge w:val="restart"/>
          </w:tcPr>
          <w:p>
            <w:pPr>
              <w:jc w:val="right"/>
              <w:spacing w:after="0" w:line="190" w:lineRule="exact"/>
              <w:rPr>
                <w:sz w:val="20"/>
                <w:szCs w:val="20"/>
                <w:color w:val="auto"/>
              </w:rPr>
            </w:pPr>
            <w:r>
              <w:rPr>
                <w:rFonts w:ascii="Times New Roman" w:cs="Times New Roman" w:eastAsia="Times New Roman" w:hAnsi="Times New Roman"/>
                <w:sz w:val="12"/>
                <w:szCs w:val="12"/>
                <w:color w:val="auto"/>
              </w:rPr>
              <w:t>3.18</w:t>
            </w:r>
            <w:r>
              <w:rPr>
                <w:rFonts w:ascii="Times New Roman" w:cs="Times New Roman" w:eastAsia="Times New Roman" w:hAnsi="Times New Roman"/>
                <w:sz w:val="21"/>
                <w:szCs w:val="21"/>
                <w:color w:val="auto"/>
                <w:vertAlign w:val="superscript"/>
              </w:rPr>
              <w:t>%</w:t>
            </w:r>
          </w:p>
        </w:tc>
        <w:tc>
          <w:tcPr>
            <w:tcW w:w="0" w:type="dxa"/>
            <w:vAlign w:val="bottom"/>
          </w:tcPr>
          <w:p>
            <w:pPr>
              <w:spacing w:after="0" w:line="20" w:lineRule="exact"/>
              <w:rPr>
                <w:sz w:val="1"/>
                <w:szCs w:val="1"/>
                <w:color w:val="auto"/>
              </w:rPr>
            </w:pPr>
          </w:p>
        </w:tc>
      </w:tr>
      <w:tr>
        <w:trPr>
          <w:trHeight w:val="150"/>
        </w:trPr>
        <w:tc>
          <w:tcPr>
            <w:tcW w:w="3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8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80" w:type="dxa"/>
            <w:vAlign w:val="bottom"/>
          </w:tcPr>
          <w:p>
            <w:pPr>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Net interest margin (FTE) </w:t>
            </w:r>
            <w:r>
              <w:rPr>
                <w:rFonts w:ascii="Times New Roman" w:cs="Times New Roman" w:eastAsia="Times New Roman" w:hAnsi="Times New Roman"/>
                <w:sz w:val="18"/>
                <w:szCs w:val="18"/>
                <w:b w:val="1"/>
                <w:bCs w:val="1"/>
                <w:color w:val="auto"/>
                <w:vertAlign w:val="superscript"/>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tcPr>
          <w:p>
            <w:pPr>
              <w:jc w:val="right"/>
              <w:ind w:right="220"/>
              <w:spacing w:after="0" w:line="54" w:lineRule="exact"/>
              <w:rPr>
                <w:sz w:val="20"/>
                <w:szCs w:val="20"/>
                <w:color w:val="auto"/>
              </w:rPr>
            </w:pPr>
            <w:r>
              <w:rPr>
                <w:rFonts w:ascii="Times New Roman" w:cs="Times New Roman" w:eastAsia="Times New Roman" w:hAnsi="Times New Roman"/>
                <w:sz w:val="6"/>
                <w:szCs w:val="6"/>
                <w:color w:val="auto"/>
              </w:rPr>
              <w:t>3.36</w:t>
            </w: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3.29</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Included in the average balance of loans outstanding are loans where the accrual of interest has been discontinued and loans that are held for sale.</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Securities available for sale are shown at amortized cost. Pretax unrealized gains of $15.1 million in 2016 and $12.7 million in 2015 are included in other assets for purposes of this presentation.</w:t>
      </w:r>
    </w:p>
    <w:p>
      <w:pPr>
        <w:ind w:left="340" w:hanging="332"/>
        <w:spacing w:after="0" w:line="180" w:lineRule="auto"/>
        <w:tabs>
          <w:tab w:leader="none" w:pos="34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Table 4 - Change in Interest Revenue and Expense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gridSpan w:val="9"/>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2015</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2015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Due to Changes in</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Due to Changes in</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Rate</w:t>
            </w:r>
          </w:p>
        </w:tc>
        <w:tc>
          <w:tcPr>
            <w:tcW w:w="24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Interest-earning assets:</w:t>
            </w:r>
          </w:p>
        </w:tc>
        <w:tc>
          <w:tcPr>
            <w:tcW w:w="200" w:type="dxa"/>
            <w:vAlign w:val="bottom"/>
            <w:tcBorders>
              <w:top w:val="single" w:sz="8" w:color="auto"/>
            </w:tcBorders>
            <w:shd w:val="clear" w:color="auto" w:fill="F0FFFF"/>
          </w:tcPr>
          <w:p>
            <w:pPr>
              <w:spacing w:after="0"/>
              <w:rPr>
                <w:sz w:val="12"/>
                <w:szCs w:val="12"/>
                <w:color w:val="auto"/>
              </w:rPr>
            </w:pPr>
          </w:p>
        </w:tc>
        <w:tc>
          <w:tcPr>
            <w:tcW w:w="96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spacing w:after="0"/>
              <w:rPr>
                <w:sz w:val="12"/>
                <w:szCs w:val="12"/>
                <w:color w:val="auto"/>
              </w:rPr>
            </w:pPr>
          </w:p>
        </w:tc>
        <w:tc>
          <w:tcPr>
            <w:tcW w:w="92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spacing w:after="0"/>
              <w:rPr>
                <w:sz w:val="12"/>
                <w:szCs w:val="12"/>
                <w:color w:val="auto"/>
              </w:rPr>
            </w:pPr>
          </w:p>
        </w:tc>
        <w:tc>
          <w:tcPr>
            <w:tcW w:w="90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200" w:type="dxa"/>
            <w:vAlign w:val="bottom"/>
            <w:tcBorders>
              <w:top w:val="single" w:sz="8" w:color="auto"/>
            </w:tcBorders>
            <w:shd w:val="clear" w:color="auto" w:fill="F0FFFF"/>
          </w:tcPr>
          <w:p>
            <w:pPr>
              <w:spacing w:after="0"/>
              <w:rPr>
                <w:sz w:val="12"/>
                <w:szCs w:val="12"/>
                <w:color w:val="auto"/>
              </w:rPr>
            </w:pPr>
          </w:p>
        </w:tc>
        <w:tc>
          <w:tcPr>
            <w:tcW w:w="94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260" w:type="dxa"/>
            <w:vAlign w:val="bottom"/>
            <w:tcBorders>
              <w:top w:val="single" w:sz="8" w:color="auto"/>
            </w:tcBorders>
            <w:shd w:val="clear" w:color="auto" w:fill="F0FFFF"/>
          </w:tcPr>
          <w:p>
            <w:pPr>
              <w:spacing w:after="0"/>
              <w:rPr>
                <w:sz w:val="12"/>
                <w:szCs w:val="12"/>
                <w:color w:val="auto"/>
              </w:rPr>
            </w:pPr>
          </w:p>
        </w:tc>
        <w:tc>
          <w:tcPr>
            <w:tcW w:w="88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spacing w:after="0"/>
              <w:rPr>
                <w:sz w:val="12"/>
                <w:szCs w:val="12"/>
                <w:color w:val="auto"/>
              </w:rPr>
            </w:pPr>
          </w:p>
        </w:tc>
        <w:tc>
          <w:tcPr>
            <w:tcW w:w="90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Loans (FTE)</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12,674</w:t>
            </w:r>
          </w:p>
        </w:tc>
        <w:tc>
          <w:tcPr>
            <w:tcW w:w="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12,169</w:t>
            </w:r>
          </w:p>
        </w:tc>
        <w:tc>
          <w:tcPr>
            <w:tcW w:w="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37,928</w:t>
            </w:r>
          </w:p>
        </w:tc>
        <w:tc>
          <w:tcPr>
            <w:tcW w:w="3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Taxable securities</w:t>
            </w:r>
          </w:p>
        </w:tc>
        <w:tc>
          <w:tcPr>
            <w:tcW w:w="20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1,235</w:t>
            </w:r>
          </w:p>
        </w:tc>
        <w:tc>
          <w:tcPr>
            <w:tcW w:w="1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140" w:type="dxa"/>
            <w:vAlign w:val="bottom"/>
            <w:gridSpan w:val="2"/>
            <w:shd w:val="clear" w:color="auto" w:fill="F0FF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1,425</w:t>
            </w:r>
          </w:p>
        </w:tc>
        <w:tc>
          <w:tcPr>
            <w:tcW w:w="24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2,660</w:t>
            </w: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6,890</w:t>
            </w: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4,320</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Tax-exempt securities (FTE)</w:t>
            </w: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Federal funds sold and other interest-earning assets</w:t>
            </w:r>
          </w:p>
        </w:tc>
        <w:tc>
          <w:tcPr>
            <w:tcW w:w="200" w:type="dxa"/>
            <w:vAlign w:val="bottom"/>
            <w:shd w:val="clear" w:color="auto" w:fill="F0FFFF"/>
          </w:tcPr>
          <w:p>
            <w:pPr>
              <w:spacing w:after="0"/>
              <w:rPr>
                <w:sz w:val="15"/>
                <w:szCs w:val="15"/>
                <w:color w:val="auto"/>
              </w:rPr>
            </w:pPr>
          </w:p>
        </w:tc>
        <w:tc>
          <w:tcPr>
            <w:tcW w:w="10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140" w:type="dxa"/>
            <w:vAlign w:val="bottom"/>
            <w:gridSpan w:val="2"/>
            <w:shd w:val="clear" w:color="auto" w:fill="F0FFFF"/>
          </w:tcPr>
          <w:p>
            <w:pPr>
              <w:jc w:val="right"/>
              <w:ind w:right="139"/>
              <w:spacing w:after="0"/>
              <w:rPr>
                <w:sz w:val="20"/>
                <w:szCs w:val="20"/>
                <w:color w:val="auto"/>
              </w:rPr>
            </w:pPr>
            <w:r>
              <w:rPr>
                <w:rFonts w:ascii="Times New Roman" w:cs="Times New Roman" w:eastAsia="Times New Roman" w:hAnsi="Times New Roman"/>
                <w:sz w:val="14"/>
                <w:szCs w:val="14"/>
                <w:color w:val="auto"/>
              </w:rPr>
              <w:t>(206)</w:t>
            </w:r>
          </w:p>
        </w:tc>
        <w:tc>
          <w:tcPr>
            <w:tcW w:w="24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80"/>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99"/>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00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320" w:type="dxa"/>
            <w:vAlign w:val="bottom"/>
            <w:tcBorders>
              <w:top w:val="single" w:sz="8" w:color="F0FFFF"/>
              <w:bottom w:val="single" w:sz="8" w:color="F0FFFF"/>
            </w:tcBorders>
          </w:tcPr>
          <w:p>
            <w:pPr>
              <w:ind w:left="320"/>
              <w:spacing w:after="0" w:line="136" w:lineRule="exact"/>
              <w:rPr>
                <w:sz w:val="20"/>
                <w:szCs w:val="20"/>
                <w:color w:val="auto"/>
              </w:rPr>
            </w:pPr>
            <w:r>
              <w:rPr>
                <w:rFonts w:ascii="Times New Roman" w:cs="Times New Roman" w:eastAsia="Times New Roman" w:hAnsi="Times New Roman"/>
                <w:sz w:val="14"/>
                <w:szCs w:val="14"/>
                <w:b w:val="1"/>
                <w:bCs w:val="1"/>
                <w:color w:val="auto"/>
              </w:rPr>
              <w:t>Total interest-earning assets (FTE)</w:t>
            </w: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13,854</w:t>
            </w:r>
          </w:p>
        </w:tc>
        <w:tc>
          <w:tcPr>
            <w:tcW w:w="120" w:type="dxa"/>
            <w:vAlign w:val="bottom"/>
            <w:tcBorders>
              <w:top w:val="single" w:sz="8" w:color="F0FFFF"/>
              <w:bottom w:val="single" w:sz="8" w:color="F0FFFF"/>
            </w:tcBorders>
          </w:tcPr>
          <w:p>
            <w:pPr>
              <w:spacing w:after="0"/>
              <w:rPr>
                <w:sz w:val="12"/>
                <w:szCs w:val="12"/>
                <w:color w:val="auto"/>
              </w:rPr>
            </w:pPr>
          </w:p>
        </w:tc>
        <w:tc>
          <w:tcPr>
            <w:tcW w:w="120" w:type="dxa"/>
            <w:vAlign w:val="bottom"/>
            <w:tcBorders>
              <w:top w:val="single" w:sz="8" w:color="F0FFFF"/>
              <w:bottom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710</w:t>
            </w:r>
          </w:p>
        </w:tc>
        <w:tc>
          <w:tcPr>
            <w:tcW w:w="220" w:type="dxa"/>
            <w:vAlign w:val="bottom"/>
            <w:tcBorders>
              <w:top w:val="single" w:sz="8" w:color="F0FFFF"/>
              <w:bottom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14,564</w:t>
            </w:r>
          </w:p>
        </w:tc>
        <w:tc>
          <w:tcPr>
            <w:tcW w:w="140" w:type="dxa"/>
            <w:vAlign w:val="bottom"/>
            <w:tcBorders>
              <w:top w:val="single" w:sz="8" w:color="F0FFFF"/>
              <w:bottom w:val="single" w:sz="8" w:color="F0FFFF"/>
            </w:tcBorders>
          </w:tcPr>
          <w:p>
            <w:pPr>
              <w:spacing w:after="0"/>
              <w:rPr>
                <w:sz w:val="12"/>
                <w:szCs w:val="12"/>
                <w:color w:val="auto"/>
              </w:rPr>
            </w:pPr>
          </w:p>
        </w:tc>
        <w:tc>
          <w:tcPr>
            <w:tcW w:w="80" w:type="dxa"/>
            <w:vAlign w:val="bottom"/>
            <w:tcBorders>
              <w:top w:val="single" w:sz="8" w:color="F0FFFF"/>
              <w:bottom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44,833</w:t>
            </w:r>
          </w:p>
        </w:tc>
        <w:tc>
          <w:tcPr>
            <w:tcW w:w="120" w:type="dxa"/>
            <w:vAlign w:val="bottom"/>
            <w:tcBorders>
              <w:top w:val="single" w:sz="8" w:color="F0FFFF"/>
              <w:bottom w:val="single" w:sz="8" w:color="F0FFFF"/>
            </w:tcBorders>
          </w:tcPr>
          <w:p>
            <w:pPr>
              <w:spacing w:after="0"/>
              <w:rPr>
                <w:sz w:val="12"/>
                <w:szCs w:val="12"/>
                <w:color w:val="auto"/>
              </w:rPr>
            </w:pPr>
          </w:p>
        </w:tc>
        <w:tc>
          <w:tcPr>
            <w:tcW w:w="80" w:type="dxa"/>
            <w:vAlign w:val="bottom"/>
            <w:tcBorders>
              <w:top w:val="single" w:sz="8" w:color="F0FFFF"/>
              <w:bottom w:val="single" w:sz="8" w:color="F0FF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3,004</w:t>
            </w:r>
          </w:p>
        </w:tc>
        <w:tc>
          <w:tcPr>
            <w:tcW w:w="140" w:type="dxa"/>
            <w:vAlign w:val="bottom"/>
            <w:tcBorders>
              <w:top w:val="single" w:sz="8" w:color="F0FFFF"/>
              <w:bottom w:val="single" w:sz="8" w:color="F0FFFF"/>
            </w:tcBorders>
          </w:tcPr>
          <w:p>
            <w:pPr>
              <w:spacing w:after="0"/>
              <w:rPr>
                <w:sz w:val="12"/>
                <w:szCs w:val="12"/>
                <w:color w:val="auto"/>
              </w:rPr>
            </w:pPr>
          </w:p>
        </w:tc>
        <w:tc>
          <w:tcPr>
            <w:tcW w:w="80" w:type="dxa"/>
            <w:vAlign w:val="bottom"/>
            <w:tcBorders>
              <w:top w:val="single" w:sz="8" w:color="F0FFFF"/>
              <w:bottom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47,837</w:t>
            </w:r>
          </w:p>
        </w:tc>
        <w:tc>
          <w:tcPr>
            <w:tcW w:w="100" w:type="dxa"/>
            <w:vAlign w:val="bottom"/>
            <w:tcBorders>
              <w:top w:val="single" w:sz="8" w:color="F0FFFF"/>
              <w:bottom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NOW accounts</w:t>
            </w:r>
          </w:p>
        </w:tc>
        <w:tc>
          <w:tcPr>
            <w:tcW w:w="20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140" w:type="dxa"/>
            <w:vAlign w:val="bottom"/>
            <w:gridSpan w:val="2"/>
            <w:shd w:val="clear" w:color="auto" w:fill="F0FF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4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Money market accounts</w:t>
            </w:r>
          </w:p>
        </w:tc>
        <w:tc>
          <w:tcPr>
            <w:tcW w:w="2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Savings deposits</w:t>
            </w:r>
          </w:p>
        </w:tc>
        <w:tc>
          <w:tcPr>
            <w:tcW w:w="20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140" w:type="dxa"/>
            <w:vAlign w:val="bottom"/>
            <w:gridSpan w:val="2"/>
            <w:shd w:val="clear" w:color="auto" w:fill="F0FF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2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Brokered deposits</w:t>
            </w:r>
          </w:p>
        </w:tc>
        <w:tc>
          <w:tcPr>
            <w:tcW w:w="200" w:type="dxa"/>
            <w:vAlign w:val="bottom"/>
            <w:shd w:val="clear" w:color="auto" w:fill="F0FFFF"/>
          </w:tcPr>
          <w:p>
            <w:pPr>
              <w:spacing w:after="0"/>
              <w:rPr>
                <w:sz w:val="15"/>
                <w:szCs w:val="15"/>
                <w:color w:val="auto"/>
              </w:rPr>
            </w:pPr>
          </w:p>
        </w:tc>
        <w:tc>
          <w:tcPr>
            <w:tcW w:w="10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140" w:type="dxa"/>
            <w:vAlign w:val="bottom"/>
            <w:gridSpan w:val="2"/>
            <w:shd w:val="clear" w:color="auto" w:fill="F0FFFF"/>
          </w:tcPr>
          <w:p>
            <w:pPr>
              <w:jc w:val="right"/>
              <w:ind w:right="179"/>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9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99"/>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320" w:type="dxa"/>
            <w:vAlign w:val="bottom"/>
            <w:tcBorders>
              <w:top w:val="single" w:sz="8" w:color="F0FFFF"/>
              <w:bottom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interest-bearing deposits</w:t>
            </w: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429</w:t>
            </w:r>
          </w:p>
        </w:tc>
        <w:tc>
          <w:tcPr>
            <w:tcW w:w="120" w:type="dxa"/>
            <w:vAlign w:val="bottom"/>
            <w:tcBorders>
              <w:top w:val="single" w:sz="8" w:color="F0FFFF"/>
              <w:bottom w:val="single" w:sz="8" w:color="F0FFFF"/>
            </w:tcBorders>
          </w:tcPr>
          <w:p>
            <w:pPr>
              <w:spacing w:after="0"/>
              <w:rPr>
                <w:sz w:val="12"/>
                <w:szCs w:val="12"/>
                <w:color w:val="auto"/>
              </w:rPr>
            </w:pPr>
          </w:p>
        </w:tc>
        <w:tc>
          <w:tcPr>
            <w:tcW w:w="120" w:type="dxa"/>
            <w:vAlign w:val="bottom"/>
            <w:tcBorders>
              <w:top w:val="single" w:sz="8" w:color="F0FFFF"/>
              <w:bottom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(93</w:t>
            </w:r>
          </w:p>
        </w:tc>
        <w:tc>
          <w:tcPr>
            <w:tcW w:w="220" w:type="dxa"/>
            <w:vAlign w:val="bottom"/>
            <w:tcBorders>
              <w:top w:val="single" w:sz="8" w:color="F0FFFF"/>
              <w:bottom w:val="single" w:sz="8" w:color="F0FF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336</w:t>
            </w:r>
          </w:p>
        </w:tc>
        <w:tc>
          <w:tcPr>
            <w:tcW w:w="140" w:type="dxa"/>
            <w:vAlign w:val="bottom"/>
            <w:tcBorders>
              <w:top w:val="single" w:sz="8" w:color="F0FFFF"/>
              <w:bottom w:val="single" w:sz="8" w:color="F0FFFF"/>
            </w:tcBorders>
          </w:tcPr>
          <w:p>
            <w:pPr>
              <w:spacing w:after="0"/>
              <w:rPr>
                <w:sz w:val="12"/>
                <w:szCs w:val="12"/>
                <w:color w:val="auto"/>
              </w:rPr>
            </w:pPr>
          </w:p>
        </w:tc>
        <w:tc>
          <w:tcPr>
            <w:tcW w:w="80" w:type="dxa"/>
            <w:vAlign w:val="bottom"/>
            <w:tcBorders>
              <w:top w:val="single" w:sz="8" w:color="F0FFFF"/>
              <w:bottom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1,101</w:t>
            </w:r>
          </w:p>
        </w:tc>
        <w:tc>
          <w:tcPr>
            <w:tcW w:w="120" w:type="dxa"/>
            <w:vAlign w:val="bottom"/>
            <w:tcBorders>
              <w:top w:val="single" w:sz="8" w:color="F0FFFF"/>
              <w:bottom w:val="single" w:sz="8" w:color="F0FFFF"/>
            </w:tcBorders>
          </w:tcPr>
          <w:p>
            <w:pPr>
              <w:spacing w:after="0"/>
              <w:rPr>
                <w:sz w:val="12"/>
                <w:szCs w:val="12"/>
                <w:color w:val="auto"/>
              </w:rPr>
            </w:pPr>
          </w:p>
        </w:tc>
        <w:tc>
          <w:tcPr>
            <w:tcW w:w="80" w:type="dxa"/>
            <w:vAlign w:val="bottom"/>
            <w:tcBorders>
              <w:top w:val="single" w:sz="8" w:color="F0FFFF"/>
              <w:bottom w:val="single" w:sz="8" w:color="F0FF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(349</w:t>
            </w:r>
          </w:p>
        </w:tc>
        <w:tc>
          <w:tcPr>
            <w:tcW w:w="140" w:type="dxa"/>
            <w:vAlign w:val="bottom"/>
            <w:tcBorders>
              <w:top w:val="single" w:sz="8" w:color="F0FFFF"/>
              <w:bottom w:val="single" w:sz="8" w:color="F0FFFF"/>
            </w:tcBorders>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F0FFFF"/>
              <w:bottom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752</w:t>
            </w:r>
          </w:p>
        </w:tc>
        <w:tc>
          <w:tcPr>
            <w:tcW w:w="100" w:type="dxa"/>
            <w:vAlign w:val="bottom"/>
            <w:tcBorders>
              <w:top w:val="single" w:sz="8" w:color="F0FFFF"/>
              <w:bottom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Federal funds purchased &amp; other borrowings</w:t>
            </w:r>
          </w:p>
        </w:tc>
        <w:tc>
          <w:tcPr>
            <w:tcW w:w="200" w:type="dxa"/>
            <w:vAlign w:val="bottom"/>
            <w:shd w:val="clear" w:color="auto" w:fill="F0FFFF"/>
          </w:tcPr>
          <w:p>
            <w:pPr>
              <w:spacing w:after="0"/>
              <w:rPr>
                <w:sz w:val="12"/>
                <w:szCs w:val="12"/>
                <w:color w:val="auto"/>
              </w:rPr>
            </w:pPr>
          </w:p>
        </w:tc>
        <w:tc>
          <w:tcPr>
            <w:tcW w:w="9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2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Federal Home Loan Bank advances</w:t>
            </w:r>
          </w:p>
        </w:tc>
        <w:tc>
          <w:tcPr>
            <w:tcW w:w="2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1,259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shd w:val="clear" w:color="auto" w:fill="F0FFFF"/>
          </w:tcPr>
          <w:p>
            <w:pPr>
              <w:spacing w:after="0"/>
              <w:rPr>
                <w:sz w:val="15"/>
                <w:szCs w:val="15"/>
                <w:color w:val="auto"/>
              </w:rPr>
            </w:pPr>
          </w:p>
        </w:tc>
        <w:tc>
          <w:tcPr>
            <w:tcW w:w="10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140" w:type="dxa"/>
            <w:vAlign w:val="bottom"/>
            <w:gridSpan w:val="2"/>
            <w:shd w:val="clear" w:color="auto" w:fill="F0FFFF"/>
          </w:tcPr>
          <w:p>
            <w:pPr>
              <w:jc w:val="right"/>
              <w:ind w:right="139"/>
              <w:spacing w:after="0"/>
              <w:rPr>
                <w:sz w:val="20"/>
                <w:szCs w:val="20"/>
                <w:color w:val="auto"/>
              </w:rPr>
            </w:pPr>
            <w:r>
              <w:rPr>
                <w:rFonts w:ascii="Times New Roman" w:cs="Times New Roman" w:eastAsia="Times New Roman" w:hAnsi="Times New Roman"/>
                <w:sz w:val="14"/>
                <w:szCs w:val="14"/>
                <w:color w:val="auto"/>
              </w:rPr>
              <w:t>(258)</w:t>
            </w:r>
          </w:p>
        </w:tc>
        <w:tc>
          <w:tcPr>
            <w:tcW w:w="24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1,932</w:t>
            </w:r>
          </w:p>
        </w:tc>
        <w:tc>
          <w:tcPr>
            <w:tcW w:w="8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59"/>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320" w:type="dxa"/>
            <w:vAlign w:val="bottom"/>
            <w:tcBorders>
              <w:top w:val="single" w:sz="8" w:color="F0FFFF"/>
              <w:bottom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borrowed funds</w:t>
            </w: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888</w:t>
            </w:r>
          </w:p>
        </w:tc>
        <w:tc>
          <w:tcPr>
            <w:tcW w:w="120" w:type="dxa"/>
            <w:vAlign w:val="bottom"/>
            <w:tcBorders>
              <w:top w:val="single" w:sz="8" w:color="F0FFFF"/>
              <w:bottom w:val="single" w:sz="8" w:color="F0FFFF"/>
            </w:tcBorders>
          </w:tcPr>
          <w:p>
            <w:pPr>
              <w:spacing w:after="0"/>
              <w:rPr>
                <w:sz w:val="12"/>
                <w:szCs w:val="12"/>
                <w:color w:val="auto"/>
              </w:rPr>
            </w:pPr>
          </w:p>
        </w:tc>
        <w:tc>
          <w:tcPr>
            <w:tcW w:w="120" w:type="dxa"/>
            <w:vAlign w:val="bottom"/>
            <w:tcBorders>
              <w:top w:val="single" w:sz="8" w:color="F0FFFF"/>
              <w:bottom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(176</w:t>
            </w:r>
          </w:p>
        </w:tc>
        <w:tc>
          <w:tcPr>
            <w:tcW w:w="220" w:type="dxa"/>
            <w:vAlign w:val="bottom"/>
            <w:tcBorders>
              <w:top w:val="single" w:sz="8" w:color="F0FFFF"/>
              <w:bottom w:val="single" w:sz="8" w:color="F0FF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712</w:t>
            </w:r>
          </w:p>
        </w:tc>
        <w:tc>
          <w:tcPr>
            <w:tcW w:w="140" w:type="dxa"/>
            <w:vAlign w:val="bottom"/>
            <w:tcBorders>
              <w:top w:val="single" w:sz="8" w:color="F0FFFF"/>
              <w:bottom w:val="single" w:sz="8" w:color="F0FFFF"/>
            </w:tcBorders>
          </w:tcPr>
          <w:p>
            <w:pPr>
              <w:spacing w:after="0"/>
              <w:rPr>
                <w:sz w:val="12"/>
                <w:szCs w:val="12"/>
                <w:color w:val="auto"/>
              </w:rPr>
            </w:pPr>
          </w:p>
        </w:tc>
        <w:tc>
          <w:tcPr>
            <w:tcW w:w="80" w:type="dxa"/>
            <w:vAlign w:val="bottom"/>
            <w:tcBorders>
              <w:top w:val="single" w:sz="8" w:color="F0FFFF"/>
              <w:bottom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3,035</w:t>
            </w:r>
          </w:p>
        </w:tc>
        <w:tc>
          <w:tcPr>
            <w:tcW w:w="120" w:type="dxa"/>
            <w:vAlign w:val="bottom"/>
            <w:tcBorders>
              <w:top w:val="single" w:sz="8" w:color="F0FFFF"/>
              <w:bottom w:val="single" w:sz="8" w:color="F0FFFF"/>
            </w:tcBorders>
          </w:tcPr>
          <w:p>
            <w:pPr>
              <w:spacing w:after="0"/>
              <w:rPr>
                <w:sz w:val="12"/>
                <w:szCs w:val="12"/>
                <w:color w:val="auto"/>
              </w:rPr>
            </w:pPr>
          </w:p>
        </w:tc>
        <w:tc>
          <w:tcPr>
            <w:tcW w:w="80" w:type="dxa"/>
            <w:vAlign w:val="bottom"/>
            <w:tcBorders>
              <w:top w:val="single" w:sz="8" w:color="F0FFFF"/>
              <w:bottom w:val="single" w:sz="8" w:color="F0FF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(915</w:t>
            </w:r>
          </w:p>
        </w:tc>
        <w:tc>
          <w:tcPr>
            <w:tcW w:w="140" w:type="dxa"/>
            <w:vAlign w:val="bottom"/>
            <w:tcBorders>
              <w:top w:val="single" w:sz="8" w:color="F0FFFF"/>
              <w:bottom w:val="single" w:sz="8" w:color="F0FFFF"/>
            </w:tcBorders>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F0FFFF"/>
              <w:bottom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2,120</w:t>
            </w:r>
          </w:p>
        </w:tc>
        <w:tc>
          <w:tcPr>
            <w:tcW w:w="100" w:type="dxa"/>
            <w:vAlign w:val="bottom"/>
            <w:tcBorders>
              <w:top w:val="single" w:sz="8" w:color="F0FFFF"/>
              <w:bottom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F0FFFF"/>
            </w:tcBorders>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tcBorders>
              <w:bottom w:val="single" w:sz="8" w:color="auto"/>
            </w:tcBorders>
            <w:shd w:val="clear" w:color="auto" w:fill="F0FFFF"/>
          </w:tcPr>
          <w:p>
            <w:pPr>
              <w:spacing w:after="0"/>
              <w:rPr>
                <w:sz w:val="13"/>
                <w:szCs w:val="13"/>
                <w:color w:val="auto"/>
              </w:rPr>
            </w:pPr>
          </w:p>
        </w:tc>
        <w:tc>
          <w:tcPr>
            <w:tcW w:w="960" w:type="dxa"/>
            <w:vAlign w:val="bottom"/>
            <w:tcBorders>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1,317</w:t>
            </w:r>
          </w:p>
        </w:tc>
        <w:tc>
          <w:tcPr>
            <w:tcW w:w="120" w:type="dxa"/>
            <w:vAlign w:val="bottom"/>
            <w:tcBorders>
              <w:bottom w:val="single" w:sz="8" w:color="F0FFFF"/>
            </w:tcBorders>
            <w:shd w:val="clear" w:color="auto" w:fill="F0FFFF"/>
          </w:tcPr>
          <w:p>
            <w:pPr>
              <w:spacing w:after="0"/>
              <w:rPr>
                <w:sz w:val="13"/>
                <w:szCs w:val="13"/>
                <w:color w:val="auto"/>
              </w:rPr>
            </w:pPr>
          </w:p>
        </w:tc>
        <w:tc>
          <w:tcPr>
            <w:tcW w:w="120" w:type="dxa"/>
            <w:vAlign w:val="bottom"/>
            <w:tcBorders>
              <w:bottom w:val="single" w:sz="8" w:color="F0FFFF"/>
            </w:tcBorders>
            <w:shd w:val="clear" w:color="auto" w:fill="F0FFFF"/>
          </w:tcPr>
          <w:p>
            <w:pPr>
              <w:spacing w:after="0"/>
              <w:rPr>
                <w:sz w:val="13"/>
                <w:szCs w:val="13"/>
                <w:color w:val="auto"/>
              </w:rPr>
            </w:pPr>
          </w:p>
        </w:tc>
        <w:tc>
          <w:tcPr>
            <w:tcW w:w="240" w:type="dxa"/>
            <w:vAlign w:val="bottom"/>
            <w:tcBorders>
              <w:bottom w:val="single" w:sz="8" w:color="auto"/>
            </w:tcBorders>
            <w:shd w:val="clear" w:color="auto" w:fill="F0FFFF"/>
          </w:tcPr>
          <w:p>
            <w:pPr>
              <w:spacing w:after="0"/>
              <w:rPr>
                <w:sz w:val="13"/>
                <w:szCs w:val="13"/>
                <w:color w:val="auto"/>
              </w:rPr>
            </w:pPr>
          </w:p>
        </w:tc>
        <w:tc>
          <w:tcPr>
            <w:tcW w:w="920" w:type="dxa"/>
            <w:vAlign w:val="bottom"/>
            <w:tcBorders>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220" w:type="dxa"/>
            <w:vAlign w:val="bottom"/>
            <w:tcBorders>
              <w:bottom w:val="single" w:sz="8" w:color="F0FFFF"/>
            </w:tcBorders>
            <w:shd w:val="clear" w:color="auto" w:fill="F0FF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auto"/>
            </w:tcBorders>
            <w:shd w:val="clear" w:color="auto" w:fill="F0FFFF"/>
          </w:tcPr>
          <w:p>
            <w:pPr>
              <w:spacing w:after="0"/>
              <w:rPr>
                <w:sz w:val="13"/>
                <w:szCs w:val="13"/>
                <w:color w:val="auto"/>
              </w:rPr>
            </w:pPr>
          </w:p>
        </w:tc>
        <w:tc>
          <w:tcPr>
            <w:tcW w:w="900" w:type="dxa"/>
            <w:vAlign w:val="bottom"/>
            <w:tcBorders>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140" w:type="dxa"/>
            <w:vAlign w:val="bottom"/>
            <w:tcBorders>
              <w:bottom w:val="single" w:sz="8" w:color="F0FFFF"/>
            </w:tcBorders>
            <w:shd w:val="clear" w:color="auto" w:fill="F0FFFF"/>
          </w:tcPr>
          <w:p>
            <w:pPr>
              <w:spacing w:after="0"/>
              <w:rPr>
                <w:sz w:val="13"/>
                <w:szCs w:val="13"/>
                <w:color w:val="auto"/>
              </w:rPr>
            </w:pPr>
          </w:p>
        </w:tc>
        <w:tc>
          <w:tcPr>
            <w:tcW w:w="80" w:type="dxa"/>
            <w:vAlign w:val="bottom"/>
            <w:tcBorders>
              <w:bottom w:val="single" w:sz="8" w:color="F0FFFF"/>
            </w:tcBorders>
            <w:shd w:val="clear" w:color="auto" w:fill="F0FFFF"/>
          </w:tcPr>
          <w:p>
            <w:pPr>
              <w:spacing w:after="0"/>
              <w:rPr>
                <w:sz w:val="13"/>
                <w:szCs w:val="13"/>
                <w:color w:val="auto"/>
              </w:rPr>
            </w:pPr>
          </w:p>
        </w:tc>
        <w:tc>
          <w:tcPr>
            <w:tcW w:w="200" w:type="dxa"/>
            <w:vAlign w:val="bottom"/>
            <w:tcBorders>
              <w:bottom w:val="single" w:sz="8" w:color="auto"/>
            </w:tcBorders>
            <w:shd w:val="clear" w:color="auto" w:fill="F0FFFF"/>
          </w:tcPr>
          <w:p>
            <w:pPr>
              <w:spacing w:after="0"/>
              <w:rPr>
                <w:sz w:val="13"/>
                <w:szCs w:val="13"/>
                <w:color w:val="auto"/>
              </w:rPr>
            </w:pPr>
          </w:p>
        </w:tc>
        <w:tc>
          <w:tcPr>
            <w:tcW w:w="940" w:type="dxa"/>
            <w:vAlign w:val="bottom"/>
            <w:tcBorders>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4,136</w:t>
            </w:r>
          </w:p>
        </w:tc>
        <w:tc>
          <w:tcPr>
            <w:tcW w:w="120" w:type="dxa"/>
            <w:vAlign w:val="bottom"/>
            <w:tcBorders>
              <w:bottom w:val="single" w:sz="8" w:color="F0FFFF"/>
            </w:tcBorders>
            <w:shd w:val="clear" w:color="auto" w:fill="F0FFFF"/>
          </w:tcPr>
          <w:p>
            <w:pPr>
              <w:spacing w:after="0"/>
              <w:rPr>
                <w:sz w:val="13"/>
                <w:szCs w:val="13"/>
                <w:color w:val="auto"/>
              </w:rPr>
            </w:pPr>
          </w:p>
        </w:tc>
        <w:tc>
          <w:tcPr>
            <w:tcW w:w="80" w:type="dxa"/>
            <w:vAlign w:val="bottom"/>
            <w:tcBorders>
              <w:bottom w:val="single" w:sz="8" w:color="F0FFFF"/>
            </w:tcBorders>
            <w:shd w:val="clear" w:color="auto" w:fill="F0FFFF"/>
          </w:tcPr>
          <w:p>
            <w:pPr>
              <w:spacing w:after="0"/>
              <w:rPr>
                <w:sz w:val="13"/>
                <w:szCs w:val="13"/>
                <w:color w:val="auto"/>
              </w:rPr>
            </w:pPr>
          </w:p>
        </w:tc>
        <w:tc>
          <w:tcPr>
            <w:tcW w:w="260" w:type="dxa"/>
            <w:vAlign w:val="bottom"/>
            <w:tcBorders>
              <w:bottom w:val="single" w:sz="8" w:color="auto"/>
            </w:tcBorders>
            <w:shd w:val="clear" w:color="auto" w:fill="F0FFFF"/>
          </w:tcPr>
          <w:p>
            <w:pPr>
              <w:spacing w:after="0"/>
              <w:rPr>
                <w:sz w:val="13"/>
                <w:szCs w:val="13"/>
                <w:color w:val="auto"/>
              </w:rPr>
            </w:pPr>
          </w:p>
        </w:tc>
        <w:tc>
          <w:tcPr>
            <w:tcW w:w="880" w:type="dxa"/>
            <w:vAlign w:val="bottom"/>
            <w:tcBorders>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w:t>
            </w:r>
          </w:p>
        </w:tc>
        <w:tc>
          <w:tcPr>
            <w:tcW w:w="140" w:type="dxa"/>
            <w:vAlign w:val="bottom"/>
            <w:tcBorders>
              <w:bottom w:val="single" w:sz="8" w:color="F0FFFF"/>
            </w:tcBorders>
            <w:shd w:val="clear" w:color="auto" w:fill="F0FF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F0FFFF"/>
            </w:tcBorders>
            <w:shd w:val="clear" w:color="auto" w:fill="F0FFFF"/>
          </w:tcPr>
          <w:p>
            <w:pPr>
              <w:spacing w:after="0"/>
              <w:rPr>
                <w:sz w:val="13"/>
                <w:szCs w:val="13"/>
                <w:color w:val="auto"/>
              </w:rPr>
            </w:pPr>
          </w:p>
        </w:tc>
        <w:tc>
          <w:tcPr>
            <w:tcW w:w="240" w:type="dxa"/>
            <w:vAlign w:val="bottom"/>
            <w:tcBorders>
              <w:bottom w:val="single" w:sz="8" w:color="auto"/>
            </w:tcBorders>
            <w:shd w:val="clear" w:color="auto" w:fill="F0FFFF"/>
          </w:tcPr>
          <w:p>
            <w:pPr>
              <w:spacing w:after="0"/>
              <w:rPr>
                <w:sz w:val="13"/>
                <w:szCs w:val="13"/>
                <w:color w:val="auto"/>
              </w:rPr>
            </w:pPr>
          </w:p>
        </w:tc>
        <w:tc>
          <w:tcPr>
            <w:tcW w:w="900" w:type="dxa"/>
            <w:vAlign w:val="bottom"/>
            <w:tcBorders>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2,872</w:t>
            </w:r>
          </w:p>
        </w:tc>
        <w:tc>
          <w:tcPr>
            <w:tcW w:w="100" w:type="dxa"/>
            <w:vAlign w:val="bottom"/>
            <w:tcBorders>
              <w:bottom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shd w:val="clear" w:color="auto" w:fill="F0FFFF"/>
          </w:tcPr>
          <w:p>
            <w:pPr>
              <w:ind w:left="480"/>
              <w:spacing w:after="0"/>
              <w:rPr>
                <w:sz w:val="20"/>
                <w:szCs w:val="20"/>
                <w:color w:val="auto"/>
              </w:rPr>
            </w:pPr>
            <w:r>
              <w:rPr>
                <w:rFonts w:ascii="Times New Roman" w:cs="Times New Roman" w:eastAsia="Times New Roman" w:hAnsi="Times New Roman"/>
                <w:sz w:val="14"/>
                <w:szCs w:val="14"/>
                <w:b w:val="1"/>
                <w:bCs w:val="1"/>
                <w:color w:val="auto"/>
              </w:rPr>
              <w:t>Increase in net interest revenue (FTE)</w:t>
            </w:r>
          </w:p>
        </w:tc>
        <w:tc>
          <w:tcPr>
            <w:tcW w:w="200" w:type="dxa"/>
            <w:vAlign w:val="bottom"/>
            <w:shd w:val="clear" w:color="auto" w:fill="F0FF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12,537</w:t>
            </w:r>
          </w:p>
        </w:tc>
        <w:tc>
          <w:tcPr>
            <w:tcW w:w="360" w:type="dxa"/>
            <w:vAlign w:val="bottom"/>
            <w:gridSpan w:val="2"/>
            <w:shd w:val="clear" w:color="auto" w:fill="F0FF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F0FFFF"/>
          </w:tcPr>
          <w:p>
            <w:pPr>
              <w:jc w:val="right"/>
              <w:ind w:right="179"/>
              <w:spacing w:after="0"/>
              <w:rPr>
                <w:sz w:val="20"/>
                <w:szCs w:val="20"/>
                <w:color w:val="auto"/>
              </w:rPr>
            </w:pPr>
            <w:r>
              <w:rPr>
                <w:rFonts w:ascii="Times New Roman" w:cs="Times New Roman" w:eastAsia="Times New Roman" w:hAnsi="Times New Roman"/>
                <w:sz w:val="14"/>
                <w:szCs w:val="14"/>
                <w:color w:val="auto"/>
              </w:rPr>
              <w:t>979</w:t>
            </w:r>
          </w:p>
        </w:tc>
        <w:tc>
          <w:tcPr>
            <w:tcW w:w="240" w:type="dxa"/>
            <w:vAlign w:val="bottom"/>
            <w:shd w:val="clear" w:color="auto" w:fill="F0FF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13,516</w:t>
            </w:r>
          </w:p>
        </w:tc>
        <w:tc>
          <w:tcPr>
            <w:tcW w:w="280" w:type="dxa"/>
            <w:vAlign w:val="bottom"/>
            <w:gridSpan w:val="2"/>
            <w:shd w:val="clear" w:color="auto" w:fill="F0FF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4"/>
                <w:szCs w:val="14"/>
                <w:color w:val="auto"/>
              </w:rPr>
              <w:t>40,697</w:t>
            </w:r>
          </w:p>
        </w:tc>
        <w:tc>
          <w:tcPr>
            <w:tcW w:w="340" w:type="dxa"/>
            <w:vAlign w:val="bottom"/>
            <w:gridSpan w:val="2"/>
            <w:shd w:val="clear" w:color="auto" w:fill="F0FF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F0FFFF"/>
          </w:tcPr>
          <w:p>
            <w:pPr>
              <w:jc w:val="right"/>
              <w:ind w:right="99"/>
              <w:spacing w:after="0"/>
              <w:rPr>
                <w:sz w:val="20"/>
                <w:szCs w:val="20"/>
                <w:color w:val="auto"/>
              </w:rPr>
            </w:pPr>
            <w:r>
              <w:rPr>
                <w:rFonts w:ascii="Times New Roman" w:cs="Times New Roman" w:eastAsia="Times New Roman" w:hAnsi="Times New Roman"/>
                <w:sz w:val="14"/>
                <w:szCs w:val="14"/>
                <w:color w:val="auto"/>
              </w:rPr>
              <w:t>4,268</w:t>
            </w:r>
          </w:p>
        </w:tc>
        <w:tc>
          <w:tcPr>
            <w:tcW w:w="3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44,965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 for credit losses is based on management’s evaluation of probable incurred losses in the loan portfolio and corresponding analysis of the allowance for credit losses at quarter-end. The release of provision for credit losses was $300,000 for the third quarter of 2016, compared to a release of $300,000 in the second quarter of 2016 and provision expense of $700,000 for the third quarter of 2015. The provision for credit losses for the nine months ended September 30, 2016 and 2015 was a release of provision of $800,000 and provision expense of $3.40 million, respectively. The amount of provision recorded in each period was the amount required such that the total allowance for loan losses reflected the appropriate balance, in the estimation of management, sufficient to cover incurred losses in the loan portfolio. The third quarter 2016 release of provision was due to ongoing improvement in the historical loss experience factors used to determine the amount of the required allowance for loan losses. The improvement for the year-to-date period reflects overall improvement in a number of troubled debt restructurings (“TDRs”) as well as continued strong credit quality and a low overall level of net charge-offs. For the three months ended September 30, 2016, net loan charge-offs as an annualized percentage of average outstanding loans were .08% compared to .10% for the same period in 2015.</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discussion on credit quality and the allowance for loan losses is included in the “Asset Quality and Risk Elements” section of this report on page 53.</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Fee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Fee revenue for the three and nine months ended September 30, 2016 was $26.4 million and $68.5 million, respectively, an increase of $8.06 million, or 44%, compared to the third quarter of 2015 and an increase of $17.2 million, or 34%, compared to the first nine months of 2015. The following table presents the components of fee revenue for the periods indicated.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 Fee 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Overdraft fees</w:t>
            </w: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3,648</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3,303</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10</w:t>
            </w:r>
          </w:p>
        </w:tc>
        <w:tc>
          <w:tcPr>
            <w:tcW w:w="120" w:type="dxa"/>
            <w:vAlign w:val="bottom"/>
            <w:shd w:val="clear" w:color="auto" w:fill="F0FFFF"/>
          </w:tcPr>
          <w:p>
            <w:pPr>
              <w:spacing w:after="0"/>
              <w:rPr>
                <w:sz w:val="12"/>
                <w:szCs w:val="12"/>
                <w:color w:val="auto"/>
              </w:rPr>
            </w:pPr>
          </w:p>
        </w:tc>
        <w:tc>
          <w:tcPr>
            <w:tcW w:w="280" w:type="dxa"/>
            <w:vAlign w:val="bottom"/>
            <w:gridSpan w:val="2"/>
            <w:shd w:val="clear" w:color="auto" w:fill="F0FF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10,338</w:t>
            </w:r>
          </w:p>
        </w:tc>
        <w:tc>
          <w:tcPr>
            <w:tcW w:w="26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8,631</w:t>
            </w:r>
          </w:p>
        </w:tc>
        <w:tc>
          <w:tcPr>
            <w:tcW w:w="1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1,707</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ATM and debit card interchange fees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5,283</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4,364</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15,589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12,222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3,367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Other service charges and fees</w:t>
            </w:r>
          </w:p>
        </w:tc>
        <w:tc>
          <w:tcPr>
            <w:tcW w:w="16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1,888</w:t>
            </w:r>
          </w:p>
        </w:tc>
        <w:tc>
          <w:tcPr>
            <w:tcW w:w="18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1,668</w:t>
            </w:r>
          </w:p>
        </w:tc>
        <w:tc>
          <w:tcPr>
            <w:tcW w:w="10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500" w:type="dxa"/>
            <w:vAlign w:val="bottom"/>
            <w:shd w:val="clear" w:color="auto" w:fill="F0FFFF"/>
          </w:tcPr>
          <w:p>
            <w:pPr>
              <w:spacing w:after="0"/>
              <w:rPr>
                <w:sz w:val="15"/>
                <w:szCs w:val="15"/>
                <w:color w:val="auto"/>
              </w:rPr>
            </w:pP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99"/>
              </w:rPr>
              <w:t>13</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5,533</w:t>
            </w:r>
          </w:p>
        </w:tc>
        <w:tc>
          <w:tcPr>
            <w:tcW w:w="1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4,472</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1,061</w:t>
            </w:r>
          </w:p>
        </w:tc>
        <w:tc>
          <w:tcPr>
            <w:tcW w:w="1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Service charges and fees</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10,819</w:t>
            </w:r>
          </w:p>
        </w:tc>
        <w:tc>
          <w:tcPr>
            <w:tcW w:w="24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9,335</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1,484</w:t>
            </w:r>
          </w:p>
        </w:tc>
        <w:tc>
          <w:tcPr>
            <w:tcW w:w="260" w:type="dxa"/>
            <w:vAlign w:val="bottom"/>
            <w:tcBorders>
              <w:top w:val="single" w:sz="8" w:color="F0FFFF"/>
            </w:tcBorders>
          </w:tcPr>
          <w:p>
            <w:pPr>
              <w:spacing w:after="0"/>
              <w:rPr>
                <w:sz w:val="11"/>
                <w:szCs w:val="11"/>
                <w:color w:val="auto"/>
              </w:rPr>
            </w:pPr>
          </w:p>
        </w:tc>
        <w:tc>
          <w:tcPr>
            <w:tcW w:w="140" w:type="dxa"/>
            <w:vAlign w:val="bottom"/>
            <w:tcBorders>
              <w:top w:val="single" w:sz="8" w:color="F0FFFF"/>
            </w:tcBorders>
          </w:tcPr>
          <w:p>
            <w:pPr>
              <w:spacing w:after="0"/>
              <w:rPr>
                <w:sz w:val="11"/>
                <w:szCs w:val="11"/>
                <w:color w:val="auto"/>
              </w:rPr>
            </w:pPr>
          </w:p>
        </w:tc>
        <w:tc>
          <w:tcPr>
            <w:tcW w:w="500" w:type="dxa"/>
            <w:vAlign w:val="bottom"/>
            <w:tcBorders>
              <w:top w:val="single" w:sz="8" w:color="F0FFFF"/>
            </w:tcBorders>
          </w:tcPr>
          <w:p>
            <w:pPr>
              <w:spacing w:after="0"/>
              <w:rPr>
                <w:sz w:val="11"/>
                <w:szCs w:val="11"/>
                <w:color w:val="auto"/>
              </w:rPr>
            </w:pPr>
          </w:p>
        </w:tc>
        <w:tc>
          <w:tcPr>
            <w:tcW w:w="160" w:type="dxa"/>
            <w:vAlign w:val="bottom"/>
            <w:tcBorders>
              <w:top w:val="single" w:sz="8" w:color="F0FF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16</w:t>
            </w:r>
          </w:p>
        </w:tc>
        <w:tc>
          <w:tcPr>
            <w:tcW w:w="120" w:type="dxa"/>
            <w:vAlign w:val="bottom"/>
            <w:tcBorders>
              <w:top w:val="single" w:sz="8" w:color="F0FFFF"/>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31,460</w:t>
            </w: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25,325</w:t>
            </w:r>
          </w:p>
        </w:tc>
        <w:tc>
          <w:tcPr>
            <w:tcW w:w="20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6,135</w:t>
            </w:r>
          </w:p>
        </w:tc>
        <w:tc>
          <w:tcPr>
            <w:tcW w:w="20" w:type="dxa"/>
            <w:vAlign w:val="bottom"/>
            <w:tcBorders>
              <w:top w:val="single" w:sz="8" w:color="F0FFFF"/>
            </w:tcBorders>
          </w:tcPr>
          <w:p>
            <w:pPr>
              <w:spacing w:after="0"/>
              <w:rPr>
                <w:sz w:val="11"/>
                <w:szCs w:val="11"/>
                <w:color w:val="auto"/>
              </w:rPr>
            </w:pPr>
          </w:p>
        </w:tc>
        <w:tc>
          <w:tcPr>
            <w:tcW w:w="180" w:type="dxa"/>
            <w:vAlign w:val="bottom"/>
            <w:tcBorders>
              <w:top w:val="single" w:sz="8" w:color="F0FFFF"/>
            </w:tcBorders>
          </w:tcPr>
          <w:p>
            <w:pPr>
              <w:spacing w:after="0"/>
              <w:rPr>
                <w:sz w:val="11"/>
                <w:szCs w:val="11"/>
                <w:color w:val="auto"/>
              </w:rPr>
            </w:pPr>
          </w:p>
        </w:tc>
        <w:tc>
          <w:tcPr>
            <w:tcW w:w="160" w:type="dxa"/>
            <w:vAlign w:val="bottom"/>
            <w:tcBorders>
              <w:top w:val="single" w:sz="8" w:color="F0FFFF"/>
            </w:tcBorders>
          </w:tcPr>
          <w:p>
            <w:pPr>
              <w:spacing w:after="0"/>
              <w:rPr>
                <w:sz w:val="11"/>
                <w:szCs w:val="11"/>
                <w:color w:val="auto"/>
              </w:rPr>
            </w:pPr>
          </w:p>
        </w:tc>
        <w:tc>
          <w:tcPr>
            <w:tcW w:w="740" w:type="dxa"/>
            <w:vAlign w:val="bottom"/>
            <w:tcBorders>
              <w:top w:val="single" w:sz="8" w:color="F0FFFF"/>
            </w:tcBorders>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Mortgage loan and related fees</w:t>
            </w:r>
          </w:p>
        </w:tc>
        <w:tc>
          <w:tcPr>
            <w:tcW w:w="16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1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3,840</w:t>
            </w: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2,199</w:t>
            </w:r>
          </w:p>
        </w:tc>
        <w:tc>
          <w:tcPr>
            <w:tcW w:w="14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57</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13,776</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10,302</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3,474</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Brokerage fees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3,983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Gains on sales of government guaranteed loans</w:t>
            </w:r>
          </w:p>
        </w:tc>
        <w:tc>
          <w:tcPr>
            <w:tcW w:w="16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2,479</w:t>
            </w:r>
          </w:p>
        </w:tc>
        <w:tc>
          <w:tcPr>
            <w:tcW w:w="1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51</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6,517</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4,281</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2,236</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Customer derivatives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3,283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1,969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Securities gains, net</w:t>
            </w: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4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1,877</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gridSpan w:val="3"/>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Losses from prepayment of debt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(1,294)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1,294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4,118</w:t>
            </w:r>
          </w:p>
        </w:tc>
        <w:tc>
          <w:tcPr>
            <w:tcW w:w="18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1,789</w:t>
            </w:r>
          </w:p>
        </w:tc>
        <w:tc>
          <w:tcPr>
            <w:tcW w:w="10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4"/>
                <w:szCs w:val="14"/>
                <w:color w:val="auto"/>
              </w:rPr>
              <w:t>2,329</w:t>
            </w:r>
          </w:p>
        </w:tc>
        <w:tc>
          <w:tcPr>
            <w:tcW w:w="140" w:type="dxa"/>
            <w:vAlign w:val="bottom"/>
            <w:shd w:val="clear" w:color="auto" w:fill="F0FFFF"/>
          </w:tcPr>
          <w:p>
            <w:pPr>
              <w:spacing w:after="0"/>
              <w:rPr>
                <w:sz w:val="15"/>
                <w:szCs w:val="15"/>
                <w:color w:val="auto"/>
              </w:rPr>
            </w:pPr>
          </w:p>
        </w:tc>
        <w:tc>
          <w:tcPr>
            <w:tcW w:w="5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5,457</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3,680</w:t>
            </w:r>
          </w:p>
        </w:tc>
        <w:tc>
          <w:tcPr>
            <w:tcW w:w="1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fee revenue</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26,361</w:t>
            </w:r>
          </w:p>
        </w:tc>
        <w:tc>
          <w:tcPr>
            <w:tcW w:w="24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18,297</w:t>
            </w:r>
          </w:p>
        </w:tc>
        <w:tc>
          <w:tcPr>
            <w:tcW w:w="24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8,064</w:t>
            </w:r>
          </w:p>
        </w:tc>
        <w:tc>
          <w:tcPr>
            <w:tcW w:w="260" w:type="dxa"/>
            <w:vAlign w:val="bottom"/>
            <w:tcBorders>
              <w:top w:val="single" w:sz="8" w:color="F0FFFF"/>
            </w:tcBorders>
          </w:tcPr>
          <w:p>
            <w:pPr>
              <w:spacing w:after="0"/>
              <w:rPr>
                <w:sz w:val="12"/>
                <w:szCs w:val="12"/>
                <w:color w:val="auto"/>
              </w:rPr>
            </w:pPr>
          </w:p>
        </w:tc>
        <w:tc>
          <w:tcPr>
            <w:tcW w:w="140" w:type="dxa"/>
            <w:vAlign w:val="bottom"/>
            <w:tcBorders>
              <w:top w:val="single" w:sz="8" w:color="F0FFFF"/>
            </w:tcBorders>
          </w:tcPr>
          <w:p>
            <w:pPr>
              <w:spacing w:after="0"/>
              <w:rPr>
                <w:sz w:val="12"/>
                <w:szCs w:val="12"/>
                <w:color w:val="auto"/>
              </w:rPr>
            </w:pPr>
          </w:p>
        </w:tc>
        <w:tc>
          <w:tcPr>
            <w:tcW w:w="500" w:type="dxa"/>
            <w:vAlign w:val="bottom"/>
            <w:tcBorders>
              <w:top w:val="single" w:sz="8" w:color="F0FFFF"/>
            </w:tcBorders>
          </w:tcPr>
          <w:p>
            <w:pPr>
              <w:spacing w:after="0"/>
              <w:rPr>
                <w:sz w:val="12"/>
                <w:szCs w:val="12"/>
                <w:color w:val="auto"/>
              </w:rPr>
            </w:pPr>
          </w:p>
        </w:tc>
        <w:tc>
          <w:tcPr>
            <w:tcW w:w="160" w:type="dxa"/>
            <w:vAlign w:val="bottom"/>
            <w:tcBorders>
              <w:top w:val="single" w:sz="8" w:color="F0FF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44</w:t>
            </w: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68,464</w:t>
            </w: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51,245</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17,219</w:t>
            </w:r>
          </w:p>
        </w:tc>
        <w:tc>
          <w:tcPr>
            <w:tcW w:w="20" w:type="dxa"/>
            <w:vAlign w:val="bottom"/>
            <w:tcBorders>
              <w:top w:val="single" w:sz="8" w:color="F0FFFF"/>
              <w:bottom w:val="single" w:sz="8" w:color="auto"/>
            </w:tcBorders>
          </w:tcPr>
          <w:p>
            <w:pPr>
              <w:spacing w:after="0"/>
              <w:rPr>
                <w:sz w:val="12"/>
                <w:szCs w:val="12"/>
                <w:color w:val="auto"/>
              </w:rPr>
            </w:pPr>
          </w:p>
        </w:tc>
        <w:tc>
          <w:tcPr>
            <w:tcW w:w="180" w:type="dxa"/>
            <w:vAlign w:val="bottom"/>
            <w:tcBorders>
              <w:top w:val="single" w:sz="8" w:color="F0FFFF"/>
            </w:tcBorders>
          </w:tcPr>
          <w:p>
            <w:pPr>
              <w:spacing w:after="0"/>
              <w:rPr>
                <w:sz w:val="12"/>
                <w:szCs w:val="12"/>
                <w:color w:val="auto"/>
              </w:rPr>
            </w:pPr>
          </w:p>
        </w:tc>
        <w:tc>
          <w:tcPr>
            <w:tcW w:w="160" w:type="dxa"/>
            <w:vAlign w:val="bottom"/>
            <w:tcBorders>
              <w:top w:val="single" w:sz="8" w:color="F0FFFF"/>
            </w:tcBorders>
          </w:tcPr>
          <w:p>
            <w:pPr>
              <w:spacing w:after="0"/>
              <w:rPr>
                <w:sz w:val="12"/>
                <w:szCs w:val="12"/>
                <w:color w:val="auto"/>
              </w:rPr>
            </w:pPr>
          </w:p>
        </w:tc>
        <w:tc>
          <w:tcPr>
            <w:tcW w:w="740" w:type="dxa"/>
            <w:vAlign w:val="bottom"/>
            <w:tcBorders>
              <w:top w:val="single" w:sz="8" w:color="F0FFFF"/>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charges and fees of $10.8 million and $31.5 million for the third quarter and first nine months of 2016 were up $1.48 million, or 16%, from the third quarter of 2015 and $6.14 million, or 24%, from the first nine months of 2015. Overdraft, ATM and debit card, and other service charges and fees increased year over year based on increased deposit balances driven primarily by the Acquisitions.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Mortgage loan and related fees for the third quarter and first nine months of 2016 were up $2.20 million, or 57%, and $3.47 million, or 34%, respectively, from the same periods in 2015. The increase reflects United’s focus on growing the mortgage business by recruiting new mortgage lenders in key metropolitan markets and an increase in purchase and refinancing activity. In the third quarter of 2016, United closed 904 loans totaling $194 million compared with 711 loans totaling $141 million in the third quarter of 2015. Year-to-date mortgage production in 2016 amounted to 2,407 loans totaling $522 million, compared to 1,849 loans totaling $357 million for the same period in 2015. United had $99.7 million and $292 million, respectively, in home purchase mortgage originations in the third quarter and first nine months of 2016, compared with $80.1 million and $191 million for the same periods a year ago. The volume of home purchase mortgages in the third quarter of 2016 was 51% compared with 62% in the third quarter of 2015.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Brokerage fees in the third quarter of 2016 were flat compared to the third quarter of 2015, while brokerage fees in the first nine months of 2016 were down $614,000, or 15%, from the same period in 2015, reflecting weak market activity and changes in industry practices in advance of the United States Department of Labor’s new fiduciary rule that becomes effective in April 2017.</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third quarter and first nine months of 2016, United realized $2.48 million and $6.52 million, respectively, in gains from the sales of the guaranteed portion of Small Business Administration (“SBA”) and United States Department of Agriculture (“USDA”) loans, compared to $1.65 million and $4.28 million, respectively, in the same periods of 2015. United’s SBA/USDA lending strategy includes selling a portion of the loan production each quarter. United retains the servicing rights on the sold loans and earns a fee for servicing the loans. In the third quarter and first nine months of 2016, United sold the guaranteed portion of loans in the amount of $32.2 million and $78.6 million, respectively, compared to $17.8 million and $45.6 million, respectively, for the same periods a year ago. The year over year increase also reflects the maturation of United’s SBA construction portfolio that continues to expand.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derivative fees were up $1.03 million and $1.97 million, respectively, from the third quarter and first nine months of 2015 due to an increase in customer demand for this product as commercial customers sought to lock in low fixed rates on their loans.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realized net securities gains of $261,000 and $922,000, respectively, in the third quarter and first nine months of 2016 compared with securities gains of $325,000 and $1.88 million, respectively, in the third quarter and first nine months of 2015. In the third quarter and first nine months of 2015, United incurred $256,000 and $1.29 million, respectively, in charges from the prepayment of debt. The securities gains and prepayment charges in 2015 were mostly offsetting and were part of the same overall balance sheet management activities that were intended to lower the overall cost of wholesale borrowings going forward.</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fee revenue was up $2.33 million and $3.68 million, respectively, for the third quarter and first nine months of 2016 compared to the same periods in 2015. The increase reflects growth across all categories of miscellaneous fee revenue sources as well as a $638,000 vendor payment for disputed trust fees in the second quarter of 2016.</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operating expenses for the periods indicated.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 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36,478</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29,342</w:t>
            </w:r>
          </w:p>
        </w:tc>
        <w:tc>
          <w:tcPr>
            <w:tcW w:w="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F0FF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7,136</w:t>
            </w:r>
          </w:p>
        </w:tc>
        <w:tc>
          <w:tcPr>
            <w:tcW w:w="14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24</w:t>
            </w:r>
          </w:p>
        </w:tc>
        <w:tc>
          <w:tcPr>
            <w:tcW w:w="400" w:type="dxa"/>
            <w:vAlign w:val="bottom"/>
            <w:gridSpan w:val="2"/>
            <w:shd w:val="clear" w:color="auto" w:fill="F0FF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103,112</w:t>
            </w:r>
          </w:p>
        </w:tc>
        <w:tc>
          <w:tcPr>
            <w:tcW w:w="260" w:type="dxa"/>
            <w:vAlign w:val="bottom"/>
            <w:gridSpan w:val="2"/>
            <w:shd w:val="clear" w:color="auto" w:fill="F0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83,749</w:t>
            </w:r>
          </w:p>
        </w:tc>
        <w:tc>
          <w:tcPr>
            <w:tcW w:w="12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19,363</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Communications and equipment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4,919</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3,963</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13,602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10,538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3,064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6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5,132</w:t>
            </w:r>
          </w:p>
        </w:tc>
        <w:tc>
          <w:tcPr>
            <w:tcW w:w="1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4,013</w:t>
            </w: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14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28</w:t>
            </w:r>
          </w:p>
        </w:tc>
        <w:tc>
          <w:tcPr>
            <w:tcW w:w="2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14,393</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10,706</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3,687</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Advertising and public relations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1,088</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34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2,689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Postage, printing and supplies</w:t>
            </w:r>
          </w:p>
        </w:tc>
        <w:tc>
          <w:tcPr>
            <w:tcW w:w="16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1,451</w:t>
            </w:r>
          </w:p>
        </w:tc>
        <w:tc>
          <w:tcPr>
            <w:tcW w:w="1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1,049</w:t>
            </w: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38</w:t>
            </w:r>
          </w:p>
        </w:tc>
        <w:tc>
          <w:tcPr>
            <w:tcW w:w="2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4,029</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1,049</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3,160</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2,668</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6,844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2,205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16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1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1,136</w:t>
            </w: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1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24</w:t>
            </w:r>
          </w:p>
        </w:tc>
        <w:tc>
          <w:tcPr>
            <w:tcW w:w="2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4,453</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3,643</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1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57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1,403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1,713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6,112</w:t>
            </w:r>
          </w:p>
        </w:tc>
        <w:tc>
          <w:tcPr>
            <w:tcW w:w="18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4,828</w:t>
            </w:r>
          </w:p>
        </w:tc>
        <w:tc>
          <w:tcPr>
            <w:tcW w:w="10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260"/>
              <w:spacing w:after="0"/>
              <w:rPr>
                <w:sz w:val="20"/>
                <w:szCs w:val="20"/>
                <w:color w:val="auto"/>
              </w:rPr>
            </w:pPr>
            <w:r>
              <w:rPr>
                <w:rFonts w:ascii="Times New Roman" w:cs="Times New Roman" w:eastAsia="Times New Roman" w:hAnsi="Times New Roman"/>
                <w:sz w:val="14"/>
                <w:szCs w:val="14"/>
                <w:color w:val="auto"/>
              </w:rPr>
              <w:t>1,284</w:t>
            </w:r>
          </w:p>
        </w:tc>
        <w:tc>
          <w:tcPr>
            <w:tcW w:w="140" w:type="dxa"/>
            <w:vAlign w:val="bottom"/>
            <w:shd w:val="clear" w:color="auto" w:fill="F0FFFF"/>
          </w:tcPr>
          <w:p>
            <w:pPr>
              <w:spacing w:after="0"/>
              <w:rPr>
                <w:sz w:val="15"/>
                <w:szCs w:val="15"/>
                <w:color w:val="auto"/>
              </w:rPr>
            </w:pPr>
          </w:p>
        </w:tc>
        <w:tc>
          <w:tcPr>
            <w:tcW w:w="500" w:type="dxa"/>
            <w:vAlign w:val="bottom"/>
            <w:shd w:val="clear" w:color="auto" w:fill="F0FFFF"/>
          </w:tcPr>
          <w:p>
            <w:pPr>
              <w:spacing w:after="0"/>
              <w:rPr>
                <w:sz w:val="15"/>
                <w:szCs w:val="15"/>
                <w:color w:val="auto"/>
              </w:rPr>
            </w:pP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w w:val="99"/>
              </w:rPr>
              <w:t>27</w:t>
            </w:r>
          </w:p>
        </w:tc>
        <w:tc>
          <w:tcPr>
            <w:tcW w:w="2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17,958</w:t>
            </w:r>
          </w:p>
        </w:tc>
        <w:tc>
          <w:tcPr>
            <w:tcW w:w="1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14,281</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4"/>
                <w:szCs w:val="14"/>
                <w:color w:val="auto"/>
              </w:rPr>
              <w:t>3,677</w:t>
            </w:r>
          </w:p>
        </w:tc>
        <w:tc>
          <w:tcPr>
            <w:tcW w:w="1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Borders>
              <w:top w:val="single" w:sz="8" w:color="F0FFFF"/>
            </w:tcBorders>
          </w:tcPr>
          <w:p>
            <w:pPr>
              <w:ind w:left="160"/>
              <w:spacing w:after="0" w:line="136" w:lineRule="exact"/>
              <w:rPr>
                <w:sz w:val="20"/>
                <w:szCs w:val="20"/>
                <w:color w:val="auto"/>
              </w:rPr>
            </w:pPr>
            <w:r>
              <w:rPr>
                <w:rFonts w:ascii="Times New Roman" w:cs="Times New Roman" w:eastAsia="Times New Roman" w:hAnsi="Times New Roman"/>
                <w:sz w:val="14"/>
                <w:szCs w:val="14"/>
                <w:color w:val="auto"/>
              </w:rPr>
              <w:t>Total excluding merger-related and other charges</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60,871</w:t>
            </w:r>
          </w:p>
        </w:tc>
        <w:tc>
          <w:tcPr>
            <w:tcW w:w="24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48,525</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12,346</w:t>
            </w:r>
          </w:p>
        </w:tc>
        <w:tc>
          <w:tcPr>
            <w:tcW w:w="260" w:type="dxa"/>
            <w:vAlign w:val="bottom"/>
            <w:tcBorders>
              <w:top w:val="single" w:sz="8" w:color="F0FFFF"/>
            </w:tcBorders>
          </w:tcPr>
          <w:p>
            <w:pPr>
              <w:spacing w:after="0"/>
              <w:rPr>
                <w:sz w:val="11"/>
                <w:szCs w:val="11"/>
                <w:color w:val="auto"/>
              </w:rPr>
            </w:pPr>
          </w:p>
        </w:tc>
        <w:tc>
          <w:tcPr>
            <w:tcW w:w="140" w:type="dxa"/>
            <w:vAlign w:val="bottom"/>
            <w:tcBorders>
              <w:top w:val="single" w:sz="8" w:color="F0FFFF"/>
            </w:tcBorders>
          </w:tcPr>
          <w:p>
            <w:pPr>
              <w:spacing w:after="0"/>
              <w:rPr>
                <w:sz w:val="11"/>
                <w:szCs w:val="11"/>
                <w:color w:val="auto"/>
              </w:rPr>
            </w:pPr>
          </w:p>
        </w:tc>
        <w:tc>
          <w:tcPr>
            <w:tcW w:w="500" w:type="dxa"/>
            <w:vAlign w:val="bottom"/>
            <w:tcBorders>
              <w:top w:val="single" w:sz="8" w:color="F0FFFF"/>
            </w:tcBorders>
          </w:tcPr>
          <w:p>
            <w:pPr>
              <w:spacing w:after="0"/>
              <w:rPr>
                <w:sz w:val="11"/>
                <w:szCs w:val="11"/>
                <w:color w:val="auto"/>
              </w:rPr>
            </w:pPr>
          </w:p>
        </w:tc>
        <w:tc>
          <w:tcPr>
            <w:tcW w:w="160" w:type="dxa"/>
            <w:vAlign w:val="bottom"/>
            <w:tcBorders>
              <w:top w:val="single" w:sz="8" w:color="F0FF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25</w:t>
            </w:r>
          </w:p>
        </w:tc>
        <w:tc>
          <w:tcPr>
            <w:tcW w:w="24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172,987</w:t>
            </w: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136,833</w:t>
            </w:r>
          </w:p>
        </w:tc>
        <w:tc>
          <w:tcPr>
            <w:tcW w:w="20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36,154</w:t>
            </w:r>
          </w:p>
        </w:tc>
        <w:tc>
          <w:tcPr>
            <w:tcW w:w="20" w:type="dxa"/>
            <w:vAlign w:val="bottom"/>
            <w:tcBorders>
              <w:top w:val="single" w:sz="8" w:color="F0FFFF"/>
            </w:tcBorders>
          </w:tcPr>
          <w:p>
            <w:pPr>
              <w:spacing w:after="0"/>
              <w:rPr>
                <w:sz w:val="11"/>
                <w:szCs w:val="11"/>
                <w:color w:val="auto"/>
              </w:rPr>
            </w:pPr>
          </w:p>
        </w:tc>
        <w:tc>
          <w:tcPr>
            <w:tcW w:w="180" w:type="dxa"/>
            <w:vAlign w:val="bottom"/>
            <w:tcBorders>
              <w:top w:val="single" w:sz="8" w:color="F0FFFF"/>
            </w:tcBorders>
          </w:tcPr>
          <w:p>
            <w:pPr>
              <w:spacing w:after="0"/>
              <w:rPr>
                <w:sz w:val="11"/>
                <w:szCs w:val="11"/>
                <w:color w:val="auto"/>
              </w:rPr>
            </w:pPr>
          </w:p>
        </w:tc>
        <w:tc>
          <w:tcPr>
            <w:tcW w:w="160" w:type="dxa"/>
            <w:vAlign w:val="bottom"/>
            <w:tcBorders>
              <w:top w:val="single" w:sz="8" w:color="F0FFFF"/>
            </w:tcBorders>
          </w:tcPr>
          <w:p>
            <w:pPr>
              <w:spacing w:after="0"/>
              <w:rPr>
                <w:sz w:val="11"/>
                <w:szCs w:val="11"/>
                <w:color w:val="auto"/>
              </w:rPr>
            </w:pPr>
          </w:p>
        </w:tc>
        <w:tc>
          <w:tcPr>
            <w:tcW w:w="740" w:type="dxa"/>
            <w:vAlign w:val="bottom"/>
            <w:tcBorders>
              <w:top w:val="single" w:sz="8" w:color="F0FFFF"/>
            </w:tcBorders>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Merger-related charges</w:t>
            </w:r>
          </w:p>
        </w:tc>
        <w:tc>
          <w:tcPr>
            <w:tcW w:w="16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3,152</w:t>
            </w:r>
          </w:p>
        </w:tc>
        <w:tc>
          <w:tcPr>
            <w:tcW w:w="18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5,744</w:t>
            </w:r>
          </w:p>
        </w:tc>
        <w:tc>
          <w:tcPr>
            <w:tcW w:w="10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(2,592)</w:t>
            </w:r>
          </w:p>
        </w:tc>
        <w:tc>
          <w:tcPr>
            <w:tcW w:w="140" w:type="dxa"/>
            <w:vAlign w:val="bottom"/>
            <w:shd w:val="clear" w:color="auto" w:fill="F0FFFF"/>
          </w:tcPr>
          <w:p>
            <w:pPr>
              <w:spacing w:after="0"/>
              <w:rPr>
                <w:sz w:val="15"/>
                <w:szCs w:val="15"/>
                <w:color w:val="auto"/>
              </w:rPr>
            </w:pPr>
          </w:p>
        </w:tc>
        <w:tc>
          <w:tcPr>
            <w:tcW w:w="5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6,981</w:t>
            </w:r>
          </w:p>
        </w:tc>
        <w:tc>
          <w:tcPr>
            <w:tcW w:w="1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200"/>
              <w:spacing w:after="0"/>
              <w:rPr>
                <w:sz w:val="20"/>
                <w:szCs w:val="20"/>
                <w:color w:val="auto"/>
              </w:rPr>
            </w:pPr>
            <w:r>
              <w:rPr>
                <w:rFonts w:ascii="Times New Roman" w:cs="Times New Roman" w:eastAsia="Times New Roman" w:hAnsi="Times New Roman"/>
                <w:sz w:val="14"/>
                <w:szCs w:val="14"/>
                <w:color w:val="auto"/>
              </w:rPr>
              <w:t>8,917</w:t>
            </w:r>
          </w:p>
        </w:tc>
        <w:tc>
          <w:tcPr>
            <w:tcW w:w="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80" w:type="dxa"/>
            <w:vAlign w:val="bottom"/>
            <w:gridSpan w:val="3"/>
            <w:shd w:val="clear" w:color="auto" w:fill="F0FFFF"/>
          </w:tcPr>
          <w:p>
            <w:pPr>
              <w:jc w:val="right"/>
              <w:ind w:right="160"/>
              <w:spacing w:after="0"/>
              <w:rPr>
                <w:sz w:val="20"/>
                <w:szCs w:val="20"/>
                <w:color w:val="auto"/>
              </w:rPr>
            </w:pPr>
            <w:r>
              <w:rPr>
                <w:rFonts w:ascii="Times New Roman" w:cs="Times New Roman" w:eastAsia="Times New Roman" w:hAnsi="Times New Roman"/>
                <w:sz w:val="14"/>
                <w:szCs w:val="14"/>
                <w:color w:val="auto"/>
              </w:rPr>
              <w:t>(1,936)</w:t>
            </w:r>
          </w:p>
        </w:tc>
        <w:tc>
          <w:tcPr>
            <w:tcW w:w="16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64,023</w:t>
            </w:r>
          </w:p>
        </w:tc>
        <w:tc>
          <w:tcPr>
            <w:tcW w:w="24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54,269</w:t>
            </w:r>
          </w:p>
        </w:tc>
        <w:tc>
          <w:tcPr>
            <w:tcW w:w="24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9,754</w:t>
            </w:r>
          </w:p>
        </w:tc>
        <w:tc>
          <w:tcPr>
            <w:tcW w:w="260" w:type="dxa"/>
            <w:vAlign w:val="bottom"/>
            <w:tcBorders>
              <w:top w:val="single" w:sz="8" w:color="F0FFFF"/>
            </w:tcBorders>
          </w:tcPr>
          <w:p>
            <w:pPr>
              <w:spacing w:after="0"/>
              <w:rPr>
                <w:sz w:val="12"/>
                <w:szCs w:val="12"/>
                <w:color w:val="auto"/>
              </w:rPr>
            </w:pPr>
          </w:p>
        </w:tc>
        <w:tc>
          <w:tcPr>
            <w:tcW w:w="140" w:type="dxa"/>
            <w:vAlign w:val="bottom"/>
            <w:tcBorders>
              <w:top w:val="single" w:sz="8" w:color="F0FFFF"/>
            </w:tcBorders>
          </w:tcPr>
          <w:p>
            <w:pPr>
              <w:spacing w:after="0"/>
              <w:rPr>
                <w:sz w:val="12"/>
                <w:szCs w:val="12"/>
                <w:color w:val="auto"/>
              </w:rPr>
            </w:pPr>
          </w:p>
        </w:tc>
        <w:tc>
          <w:tcPr>
            <w:tcW w:w="500" w:type="dxa"/>
            <w:vAlign w:val="bottom"/>
            <w:tcBorders>
              <w:top w:val="single" w:sz="8" w:color="F0FFFF"/>
            </w:tcBorders>
          </w:tcPr>
          <w:p>
            <w:pPr>
              <w:spacing w:after="0"/>
              <w:rPr>
                <w:sz w:val="12"/>
                <w:szCs w:val="12"/>
                <w:color w:val="auto"/>
              </w:rPr>
            </w:pPr>
          </w:p>
        </w:tc>
        <w:tc>
          <w:tcPr>
            <w:tcW w:w="160" w:type="dxa"/>
            <w:vAlign w:val="bottom"/>
            <w:tcBorders>
              <w:top w:val="single" w:sz="8" w:color="F0FF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18</w:t>
            </w:r>
          </w:p>
        </w:tc>
        <w:tc>
          <w:tcPr>
            <w:tcW w:w="24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179,968</w:t>
            </w: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145,750</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34,218</w:t>
            </w:r>
          </w:p>
        </w:tc>
        <w:tc>
          <w:tcPr>
            <w:tcW w:w="20" w:type="dxa"/>
            <w:vAlign w:val="bottom"/>
            <w:tcBorders>
              <w:top w:val="single" w:sz="8" w:color="F0FFFF"/>
              <w:bottom w:val="single" w:sz="8" w:color="auto"/>
            </w:tcBorders>
          </w:tcPr>
          <w:p>
            <w:pPr>
              <w:spacing w:after="0"/>
              <w:rPr>
                <w:sz w:val="12"/>
                <w:szCs w:val="12"/>
                <w:color w:val="auto"/>
              </w:rPr>
            </w:pPr>
          </w:p>
        </w:tc>
        <w:tc>
          <w:tcPr>
            <w:tcW w:w="180" w:type="dxa"/>
            <w:vAlign w:val="bottom"/>
            <w:tcBorders>
              <w:top w:val="single" w:sz="8" w:color="F0FFFF"/>
            </w:tcBorders>
          </w:tcPr>
          <w:p>
            <w:pPr>
              <w:spacing w:after="0"/>
              <w:rPr>
                <w:sz w:val="12"/>
                <w:szCs w:val="12"/>
                <w:color w:val="auto"/>
              </w:rPr>
            </w:pPr>
          </w:p>
        </w:tc>
        <w:tc>
          <w:tcPr>
            <w:tcW w:w="160" w:type="dxa"/>
            <w:vAlign w:val="bottom"/>
            <w:tcBorders>
              <w:top w:val="single" w:sz="8" w:color="F0FFFF"/>
            </w:tcBorders>
          </w:tcPr>
          <w:p>
            <w:pPr>
              <w:spacing w:after="0"/>
              <w:rPr>
                <w:sz w:val="12"/>
                <w:szCs w:val="12"/>
                <w:color w:val="auto"/>
              </w:rPr>
            </w:pPr>
          </w:p>
        </w:tc>
        <w:tc>
          <w:tcPr>
            <w:tcW w:w="740" w:type="dxa"/>
            <w:vAlign w:val="bottom"/>
            <w:tcBorders>
              <w:top w:val="single" w:sz="8" w:color="F0FFFF"/>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for the third quarter of 2016 totaled $64.0 million, up $9.75 million, or 18%, from the third quarter of 2015. For the nine months ended September 30, 2016, operating expenses totaled $180 million, an increase of $34.2 million, or 23%, from the same period in 2015. The increase mostly reflects the inclusion of the operating expenses of the Acquisitions, higher salaries and employee benefits expense resulting from investing in specialized lending areas and other strategic hiring and merger-related charges.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employee benefits for the third quarter of 2016 were $36.5 million, up $7.14 million, or 24%, from the third quarter of 2015. The increase was due to a number of factors including investments in additional staff and new teams to expand specialized lending and other key areas and additional staff resulting from the Tidelands and Palmetto acquisitions. For the first nine months of 2016, salaries and employee benefits of $103 million were up $19.4 million, or 23%, from the same period in 2015. Full time equivalent headcount totaled 1,939 at September 30, 2016, up 63 from 1,876 at September 30, 2015, reflecting the addition of Tidelands personnel.</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Professional fees for the third quarter of 2016 of $3.16 million were up $492,000, or 18%, from the third quarter of 2015. For the first nine months of 2016, professional fees of $9.05 million were up $2.21 million, or 32%, from the same period in 2015. The increase was due primarily to compliance projects and process improvement projects to improve operating efficiency.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intangibles of $1.12 million and $3.12 million in the third quarter and first nine months of 2016 increased relative to the same periods in 2015 due to the addition of core deposit intangibles related to the Acquisitions.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and first nine months of 2016, merger-related charges of $3.15 million and $6.98 million, respectively, consisted primarily of severance, conversion costs, and legal and professional fees. Merger-related charges of $5.74 million and $8.92 million, respectively, in the third quarter and first nine months of 2015 related to the Palmetto and MoneyTree acquisitions and consisted primarily of severance, conversion costs, and legal and professional fees.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of $6.11 million for the third quarter of 2016 increased $1.28 million, or 27%, from the third quarter of 2015. Year-to-date, other expenses of $18.0 million increased $3.68 million, or 26%, from the first nine months of 2015. The increase for both periods was primarily due to higher lending support costs due to increased lending activity, higher ATM and internet banking costs due to higher volume, and higher servicing costs on United’s indirect auto loan portfolio due to growth in that portfolio. The increase in the expense categories not specifically mentioned is primarily due to the 2015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income tax provision for the third quarter and first nine months of 2016 were $15.8 million and $44.7 million, respectively, as compared with $10.9 million and $32.4 million, respectively, for the same periods in 2015. The income tax provision represents an effective tax rate of 37.8% for both periods of 2016 and 37.8% for both periods of 2015. At September 30, 2016 and December 31, 2015, United maintained a valuation allowance on its net deferred tax asset of $4.71 million and $4.28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evaluated the need for a valuation allowance at September 30, 2016. Based on the assessment of all the positive and negative evidence, management concluded that it is more likely than not that nearly all of its net deferred tax asset will be realized based upon future taxable income. The remaining valuation allowance of $4.71 million is related to specific state income tax credits that have short carryforward periods and are expected to expire unused.</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4" w:name="page55"/>
    <w:bookmarkEnd w:id="54"/>
    <w:p>
      <w:pPr>
        <w:jc w:val="both"/>
        <w:spacing w:after="0" w:line="255" w:lineRule="auto"/>
        <w:rPr>
          <w:sz w:val="20"/>
          <w:szCs w:val="20"/>
          <w:color w:val="auto"/>
        </w:rPr>
      </w:pPr>
      <w:r>
        <w:rPr>
          <w:rFonts w:ascii="Times New Roman" w:cs="Times New Roman" w:eastAsia="Times New Roman" w:hAnsi="Times New Roman"/>
          <w:sz w:val="18"/>
          <w:szCs w:val="18"/>
          <w:color w:val="auto"/>
        </w:rPr>
        <w:t>The valuation allowance could fluctuate in future periods based on the assessment of the positive and negative evidence. Management's conclusion at September 30, 2016 that it was more likely than not that United’s net deferred tax asset of $156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2013. Although it is not possible to know the ultimate outcome of future examinations, management believes that the liability recorded for uncertain tax positions is appropriate.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Annual Report on Form 10-K for the year ended December 31, 2015.</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assets at September 30, 2016 and December 31, 2015 were $10.3 billion and $9.62 billion, respectively. Average total assets for the third quarter of 2016 were $10.3 billion, up from $8.63 billion in the third quarter of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the loan portfolio.</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72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Table 7 - Loans Outstanding</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720" w:type="dxa"/>
            <w:vAlign w:val="bottom"/>
            <w:gridSpan w:val="2"/>
          </w:tcPr>
          <w:p>
            <w:pPr>
              <w:ind w:left="9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9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5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4740" w:type="dxa"/>
            <w:vAlign w:val="bottom"/>
            <w:tcBorders>
              <w:bottom w:val="single" w:sz="8" w:color="F0FFFF"/>
            </w:tcBorders>
          </w:tcPr>
          <w:p>
            <w:pPr>
              <w:spacing w:after="0"/>
              <w:rPr>
                <w:sz w:val="21"/>
                <w:szCs w:val="21"/>
                <w:color w:val="auto"/>
              </w:rPr>
            </w:pPr>
          </w:p>
        </w:tc>
        <w:tc>
          <w:tcPr>
            <w:tcW w:w="128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Borders>
              <w:bottom w:val="single" w:sz="8" w:color="F0FFFF"/>
            </w:tcBorders>
          </w:tcPr>
          <w:p>
            <w:pPr>
              <w:spacing w:after="0"/>
              <w:rPr>
                <w:sz w:val="21"/>
                <w:szCs w:val="21"/>
                <w:color w:val="auto"/>
              </w:rPr>
            </w:pPr>
          </w:p>
        </w:tc>
        <w:tc>
          <w:tcPr>
            <w:tcW w:w="4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Loan Type</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1,512,185</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1,493,966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1,105,293</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823,729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994,350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785,417</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28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388,861</w:t>
            </w:r>
          </w:p>
        </w:tc>
        <w:tc>
          <w:tcPr>
            <w:tcW w:w="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342,078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740" w:type="dxa"/>
            <w:vAlign w:val="bottom"/>
            <w:tcBorders>
              <w:top w:val="single" w:sz="8" w:color="F0FF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Total commercial</w:t>
            </w:r>
          </w:p>
        </w:tc>
        <w:tc>
          <w:tcPr>
            <w:tcW w:w="12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80" w:type="dxa"/>
            <w:vAlign w:val="bottom"/>
          </w:tcPr>
          <w:p>
            <w:pPr>
              <w:spacing w:after="0"/>
              <w:rPr>
                <w:sz w:val="21"/>
                <w:szCs w:val="21"/>
                <w:color w:val="auto"/>
              </w:rPr>
            </w:pPr>
          </w:p>
        </w:tc>
        <w:tc>
          <w:tcPr>
            <w:tcW w:w="4740" w:type="dxa"/>
            <w:vAlign w:val="bottom"/>
            <w:vMerge w:val="continue"/>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4,000,689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3,445,190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1,055,166</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1,029,663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698,356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597,806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378,329</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351,700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126,468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115,111</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4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2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466,102</w:t>
            </w:r>
          </w:p>
        </w:tc>
        <w:tc>
          <w:tcPr>
            <w:tcW w:w="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455,971</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4740" w:type="dxa"/>
            <w:vAlign w:val="bottom"/>
            <w:tcBorders>
              <w:top w:val="single" w:sz="8" w:color="F0FFFF"/>
            </w:tcBorders>
          </w:tcPr>
          <w:p>
            <w:pPr>
              <w:ind w:left="320"/>
              <w:spacing w:after="0"/>
              <w:rPr>
                <w:sz w:val="20"/>
                <w:szCs w:val="20"/>
                <w:color w:val="auto"/>
              </w:rPr>
            </w:pPr>
            <w:r>
              <w:rPr>
                <w:rFonts w:ascii="Times New Roman" w:cs="Times New Roman" w:eastAsia="Times New Roman" w:hAnsi="Times New Roman"/>
                <w:sz w:val="18"/>
                <w:szCs w:val="18"/>
                <w:color w:val="auto"/>
              </w:rPr>
              <w:t>Total loans</w:t>
            </w:r>
          </w:p>
        </w:tc>
        <w:tc>
          <w:tcPr>
            <w:tcW w:w="128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6,725,110</w:t>
            </w:r>
          </w:p>
        </w:tc>
        <w:tc>
          <w:tcPr>
            <w:tcW w:w="20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5,995,441</w:t>
            </w: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740" w:type="dxa"/>
            <w:vAlign w:val="bottom"/>
            <w:tcBorders>
              <w:bottom w:val="single" w:sz="8" w:color="F0FFFF"/>
            </w:tcBorders>
          </w:tcPr>
          <w:p>
            <w:pPr>
              <w:spacing w:after="0" w:line="20" w:lineRule="exact"/>
              <w:rPr>
                <w:sz w:val="1"/>
                <w:szCs w:val="1"/>
                <w:color w:val="auto"/>
              </w:rPr>
            </w:pPr>
          </w:p>
        </w:tc>
        <w:tc>
          <w:tcPr>
            <w:tcW w:w="12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restart"/>
          </w:tcPr>
          <w:p>
            <w:pPr>
              <w:spacing w:after="0"/>
              <w:rPr>
                <w:sz w:val="18"/>
                <w:szCs w:val="18"/>
                <w:color w:val="auto"/>
              </w:rPr>
            </w:pPr>
          </w:p>
        </w:tc>
        <w:tc>
          <w:tcPr>
            <w:tcW w:w="474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As a percentage of total loans: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Borders>
              <w:top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commercial</w:t>
            </w:r>
          </w:p>
        </w:tc>
        <w:tc>
          <w:tcPr>
            <w:tcW w:w="128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mortgage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8"/>
                <w:szCs w:val="18"/>
                <w:color w:val="auto"/>
              </w:rPr>
              <w:t>Consumer installment</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Indirect auto</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5"/>
        </w:trPr>
        <w:tc>
          <w:tcPr>
            <w:tcW w:w="980" w:type="dxa"/>
            <w:vAlign w:val="bottom"/>
          </w:tcPr>
          <w:p>
            <w:pPr>
              <w:spacing w:after="0"/>
              <w:rPr>
                <w:sz w:val="21"/>
                <w:szCs w:val="21"/>
                <w:color w:val="auto"/>
              </w:rPr>
            </w:pPr>
          </w:p>
        </w:tc>
        <w:tc>
          <w:tcPr>
            <w:tcW w:w="474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spacing w:after="0"/>
              <w:rPr>
                <w:sz w:val="21"/>
                <w:szCs w:val="21"/>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74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vMerge w:val="restart"/>
          </w:tcPr>
          <w:p>
            <w:pPr>
              <w:spacing w:after="0"/>
              <w:rPr>
                <w:sz w:val="16"/>
                <w:szCs w:val="16"/>
                <w:color w:val="auto"/>
              </w:rPr>
            </w:pPr>
          </w:p>
        </w:tc>
        <w:tc>
          <w:tcPr>
            <w:tcW w:w="4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Geographic Location</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1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1,110,024</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1,125,123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Atlanta MSA</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1,331,610</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1,259,377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548,152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548,591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565,380</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536,598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Gainesville MSA</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236,375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254,016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East Tennessee</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505,678</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504,277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1,198,731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819,560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Specialized Lending</w:t>
            </w:r>
          </w:p>
        </w:tc>
        <w:tc>
          <w:tcPr>
            <w:tcW w:w="1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10"/>
              <w:spacing w:after="0"/>
              <w:rPr>
                <w:sz w:val="20"/>
                <w:szCs w:val="20"/>
                <w:color w:val="auto"/>
              </w:rPr>
            </w:pPr>
            <w:r>
              <w:rPr>
                <w:rFonts w:ascii="Times New Roman" w:cs="Times New Roman" w:eastAsia="Times New Roman" w:hAnsi="Times New Roman"/>
                <w:sz w:val="18"/>
                <w:szCs w:val="18"/>
                <w:color w:val="auto"/>
              </w:rPr>
              <w:t>763,058</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70"/>
              <w:spacing w:after="0"/>
              <w:rPr>
                <w:sz w:val="20"/>
                <w:szCs w:val="20"/>
                <w:color w:val="auto"/>
              </w:rPr>
            </w:pPr>
            <w:r>
              <w:rPr>
                <w:rFonts w:ascii="Times New Roman" w:cs="Times New Roman" w:eastAsia="Times New Roman" w:hAnsi="Times New Roman"/>
                <w:sz w:val="18"/>
                <w:szCs w:val="18"/>
                <w:color w:val="auto"/>
              </w:rPr>
              <w:t>491,928</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466,102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455,971</w:t>
            </w:r>
          </w:p>
        </w:tc>
        <w:tc>
          <w:tcPr>
            <w:tcW w:w="0" w:type="dxa"/>
            <w:vAlign w:val="bottom"/>
          </w:tcPr>
          <w:p>
            <w:pPr>
              <w:spacing w:after="0"/>
              <w:rPr>
                <w:sz w:val="1"/>
                <w:szCs w:val="1"/>
                <w:color w:val="auto"/>
              </w:rPr>
            </w:pPr>
          </w:p>
        </w:tc>
      </w:tr>
      <w:tr>
        <w:trPr>
          <w:trHeight w:val="255"/>
        </w:trPr>
        <w:tc>
          <w:tcPr>
            <w:tcW w:w="980" w:type="dxa"/>
            <w:vAlign w:val="bottom"/>
          </w:tcPr>
          <w:p>
            <w:pPr>
              <w:spacing w:after="0"/>
              <w:rPr>
                <w:sz w:val="21"/>
                <w:szCs w:val="21"/>
                <w:color w:val="auto"/>
              </w:rPr>
            </w:pPr>
          </w:p>
        </w:tc>
        <w:tc>
          <w:tcPr>
            <w:tcW w:w="474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Times New Roman" w:cs="Times New Roman" w:eastAsia="Times New Roman" w:hAnsi="Times New Roman"/>
                <w:sz w:val="18"/>
                <w:szCs w:val="18"/>
                <w:color w:val="auto"/>
              </w:rPr>
              <w:t>Total loans</w:t>
            </w:r>
          </w:p>
        </w:tc>
        <w:tc>
          <w:tcPr>
            <w:tcW w:w="12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6,725,110</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5,995,441</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74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except for specific specialized lending strategies such as SBA and franchise lending. More than 76% of the loans are secured by real estate. Total loans averaged $6.68 billion in the third quarter of 2016, compared with $5.46 billion in the third quarter of 2015, an increase of 22% primarily due to the acquisitions of Tidelands and Palmetto. At September 30, 2016, total loans were $6.73 billion, an increase of $730 million, or 12%, from December 31, 2015.</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September 30, 2016 and December 31, 2015, the funded portion of home equity lines totaled $698 million and $598 million, respectively. Excluding Tidelands home equity lines for which this data is not yet available, approximately 3% of the home equity lines at September 30, 2016 were amortizing. Of the $698 million in balances outstanding at September 30, 2016, $423 million, or 61%, were secured by first liens. At September 30, 2016, 58% of the total available home equity lines were drawn upon.</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026"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reviews current valuations to determine if any charge-offs are warranted and whether it is in United’s best interest to pay off the first lien creditor.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lending units. Additional information on the credit administration function is included in Item 1 under the heading </w:t>
      </w:r>
      <w:r>
        <w:rPr>
          <w:rFonts w:ascii="Times New Roman" w:cs="Times New Roman" w:eastAsia="Times New Roman" w:hAnsi="Times New Roman"/>
          <w:sz w:val="18"/>
          <w:szCs w:val="18"/>
          <w:i w:val="1"/>
          <w:iCs w:val="1"/>
          <w:color w:val="auto"/>
        </w:rPr>
        <w:t>Loan Review and Nonperforming Assets</w:t>
      </w:r>
      <w:r>
        <w:rPr>
          <w:rFonts w:ascii="Times New Roman" w:cs="Times New Roman" w:eastAsia="Times New Roman" w:hAnsi="Times New Roman"/>
          <w:sz w:val="18"/>
          <w:szCs w:val="18"/>
          <w:color w:val="auto"/>
        </w:rPr>
        <w:t xml:space="preserve"> in United’s Annual Report on Form 10-K for the year ended December 31, 2015.</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 classifies performing loans as “substandard” when there is a well-defined weakness or weaknesses that jeopardizes the repayment by the borrower and there is a distinct possibility that United could sustain some loss if the deficiency is not corrected.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performing classified loans for the last five quarters.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Table 8 - Performing Classified Loans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370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F0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0" w:type="dxa"/>
            <w:vAlign w:val="bottom"/>
            <w:tcBorders>
              <w:bottom w:val="single" w:sz="8" w:color="F0FFFF"/>
            </w:tcBorders>
          </w:tcPr>
          <w:p>
            <w:pPr>
              <w:spacing w:after="0"/>
              <w:rPr>
                <w:sz w:val="21"/>
                <w:szCs w:val="21"/>
                <w:color w:val="auto"/>
              </w:rPr>
            </w:pPr>
          </w:p>
        </w:tc>
        <w:tc>
          <w:tcPr>
            <w:tcW w:w="2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F0FFFF"/>
            </w:tcBorders>
          </w:tcPr>
          <w:p>
            <w:pPr>
              <w:spacing w:after="0"/>
              <w:rPr>
                <w:sz w:val="21"/>
                <w:szCs w:val="21"/>
                <w:color w:val="auto"/>
              </w:rPr>
            </w:pPr>
          </w:p>
        </w:tc>
      </w:tr>
      <w:tr>
        <w:trPr>
          <w:trHeight w:val="216"/>
        </w:trPr>
        <w:tc>
          <w:tcPr>
            <w:tcW w:w="3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Category</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37,368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32,916</w:t>
            </w: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39,886</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42,409</w:t>
            </w:r>
          </w:p>
        </w:tc>
      </w:tr>
      <w:tr>
        <w:trPr>
          <w:trHeight w:val="216"/>
        </w:trPr>
        <w:tc>
          <w:tcPr>
            <w:tcW w:w="3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24,258</w:t>
            </w: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27,631</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29,984</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30,047</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29,856</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8"/>
                <w:szCs w:val="18"/>
                <w:color w:val="auto"/>
              </w:rPr>
            </w:pPr>
          </w:p>
        </w:tc>
      </w:tr>
      <w:tr>
        <w:trPr>
          <w:trHeight w:val="250"/>
        </w:trPr>
        <w:tc>
          <w:tcPr>
            <w:tcW w:w="3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4,201</w:t>
            </w:r>
          </w:p>
        </w:tc>
        <w:tc>
          <w:tcPr>
            <w:tcW w:w="1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1,406</w:t>
            </w:r>
          </w:p>
        </w:tc>
        <w:tc>
          <w:tcPr>
            <w:tcW w:w="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shd w:val="clear" w:color="auto" w:fill="F0FFFF"/>
          </w:tcPr>
          <w:p>
            <w:pPr>
              <w:spacing w:after="0"/>
              <w:rPr>
                <w:sz w:val="21"/>
                <w:szCs w:val="21"/>
                <w:color w:val="auto"/>
              </w:rPr>
            </w:pPr>
          </w:p>
        </w:tc>
      </w:tr>
      <w:tr>
        <w:trPr>
          <w:trHeight w:val="203"/>
        </w:trPr>
        <w:tc>
          <w:tcPr>
            <w:tcW w:w="3700" w:type="dxa"/>
            <w:vAlign w:val="bottom"/>
            <w:tcBorders>
              <w:top w:val="single" w:sz="8" w:color="F0FF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75,874</w:t>
            </w:r>
          </w:p>
        </w:tc>
        <w:tc>
          <w:tcPr>
            <w:tcW w:w="2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71,529</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73,383</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77,306</w:t>
            </w:r>
          </w:p>
        </w:tc>
        <w:tc>
          <w:tcPr>
            <w:tcW w:w="18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81,342</w:t>
            </w:r>
          </w:p>
        </w:tc>
        <w:tc>
          <w:tcPr>
            <w:tcW w:w="100" w:type="dxa"/>
            <w:vAlign w:val="bottom"/>
            <w:tcBorders>
              <w:top w:val="single" w:sz="8" w:color="F0FFFF"/>
            </w:tcBorders>
          </w:tcPr>
          <w:p>
            <w:pPr>
              <w:spacing w:after="0"/>
              <w:rPr>
                <w:sz w:val="17"/>
                <w:szCs w:val="17"/>
                <w:color w:val="auto"/>
              </w:rPr>
            </w:pPr>
          </w:p>
        </w:tc>
      </w:tr>
      <w:tr>
        <w:trPr>
          <w:trHeight w:val="216"/>
        </w:trPr>
        <w:tc>
          <w:tcPr>
            <w:tcW w:w="3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30,212</w:t>
            </w: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32,025</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32,547</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30,519</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35,849</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Home equity</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Pr>
          <w:p>
            <w:pPr>
              <w:spacing w:after="0"/>
              <w:rPr>
                <w:sz w:val="18"/>
                <w:szCs w:val="18"/>
                <w:color w:val="auto"/>
              </w:rPr>
            </w:pPr>
          </w:p>
        </w:tc>
      </w:tr>
      <w:tr>
        <w:trPr>
          <w:trHeight w:val="216"/>
        </w:trPr>
        <w:tc>
          <w:tcPr>
            <w:tcW w:w="3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8,215</w:t>
            </w: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10,764</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10,180</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r>
      <w:tr>
        <w:trPr>
          <w:trHeight w:val="250"/>
        </w:trPr>
        <w:tc>
          <w:tcPr>
            <w:tcW w:w="3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1,616</w:t>
            </w:r>
          </w:p>
        </w:tc>
        <w:tc>
          <w:tcPr>
            <w:tcW w:w="1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1,213</w:t>
            </w:r>
          </w:p>
        </w:tc>
        <w:tc>
          <w:tcPr>
            <w:tcW w:w="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F0FFFF"/>
          </w:tcPr>
          <w:p>
            <w:pPr>
              <w:spacing w:after="0"/>
              <w:rPr>
                <w:sz w:val="21"/>
                <w:szCs w:val="21"/>
                <w:color w:val="auto"/>
              </w:rPr>
            </w:pPr>
          </w:p>
        </w:tc>
      </w:tr>
      <w:tr>
        <w:trPr>
          <w:trHeight w:val="217"/>
        </w:trPr>
        <w:tc>
          <w:tcPr>
            <w:tcW w:w="3700" w:type="dxa"/>
            <w:vAlign w:val="bottom"/>
            <w:tcBorders>
              <w:top w:val="single" w:sz="8" w:color="F0FFFF"/>
            </w:tcBorders>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121,626</w:t>
            </w:r>
          </w:p>
        </w:tc>
        <w:tc>
          <w:tcPr>
            <w:tcW w:w="22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118,516</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121,070</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127,527</w:t>
            </w:r>
          </w:p>
        </w:tc>
        <w:tc>
          <w:tcPr>
            <w:tcW w:w="18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136,038</w:t>
            </w:r>
          </w:p>
        </w:tc>
        <w:tc>
          <w:tcPr>
            <w:tcW w:w="100" w:type="dxa"/>
            <w:vAlign w:val="bottom"/>
            <w:tcBorders>
              <w:top w:val="single" w:sz="8" w:color="F0FFFF"/>
            </w:tcBorders>
          </w:tcPr>
          <w:p>
            <w:pPr>
              <w:spacing w:after="0"/>
              <w:rPr>
                <w:sz w:val="18"/>
                <w:szCs w:val="18"/>
                <w:color w:val="auto"/>
              </w:rPr>
            </w:pPr>
          </w:p>
        </w:tc>
      </w:tr>
      <w:tr>
        <w:trPr>
          <w:trHeight w:val="20"/>
        </w:trPr>
        <w:tc>
          <w:tcPr>
            <w:tcW w:w="37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r>
      <w:tr>
        <w:trPr>
          <w:trHeight w:val="210"/>
        </w:trPr>
        <w:tc>
          <w:tcPr>
            <w:tcW w:w="37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Market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240" w:type="dxa"/>
            <w:vAlign w:val="bottom"/>
            <w:shd w:val="clear" w:color="auto" w:fill="F0FF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40,231</w:t>
            </w: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38,953</w:t>
            </w:r>
          </w:p>
        </w:tc>
        <w:tc>
          <w:tcPr>
            <w:tcW w:w="22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36,692</w:t>
            </w:r>
          </w:p>
        </w:tc>
        <w:tc>
          <w:tcPr>
            <w:tcW w:w="320" w:type="dxa"/>
            <w:vAlign w:val="bottom"/>
            <w:gridSpan w:val="2"/>
            <w:shd w:val="clear" w:color="auto" w:fill="F0FF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46,668</w:t>
            </w:r>
          </w:p>
        </w:tc>
        <w:tc>
          <w:tcPr>
            <w:tcW w:w="240" w:type="dxa"/>
            <w:vAlign w:val="bottom"/>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50,695</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Atlanta MSA</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19,040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28,390</w:t>
            </w:r>
          </w:p>
        </w:tc>
      </w:tr>
      <w:tr>
        <w:trPr>
          <w:trHeight w:val="216"/>
        </w:trPr>
        <w:tc>
          <w:tcPr>
            <w:tcW w:w="3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12,179</w:t>
            </w: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13,792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13,757</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14,087</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13,914</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00" w:type="dxa"/>
            <w:vAlign w:val="bottom"/>
          </w:tcPr>
          <w:p>
            <w:pPr>
              <w:spacing w:after="0"/>
              <w:rPr>
                <w:sz w:val="18"/>
                <w:szCs w:val="18"/>
                <w:color w:val="auto"/>
              </w:rPr>
            </w:pPr>
          </w:p>
        </w:tc>
      </w:tr>
      <w:tr>
        <w:trPr>
          <w:trHeight w:val="216"/>
        </w:trPr>
        <w:tc>
          <w:tcPr>
            <w:tcW w:w="3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Gainesville MSA</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566</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East Tennessee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00" w:type="dxa"/>
            <w:vAlign w:val="bottom"/>
          </w:tcPr>
          <w:p>
            <w:pPr>
              <w:spacing w:after="0"/>
              <w:rPr>
                <w:sz w:val="18"/>
                <w:szCs w:val="18"/>
                <w:color w:val="auto"/>
              </w:rPr>
            </w:pPr>
          </w:p>
        </w:tc>
      </w:tr>
      <w:tr>
        <w:trPr>
          <w:trHeight w:val="216"/>
        </w:trPr>
        <w:tc>
          <w:tcPr>
            <w:tcW w:w="3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33,218</w:t>
            </w: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27,086</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30,280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23,620</w:t>
            </w: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25,873</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Specialized lending</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w:t>
            </w:r>
          </w:p>
        </w:tc>
      </w:tr>
      <w:tr>
        <w:trPr>
          <w:trHeight w:val="250"/>
        </w:trPr>
        <w:tc>
          <w:tcPr>
            <w:tcW w:w="37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220"/>
              <w:spacing w:after="0"/>
              <w:rPr>
                <w:sz w:val="20"/>
                <w:szCs w:val="20"/>
                <w:color w:val="auto"/>
              </w:rPr>
            </w:pPr>
            <w:r>
              <w:rPr>
                <w:rFonts w:ascii="Times New Roman" w:cs="Times New Roman" w:eastAsia="Times New Roman" w:hAnsi="Times New Roman"/>
                <w:sz w:val="18"/>
                <w:szCs w:val="18"/>
                <w:color w:val="auto"/>
              </w:rPr>
              <w:t>1,616</w:t>
            </w:r>
          </w:p>
        </w:tc>
        <w:tc>
          <w:tcPr>
            <w:tcW w:w="1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1,213</w:t>
            </w:r>
          </w:p>
        </w:tc>
        <w:tc>
          <w:tcPr>
            <w:tcW w:w="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F0FFFF"/>
          </w:tcPr>
          <w:p>
            <w:pPr>
              <w:spacing w:after="0"/>
              <w:rPr>
                <w:sz w:val="21"/>
                <w:szCs w:val="21"/>
                <w:color w:val="auto"/>
              </w:rPr>
            </w:pPr>
          </w:p>
        </w:tc>
      </w:tr>
      <w:tr>
        <w:trPr>
          <w:trHeight w:val="217"/>
        </w:trPr>
        <w:tc>
          <w:tcPr>
            <w:tcW w:w="3700" w:type="dxa"/>
            <w:vAlign w:val="bottom"/>
            <w:tcBorders>
              <w:top w:val="single" w:sz="8" w:color="F0FFFF"/>
            </w:tcBorders>
          </w:tcPr>
          <w:p>
            <w:pPr>
              <w:ind w:left="320"/>
              <w:spacing w:after="0"/>
              <w:rPr>
                <w:sz w:val="20"/>
                <w:szCs w:val="20"/>
                <w:color w:val="auto"/>
              </w:rPr>
            </w:pPr>
            <w:r>
              <w:rPr>
                <w:rFonts w:ascii="Times New Roman" w:cs="Times New Roman" w:eastAsia="Times New Roman" w:hAnsi="Times New Roman"/>
                <w:sz w:val="18"/>
                <w:szCs w:val="18"/>
                <w:color w:val="auto"/>
              </w:rPr>
              <w:t>Total loans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121,626</w:t>
            </w:r>
          </w:p>
        </w:tc>
        <w:tc>
          <w:tcPr>
            <w:tcW w:w="22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118,516</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121,070</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127,527</w:t>
            </w:r>
          </w:p>
        </w:tc>
        <w:tc>
          <w:tcPr>
            <w:tcW w:w="18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136,038</w:t>
            </w:r>
          </w:p>
        </w:tc>
        <w:tc>
          <w:tcPr>
            <w:tcW w:w="100" w:type="dxa"/>
            <w:vAlign w:val="bottom"/>
            <w:tcBorders>
              <w:top w:val="single" w:sz="8" w:color="F0FFFF"/>
            </w:tcBorders>
          </w:tcPr>
          <w:p>
            <w:pPr>
              <w:spacing w:after="0"/>
              <w:rPr>
                <w:sz w:val="18"/>
                <w:szCs w:val="18"/>
                <w:color w:val="auto"/>
              </w:rPr>
            </w:pPr>
          </w:p>
        </w:tc>
      </w:tr>
      <w:tr>
        <w:trPr>
          <w:trHeight w:val="21"/>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2016, performing classified loans totaled $122 million and increased $3.11 million from the prior quarter-end, and decreased $14.4 million from a year ago. Performing classified loans reflect a general downward trend, offset by the Acquisitions in 2016 and 2015. The increase in performing classified loans in South Carolina in the third quarter of 2016 was attributable to the Tidelands acquisition.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internal loan review, United also uses external loan review to ensure the objectivity of the loan review process.</w:t>
      </w: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allowance for credit losses for the periods indicated.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Allowance for Credit Losses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6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tcBorders>
              <w:bottom w:val="single" w:sz="8" w:color="F0FF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F0FFFF"/>
            </w:tcBorders>
          </w:tcPr>
          <w:p>
            <w:pPr>
              <w:spacing w:after="0"/>
              <w:rPr>
                <w:sz w:val="14"/>
                <w:szCs w:val="14"/>
                <w:color w:val="auto"/>
              </w:rPr>
            </w:pPr>
          </w:p>
        </w:tc>
        <w:tc>
          <w:tcPr>
            <w:tcW w:w="60" w:type="dxa"/>
            <w:vAlign w:val="bottom"/>
            <w:tcBorders>
              <w:top w:val="single" w:sz="8" w:color="auto"/>
              <w:bottom w:val="single" w:sz="8" w:color="F0FF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F0FF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F0FFFF"/>
            </w:tcBorders>
          </w:tcPr>
          <w:p>
            <w:pPr>
              <w:spacing w:after="0"/>
              <w:rPr>
                <w:sz w:val="14"/>
                <w:szCs w:val="14"/>
                <w:color w:val="auto"/>
              </w:rPr>
            </w:pPr>
          </w:p>
        </w:tc>
        <w:tc>
          <w:tcPr>
            <w:tcW w:w="40" w:type="dxa"/>
            <w:vAlign w:val="bottom"/>
            <w:tcBorders>
              <w:top w:val="single" w:sz="8" w:color="auto"/>
              <w:bottom w:val="single" w:sz="8" w:color="F0FF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Allowance for loan losses at beginning of period</w:t>
            </w: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64,253</w:t>
            </w: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70,129</w:t>
            </w: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68,448</w:t>
            </w: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71,619</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18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8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1,645</w:t>
            </w: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18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1,489</w:t>
            </w: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180" w:type="dxa"/>
            <w:vAlign w:val="bottom"/>
          </w:tcPr>
          <w:p>
            <w:pPr>
              <w:spacing w:after="0"/>
              <w:rPr>
                <w:sz w:val="12"/>
                <w:szCs w:val="12"/>
                <w:color w:val="auto"/>
              </w:rPr>
            </w:pPr>
          </w:p>
        </w:tc>
        <w:tc>
          <w:tcPr>
            <w:tcW w:w="12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1,513</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180" w:type="dxa"/>
            <w:vAlign w:val="bottom"/>
          </w:tcPr>
          <w:p>
            <w:pPr>
              <w:spacing w:after="0"/>
              <w:rPr>
                <w:sz w:val="12"/>
                <w:szCs w:val="12"/>
                <w:color w:val="auto"/>
              </w:rPr>
            </w:pPr>
          </w:p>
        </w:tc>
        <w:tc>
          <w:tcPr>
            <w:tcW w:w="12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1,295</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shd w:val="clear" w:color="auto" w:fill="F0FFFF"/>
          </w:tcPr>
          <w:p>
            <w:pPr>
              <w:ind w:left="160"/>
              <w:spacing w:after="0"/>
              <w:rPr>
                <w:sz w:val="20"/>
                <w:szCs w:val="20"/>
                <w:color w:val="auto"/>
              </w:rPr>
            </w:pPr>
            <w:r>
              <w:rPr>
                <w:rFonts w:ascii="Times New Roman" w:cs="Times New Roman" w:eastAsia="Times New Roman" w:hAnsi="Times New Roman"/>
                <w:sz w:val="14"/>
                <w:szCs w:val="14"/>
                <w:color w:val="auto"/>
              </w:rPr>
              <w:t>Indirect auto</w:t>
            </w:r>
          </w:p>
        </w:tc>
        <w:tc>
          <w:tcPr>
            <w:tcW w:w="160" w:type="dxa"/>
            <w:vAlign w:val="bottom"/>
            <w:shd w:val="clear" w:color="auto" w:fill="F0FFFF"/>
          </w:tcPr>
          <w:p>
            <w:pPr>
              <w:spacing w:after="0"/>
              <w:rPr>
                <w:sz w:val="15"/>
                <w:szCs w:val="15"/>
                <w:color w:val="auto"/>
              </w:rPr>
            </w:pPr>
          </w:p>
        </w:tc>
        <w:tc>
          <w:tcPr>
            <w:tcW w:w="110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8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2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175</w:t>
            </w:r>
          </w:p>
        </w:tc>
        <w:tc>
          <w:tcPr>
            <w:tcW w:w="180" w:type="dxa"/>
            <w:vAlign w:val="bottom"/>
            <w:shd w:val="clear" w:color="auto" w:fill="F0FFFF"/>
          </w:tcPr>
          <w:p>
            <w:pPr>
              <w:spacing w:after="0"/>
              <w:rPr>
                <w:sz w:val="15"/>
                <w:szCs w:val="15"/>
                <w:color w:val="auto"/>
              </w:rPr>
            </w:pPr>
          </w:p>
        </w:tc>
        <w:tc>
          <w:tcPr>
            <w:tcW w:w="10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80" w:type="dxa"/>
            <w:vAlign w:val="bottom"/>
            <w:shd w:val="clear" w:color="auto" w:fill="F0FFFF"/>
          </w:tcPr>
          <w:p>
            <w:pPr>
              <w:spacing w:after="0"/>
              <w:rPr>
                <w:sz w:val="15"/>
                <w:szCs w:val="15"/>
                <w:color w:val="auto"/>
              </w:rPr>
            </w:pPr>
          </w:p>
        </w:tc>
        <w:tc>
          <w:tcPr>
            <w:tcW w:w="4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00" w:type="dxa"/>
            <w:vAlign w:val="bottom"/>
            <w:tcBorders>
              <w:top w:val="single" w:sz="8" w:color="F0FFFF"/>
              <w:bottom w:val="single" w:sz="8" w:color="F0FFFF"/>
            </w:tcBorders>
          </w:tcPr>
          <w:p>
            <w:pPr>
              <w:ind w:left="320"/>
              <w:spacing w:after="0" w:line="136" w:lineRule="exact"/>
              <w:rPr>
                <w:sz w:val="20"/>
                <w:szCs w:val="20"/>
                <w:color w:val="auto"/>
              </w:rPr>
            </w:pPr>
            <w:r>
              <w:rPr>
                <w:rFonts w:ascii="Times New Roman" w:cs="Times New Roman" w:eastAsia="Times New Roman" w:hAnsi="Times New Roman"/>
                <w:sz w:val="14"/>
                <w:szCs w:val="14"/>
                <w:color w:val="auto"/>
              </w:rPr>
              <w:t>Total loans charged-off</w:t>
            </w: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2,964</w:t>
            </w:r>
          </w:p>
        </w:tc>
        <w:tc>
          <w:tcPr>
            <w:tcW w:w="180" w:type="dxa"/>
            <w:vAlign w:val="bottom"/>
            <w:tcBorders>
              <w:top w:val="single" w:sz="8" w:color="F0FFFF"/>
              <w:bottom w:val="single" w:sz="8" w:color="F0FFFF"/>
            </w:tcBorders>
          </w:tcPr>
          <w:p>
            <w:pPr>
              <w:spacing w:after="0"/>
              <w:rPr>
                <w:sz w:val="12"/>
                <w:szCs w:val="12"/>
                <w:color w:val="auto"/>
              </w:rPr>
            </w:pPr>
          </w:p>
        </w:tc>
        <w:tc>
          <w:tcPr>
            <w:tcW w:w="60" w:type="dxa"/>
            <w:vAlign w:val="bottom"/>
            <w:tcBorders>
              <w:top w:val="single" w:sz="8" w:color="F0FFFF"/>
              <w:bottom w:val="single" w:sz="8" w:color="F0FF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3,159</w:t>
            </w:r>
          </w:p>
        </w:tc>
        <w:tc>
          <w:tcPr>
            <w:tcW w:w="240" w:type="dxa"/>
            <w:vAlign w:val="bottom"/>
            <w:tcBorders>
              <w:top w:val="single" w:sz="8" w:color="F0FFFF"/>
              <w:bottom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9,650</w:t>
            </w:r>
          </w:p>
        </w:tc>
        <w:tc>
          <w:tcPr>
            <w:tcW w:w="180" w:type="dxa"/>
            <w:vAlign w:val="bottom"/>
            <w:tcBorders>
              <w:top w:val="single" w:sz="8" w:color="F0FFFF"/>
              <w:bottom w:val="single" w:sz="8" w:color="F0FFFF"/>
            </w:tcBorders>
          </w:tcPr>
          <w:p>
            <w:pPr>
              <w:spacing w:after="0"/>
              <w:rPr>
                <w:sz w:val="12"/>
                <w:szCs w:val="12"/>
                <w:color w:val="auto"/>
              </w:rPr>
            </w:pPr>
          </w:p>
        </w:tc>
        <w:tc>
          <w:tcPr>
            <w:tcW w:w="40" w:type="dxa"/>
            <w:vAlign w:val="bottom"/>
            <w:tcBorders>
              <w:top w:val="single" w:sz="8" w:color="F0FFFF"/>
              <w:bottom w:val="single" w:sz="8" w:color="F0FF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9,692</w:t>
            </w:r>
          </w:p>
        </w:tc>
        <w:tc>
          <w:tcPr>
            <w:tcW w:w="100" w:type="dxa"/>
            <w:vAlign w:val="bottom"/>
            <w:tcBorders>
              <w:top w:val="single" w:sz="8" w:color="F0FFFF"/>
              <w:bottom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Owner occupied commercial real estate</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Income producing commercial real estate</w:t>
            </w: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180" w:type="dxa"/>
            <w:vAlign w:val="bottom"/>
          </w:tcPr>
          <w:p>
            <w:pPr>
              <w:spacing w:after="0"/>
              <w:rPr>
                <w:sz w:val="12"/>
                <w:szCs w:val="12"/>
                <w:color w:val="auto"/>
              </w:rPr>
            </w:pPr>
          </w:p>
        </w:tc>
        <w:tc>
          <w:tcPr>
            <w:tcW w:w="12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Home equity lines of credit</w:t>
            </w: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Consumer installment</w:t>
            </w: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Indirect auto</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tcBorders>
              <w:top w:val="single" w:sz="8" w:color="F0FFFF"/>
              <w:bottom w:val="single" w:sz="8" w:color="F0FFFF"/>
            </w:tcBorders>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Total recoveries</w:t>
            </w:r>
          </w:p>
        </w:tc>
        <w:tc>
          <w:tcPr>
            <w:tcW w:w="160" w:type="dxa"/>
            <w:vAlign w:val="bottom"/>
            <w:tcBorders>
              <w:top w:val="single" w:sz="8" w:color="auto"/>
              <w:bottom w:val="single" w:sz="8" w:color="auto"/>
            </w:tcBorders>
            <w:shd w:val="clear" w:color="auto" w:fill="F0FFFF"/>
          </w:tcPr>
          <w:p>
            <w:pPr>
              <w:spacing w:after="0"/>
              <w:rPr>
                <w:sz w:val="14"/>
                <w:szCs w:val="14"/>
                <w:color w:val="auto"/>
              </w:rPr>
            </w:pPr>
          </w:p>
        </w:tc>
        <w:tc>
          <w:tcPr>
            <w:tcW w:w="11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w:t>
            </w:r>
          </w:p>
        </w:tc>
        <w:tc>
          <w:tcPr>
            <w:tcW w:w="180" w:type="dxa"/>
            <w:vAlign w:val="bottom"/>
            <w:tcBorders>
              <w:top w:val="single" w:sz="8" w:color="F0FFFF"/>
              <w:bottom w:val="single" w:sz="8" w:color="F0FFFF"/>
            </w:tcBorders>
            <w:shd w:val="clear" w:color="auto" w:fill="F0FFFF"/>
          </w:tcPr>
          <w:p>
            <w:pPr>
              <w:spacing w:after="0"/>
              <w:rPr>
                <w:sz w:val="14"/>
                <w:szCs w:val="14"/>
                <w:color w:val="auto"/>
              </w:rPr>
            </w:pPr>
          </w:p>
        </w:tc>
        <w:tc>
          <w:tcPr>
            <w:tcW w:w="6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spacing w:after="0"/>
              <w:rPr>
                <w:sz w:val="14"/>
                <w:szCs w:val="14"/>
                <w:color w:val="auto"/>
              </w:rPr>
            </w:pPr>
          </w:p>
        </w:tc>
        <w:tc>
          <w:tcPr>
            <w:tcW w:w="9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1,742</w:t>
            </w:r>
          </w:p>
        </w:tc>
        <w:tc>
          <w:tcPr>
            <w:tcW w:w="240" w:type="dxa"/>
            <w:vAlign w:val="bottom"/>
            <w:tcBorders>
              <w:top w:val="single" w:sz="8" w:color="F0FFFF"/>
              <w:bottom w:val="single" w:sz="8" w:color="F0FFFF"/>
            </w:tcBorders>
            <w:shd w:val="clear" w:color="auto" w:fill="F0FFFF"/>
          </w:tcPr>
          <w:p>
            <w:pPr>
              <w:spacing w:after="0"/>
              <w:rPr>
                <w:sz w:val="14"/>
                <w:szCs w:val="14"/>
                <w:color w:val="auto"/>
              </w:rPr>
            </w:pPr>
          </w:p>
        </w:tc>
        <w:tc>
          <w:tcPr>
            <w:tcW w:w="180" w:type="dxa"/>
            <w:vAlign w:val="bottom"/>
            <w:tcBorders>
              <w:top w:val="single" w:sz="8" w:color="auto"/>
              <w:bottom w:val="single" w:sz="8" w:color="auto"/>
            </w:tcBorders>
            <w:shd w:val="clear" w:color="auto" w:fill="F0FFFF"/>
          </w:tcPr>
          <w:p>
            <w:pPr>
              <w:spacing w:after="0"/>
              <w:rPr>
                <w:sz w:val="14"/>
                <w:szCs w:val="14"/>
                <w:color w:val="auto"/>
              </w:rPr>
            </w:pPr>
          </w:p>
        </w:tc>
        <w:tc>
          <w:tcPr>
            <w:tcW w:w="10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4,423</w:t>
            </w:r>
          </w:p>
        </w:tc>
        <w:tc>
          <w:tcPr>
            <w:tcW w:w="180" w:type="dxa"/>
            <w:vAlign w:val="bottom"/>
            <w:tcBorders>
              <w:top w:val="single" w:sz="8" w:color="F0FFFF"/>
              <w:bottom w:val="single" w:sz="8" w:color="F0FFFF"/>
            </w:tcBorders>
            <w:shd w:val="clear" w:color="auto" w:fill="F0FFFF"/>
          </w:tcPr>
          <w:p>
            <w:pPr>
              <w:spacing w:after="0"/>
              <w:rPr>
                <w:sz w:val="14"/>
                <w:szCs w:val="14"/>
                <w:color w:val="auto"/>
              </w:rPr>
            </w:pPr>
          </w:p>
        </w:tc>
        <w:tc>
          <w:tcPr>
            <w:tcW w:w="4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spacing w:after="0"/>
              <w:rPr>
                <w:sz w:val="14"/>
                <w:szCs w:val="14"/>
                <w:color w:val="auto"/>
              </w:rPr>
            </w:pPr>
          </w:p>
        </w:tc>
        <w:tc>
          <w:tcPr>
            <w:tcW w:w="98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4,735</w:t>
            </w: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00" w:type="dxa"/>
            <w:vAlign w:val="bottom"/>
            <w:tcBorders>
              <w:bottom w:val="single" w:sz="8" w:color="F0FFFF"/>
            </w:tcBorders>
          </w:tcPr>
          <w:p>
            <w:pPr>
              <w:ind w:left="320"/>
              <w:spacing w:after="0" w:line="136" w:lineRule="exact"/>
              <w:rPr>
                <w:sz w:val="20"/>
                <w:szCs w:val="20"/>
                <w:color w:val="auto"/>
              </w:rPr>
            </w:pPr>
            <w:r>
              <w:rPr>
                <w:rFonts w:ascii="Times New Roman" w:cs="Times New Roman" w:eastAsia="Times New Roman" w:hAnsi="Times New Roman"/>
                <w:sz w:val="14"/>
                <w:szCs w:val="14"/>
                <w:color w:val="auto"/>
              </w:rPr>
              <w:t>Net charge-offs</w:t>
            </w: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1,359</w:t>
            </w:r>
          </w:p>
        </w:tc>
        <w:tc>
          <w:tcPr>
            <w:tcW w:w="180" w:type="dxa"/>
            <w:vAlign w:val="bottom"/>
            <w:tcBorders>
              <w:bottom w:val="single" w:sz="8" w:color="F0FFFF"/>
            </w:tcBorders>
          </w:tcPr>
          <w:p>
            <w:pPr>
              <w:spacing w:after="0"/>
              <w:rPr>
                <w:sz w:val="12"/>
                <w:szCs w:val="12"/>
                <w:color w:val="auto"/>
              </w:rPr>
            </w:pPr>
          </w:p>
        </w:tc>
        <w:tc>
          <w:tcPr>
            <w:tcW w:w="60" w:type="dxa"/>
            <w:vAlign w:val="bottom"/>
            <w:tcBorders>
              <w:bottom w:val="single" w:sz="8" w:color="F0FF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1,417</w:t>
            </w:r>
          </w:p>
        </w:tc>
        <w:tc>
          <w:tcPr>
            <w:tcW w:w="240" w:type="dxa"/>
            <w:vAlign w:val="bottom"/>
            <w:tcBorders>
              <w:bottom w:val="single" w:sz="8" w:color="F0FF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5,227</w:t>
            </w:r>
          </w:p>
        </w:tc>
        <w:tc>
          <w:tcPr>
            <w:tcW w:w="180" w:type="dxa"/>
            <w:vAlign w:val="bottom"/>
            <w:tcBorders>
              <w:bottom w:val="single" w:sz="8" w:color="F0FFFF"/>
            </w:tcBorders>
          </w:tcPr>
          <w:p>
            <w:pPr>
              <w:spacing w:after="0"/>
              <w:rPr>
                <w:sz w:val="12"/>
                <w:szCs w:val="12"/>
                <w:color w:val="auto"/>
              </w:rPr>
            </w:pPr>
          </w:p>
        </w:tc>
        <w:tc>
          <w:tcPr>
            <w:tcW w:w="40" w:type="dxa"/>
            <w:vAlign w:val="bottom"/>
            <w:tcBorders>
              <w:bottom w:val="single" w:sz="8" w:color="F0FF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4,957</w:t>
            </w:r>
          </w:p>
        </w:tc>
        <w:tc>
          <w:tcPr>
            <w:tcW w:w="100" w:type="dxa"/>
            <w:vAlign w:val="bottom"/>
            <w:tcBorders>
              <w:bottom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Borders>
              <w:bottom w:val="single" w:sz="8" w:color="F0FFFF"/>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(Release of) provision for loan losses</w:t>
            </w:r>
          </w:p>
        </w:tc>
        <w:tc>
          <w:tcPr>
            <w:tcW w:w="160" w:type="dxa"/>
            <w:vAlign w:val="bottom"/>
            <w:tcBorders>
              <w:bottom w:val="single" w:sz="8" w:color="auto"/>
            </w:tcBorders>
            <w:shd w:val="clear" w:color="auto" w:fill="F0FFFF"/>
          </w:tcPr>
          <w:p>
            <w:pPr>
              <w:spacing w:after="0"/>
              <w:rPr>
                <w:sz w:val="13"/>
                <w:szCs w:val="13"/>
                <w:color w:val="auto"/>
              </w:rPr>
            </w:pPr>
          </w:p>
        </w:tc>
        <w:tc>
          <w:tcPr>
            <w:tcW w:w="1100" w:type="dxa"/>
            <w:vAlign w:val="bottom"/>
            <w:tcBorders>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80" w:type="dxa"/>
            <w:vAlign w:val="bottom"/>
            <w:tcBorders>
              <w:bottom w:val="single" w:sz="8" w:color="F0FFFF"/>
            </w:tcBorders>
            <w:shd w:val="clear" w:color="auto" w:fill="F0FFFF"/>
          </w:tcPr>
          <w:p>
            <w:pPr>
              <w:spacing w:after="0"/>
              <w:rPr>
                <w:sz w:val="13"/>
                <w:szCs w:val="13"/>
                <w:color w:val="auto"/>
              </w:rPr>
            </w:pPr>
          </w:p>
        </w:tc>
        <w:tc>
          <w:tcPr>
            <w:tcW w:w="60" w:type="dxa"/>
            <w:vAlign w:val="bottom"/>
            <w:tcBorders>
              <w:bottom w:val="single" w:sz="8" w:color="F0FFFF"/>
            </w:tcBorders>
            <w:shd w:val="clear" w:color="auto" w:fill="F0FFFF"/>
          </w:tcPr>
          <w:p>
            <w:pPr>
              <w:spacing w:after="0"/>
              <w:rPr>
                <w:sz w:val="13"/>
                <w:szCs w:val="13"/>
                <w:color w:val="auto"/>
              </w:rPr>
            </w:pPr>
          </w:p>
        </w:tc>
        <w:tc>
          <w:tcPr>
            <w:tcW w:w="280" w:type="dxa"/>
            <w:vAlign w:val="bottom"/>
            <w:tcBorders>
              <w:bottom w:val="single" w:sz="8" w:color="auto"/>
            </w:tcBorders>
            <w:shd w:val="clear" w:color="auto" w:fill="F0FFFF"/>
          </w:tcPr>
          <w:p>
            <w:pPr>
              <w:spacing w:after="0"/>
              <w:rPr>
                <w:sz w:val="13"/>
                <w:szCs w:val="13"/>
                <w:color w:val="auto"/>
              </w:rPr>
            </w:pPr>
          </w:p>
        </w:tc>
        <w:tc>
          <w:tcPr>
            <w:tcW w:w="960" w:type="dxa"/>
            <w:vAlign w:val="bottom"/>
            <w:tcBorders>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40" w:type="dxa"/>
            <w:vAlign w:val="bottom"/>
            <w:tcBorders>
              <w:bottom w:val="single" w:sz="8" w:color="F0FFFF"/>
            </w:tcBorders>
            <w:shd w:val="clear" w:color="auto" w:fill="F0FFFF"/>
          </w:tcPr>
          <w:p>
            <w:pPr>
              <w:spacing w:after="0"/>
              <w:rPr>
                <w:sz w:val="13"/>
                <w:szCs w:val="13"/>
                <w:color w:val="auto"/>
              </w:rPr>
            </w:pPr>
          </w:p>
        </w:tc>
        <w:tc>
          <w:tcPr>
            <w:tcW w:w="180" w:type="dxa"/>
            <w:vAlign w:val="bottom"/>
            <w:tcBorders>
              <w:bottom w:val="single" w:sz="8" w:color="auto"/>
            </w:tcBorders>
            <w:shd w:val="clear" w:color="auto" w:fill="F0FFFF"/>
          </w:tcPr>
          <w:p>
            <w:pPr>
              <w:spacing w:after="0"/>
              <w:rPr>
                <w:sz w:val="13"/>
                <w:szCs w:val="13"/>
                <w:color w:val="auto"/>
              </w:rPr>
            </w:pPr>
          </w:p>
        </w:tc>
        <w:tc>
          <w:tcPr>
            <w:tcW w:w="1060" w:type="dxa"/>
            <w:vAlign w:val="bottom"/>
            <w:tcBorders>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180" w:type="dxa"/>
            <w:vAlign w:val="bottom"/>
            <w:tcBorders>
              <w:bottom w:val="single" w:sz="8" w:color="F0FFFF"/>
            </w:tcBorders>
            <w:shd w:val="clear" w:color="auto" w:fill="F0FFFF"/>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bottom w:val="single" w:sz="8" w:color="F0FFFF"/>
            </w:tcBorders>
            <w:shd w:val="clear" w:color="auto" w:fill="F0FFFF"/>
          </w:tcPr>
          <w:p>
            <w:pPr>
              <w:spacing w:after="0"/>
              <w:rPr>
                <w:sz w:val="13"/>
                <w:szCs w:val="13"/>
                <w:color w:val="auto"/>
              </w:rPr>
            </w:pPr>
          </w:p>
        </w:tc>
        <w:tc>
          <w:tcPr>
            <w:tcW w:w="280" w:type="dxa"/>
            <w:vAlign w:val="bottom"/>
            <w:tcBorders>
              <w:bottom w:val="single" w:sz="8" w:color="auto"/>
            </w:tcBorders>
            <w:shd w:val="clear" w:color="auto" w:fill="F0FFFF"/>
          </w:tcPr>
          <w:p>
            <w:pPr>
              <w:spacing w:after="0"/>
              <w:rPr>
                <w:sz w:val="13"/>
                <w:szCs w:val="13"/>
                <w:color w:val="auto"/>
              </w:rPr>
            </w:pPr>
          </w:p>
        </w:tc>
        <w:tc>
          <w:tcPr>
            <w:tcW w:w="980" w:type="dxa"/>
            <w:vAlign w:val="bottom"/>
            <w:tcBorders>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100" w:type="dxa"/>
            <w:vAlign w:val="bottom"/>
            <w:tcBorders>
              <w:bottom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0" w:type="dxa"/>
            <w:vAlign w:val="bottom"/>
            <w:shd w:val="clear" w:color="auto" w:fill="F0FFFF"/>
          </w:tcPr>
          <w:p>
            <w:pPr>
              <w:spacing w:after="0"/>
              <w:rPr>
                <w:sz w:val="20"/>
                <w:szCs w:val="20"/>
                <w:color w:val="auto"/>
              </w:rPr>
            </w:pPr>
            <w:r>
              <w:rPr>
                <w:rFonts w:ascii="Times New Roman" w:cs="Times New Roman" w:eastAsia="Times New Roman" w:hAnsi="Times New Roman"/>
                <w:sz w:val="14"/>
                <w:szCs w:val="14"/>
                <w:color w:val="auto"/>
              </w:rPr>
              <w:t>Allowance for loan losses at end of period</w:t>
            </w: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4"/>
                <w:szCs w:val="14"/>
                <w:color w:val="auto"/>
              </w:rPr>
              <w:t>62,961</w:t>
            </w:r>
          </w:p>
        </w:tc>
        <w:tc>
          <w:tcPr>
            <w:tcW w:w="340" w:type="dxa"/>
            <w:vAlign w:val="bottom"/>
            <w:gridSpan w:val="2"/>
            <w:shd w:val="clear" w:color="auto" w:fill="F0FF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Times New Roman" w:cs="Times New Roman" w:eastAsia="Times New Roman" w:hAnsi="Times New Roman"/>
                <w:sz w:val="14"/>
                <w:szCs w:val="14"/>
                <w:color w:val="auto"/>
              </w:rPr>
              <w:t>69,062</w:t>
            </w:r>
          </w:p>
        </w:tc>
        <w:tc>
          <w:tcPr>
            <w:tcW w:w="180" w:type="dxa"/>
            <w:vAlign w:val="bottom"/>
            <w:shd w:val="clear" w:color="auto" w:fill="F0FF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F0FFFF"/>
          </w:tcPr>
          <w:p>
            <w:pPr>
              <w:jc w:val="right"/>
              <w:ind w:right="139"/>
              <w:spacing w:after="0"/>
              <w:rPr>
                <w:sz w:val="20"/>
                <w:szCs w:val="20"/>
                <w:color w:val="auto"/>
              </w:rPr>
            </w:pPr>
            <w:r>
              <w:rPr>
                <w:rFonts w:ascii="Times New Roman" w:cs="Times New Roman" w:eastAsia="Times New Roman" w:hAnsi="Times New Roman"/>
                <w:sz w:val="14"/>
                <w:szCs w:val="14"/>
                <w:color w:val="auto"/>
              </w:rPr>
              <w:t>62,961</w:t>
            </w:r>
          </w:p>
        </w:tc>
        <w:tc>
          <w:tcPr>
            <w:tcW w:w="320" w:type="dxa"/>
            <w:vAlign w:val="bottom"/>
            <w:gridSpan w:val="2"/>
            <w:shd w:val="clear" w:color="auto" w:fill="F0FF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4"/>
                <w:szCs w:val="14"/>
                <w:color w:val="auto"/>
              </w:rPr>
              <w:t>69,062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Allowance for unfunded commitments at beginning of period</w:t>
            </w: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2,369</w:t>
            </w:r>
          </w:p>
        </w:tc>
        <w:tc>
          <w:tcPr>
            <w:tcW w:w="340" w:type="dxa"/>
            <w:vAlign w:val="bottom"/>
            <w:gridSpan w:val="2"/>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2,580</w:t>
            </w:r>
          </w:p>
        </w:tc>
        <w:tc>
          <w:tcPr>
            <w:tcW w:w="180" w:type="dxa"/>
            <w:vAlign w:val="bottom"/>
            <w:shd w:val="clear" w:color="auto" w:fill="F0FF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2,542</w:t>
            </w:r>
          </w:p>
        </w:tc>
        <w:tc>
          <w:tcPr>
            <w:tcW w:w="320" w:type="dxa"/>
            <w:vAlign w:val="bottom"/>
            <w:gridSpan w:val="2"/>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(Release of) provision for losses on unfunded commitments</w:t>
            </w:r>
          </w:p>
        </w:tc>
        <w:tc>
          <w:tcPr>
            <w:tcW w:w="1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350</w:t>
            </w:r>
          </w:p>
        </w:tc>
        <w:tc>
          <w:tcPr>
            <w:tcW w:w="180" w:type="dxa"/>
            <w:vAlign w:val="bottom"/>
          </w:tcPr>
          <w:p>
            <w:pPr>
              <w:spacing w:after="0"/>
              <w:rPr>
                <w:sz w:val="14"/>
                <w:szCs w:val="14"/>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(540)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tcBorders>
              <w:top w:val="single" w:sz="8" w:color="F0FFFF"/>
              <w:bottom w:val="single" w:sz="8" w:color="F0FFFF"/>
            </w:tcBorders>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Allowance for unfunded commitments at end of period</w:t>
            </w:r>
          </w:p>
        </w:tc>
        <w:tc>
          <w:tcPr>
            <w:tcW w:w="160" w:type="dxa"/>
            <w:vAlign w:val="bottom"/>
            <w:tcBorders>
              <w:top w:val="single" w:sz="8" w:color="auto"/>
              <w:bottom w:val="single" w:sz="8" w:color="auto"/>
            </w:tcBorders>
            <w:shd w:val="clear" w:color="auto" w:fill="F0FFFF"/>
          </w:tcPr>
          <w:p>
            <w:pPr>
              <w:spacing w:after="0"/>
              <w:rPr>
                <w:sz w:val="14"/>
                <w:szCs w:val="14"/>
                <w:color w:val="auto"/>
              </w:rPr>
            </w:pPr>
          </w:p>
        </w:tc>
        <w:tc>
          <w:tcPr>
            <w:tcW w:w="11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2,002</w:t>
            </w:r>
          </w:p>
        </w:tc>
        <w:tc>
          <w:tcPr>
            <w:tcW w:w="180" w:type="dxa"/>
            <w:vAlign w:val="bottom"/>
            <w:tcBorders>
              <w:top w:val="single" w:sz="8" w:color="F0FFFF"/>
              <w:bottom w:val="single" w:sz="8" w:color="F0FFFF"/>
            </w:tcBorders>
            <w:shd w:val="clear" w:color="auto" w:fill="F0FFFF"/>
          </w:tcPr>
          <w:p>
            <w:pPr>
              <w:spacing w:after="0"/>
              <w:rPr>
                <w:sz w:val="14"/>
                <w:szCs w:val="14"/>
                <w:color w:val="auto"/>
              </w:rPr>
            </w:pPr>
          </w:p>
        </w:tc>
        <w:tc>
          <w:tcPr>
            <w:tcW w:w="6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spacing w:after="0"/>
              <w:rPr>
                <w:sz w:val="14"/>
                <w:szCs w:val="14"/>
                <w:color w:val="auto"/>
              </w:rPr>
            </w:pPr>
          </w:p>
        </w:tc>
        <w:tc>
          <w:tcPr>
            <w:tcW w:w="9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w:t>
            </w:r>
          </w:p>
        </w:tc>
        <w:tc>
          <w:tcPr>
            <w:tcW w:w="240" w:type="dxa"/>
            <w:vAlign w:val="bottom"/>
            <w:tcBorders>
              <w:top w:val="single" w:sz="8" w:color="F0FFFF"/>
              <w:bottom w:val="single" w:sz="8" w:color="F0FFFF"/>
            </w:tcBorders>
            <w:shd w:val="clear" w:color="auto" w:fill="F0FFFF"/>
          </w:tcPr>
          <w:p>
            <w:pPr>
              <w:spacing w:after="0"/>
              <w:rPr>
                <w:sz w:val="14"/>
                <w:szCs w:val="14"/>
                <w:color w:val="auto"/>
              </w:rPr>
            </w:pPr>
          </w:p>
        </w:tc>
        <w:tc>
          <w:tcPr>
            <w:tcW w:w="180" w:type="dxa"/>
            <w:vAlign w:val="bottom"/>
            <w:tcBorders>
              <w:top w:val="single" w:sz="8" w:color="auto"/>
              <w:bottom w:val="single" w:sz="8" w:color="auto"/>
            </w:tcBorders>
            <w:shd w:val="clear" w:color="auto" w:fill="F0FFFF"/>
          </w:tcPr>
          <w:p>
            <w:pPr>
              <w:spacing w:after="0"/>
              <w:rPr>
                <w:sz w:val="14"/>
                <w:szCs w:val="14"/>
                <w:color w:val="auto"/>
              </w:rPr>
            </w:pPr>
          </w:p>
        </w:tc>
        <w:tc>
          <w:tcPr>
            <w:tcW w:w="10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2,002</w:t>
            </w:r>
          </w:p>
        </w:tc>
        <w:tc>
          <w:tcPr>
            <w:tcW w:w="180" w:type="dxa"/>
            <w:vAlign w:val="bottom"/>
            <w:tcBorders>
              <w:top w:val="single" w:sz="8" w:color="F0FFFF"/>
              <w:bottom w:val="single" w:sz="8" w:color="F0FFFF"/>
            </w:tcBorders>
            <w:shd w:val="clear" w:color="auto" w:fill="F0FFFF"/>
          </w:tcPr>
          <w:p>
            <w:pPr>
              <w:spacing w:after="0"/>
              <w:rPr>
                <w:sz w:val="14"/>
                <w:szCs w:val="14"/>
                <w:color w:val="auto"/>
              </w:rPr>
            </w:pPr>
          </w:p>
        </w:tc>
        <w:tc>
          <w:tcPr>
            <w:tcW w:w="40" w:type="dxa"/>
            <w:vAlign w:val="bottom"/>
            <w:tcBorders>
              <w:top w:val="single" w:sz="8" w:color="F0FFFF"/>
              <w:bottom w:val="single" w:sz="8" w:color="F0FFFF"/>
            </w:tcBorders>
            <w:shd w:val="clear" w:color="auto" w:fill="F0FFFF"/>
          </w:tcPr>
          <w:p>
            <w:pPr>
              <w:spacing w:after="0"/>
              <w:rPr>
                <w:sz w:val="14"/>
                <w:szCs w:val="14"/>
                <w:color w:val="auto"/>
              </w:rPr>
            </w:pPr>
          </w:p>
        </w:tc>
        <w:tc>
          <w:tcPr>
            <w:tcW w:w="280" w:type="dxa"/>
            <w:vAlign w:val="bottom"/>
            <w:tcBorders>
              <w:top w:val="single" w:sz="8" w:color="auto"/>
              <w:bottom w:val="single" w:sz="8" w:color="auto"/>
            </w:tcBorders>
            <w:shd w:val="clear" w:color="auto" w:fill="F0FFFF"/>
          </w:tcPr>
          <w:p>
            <w:pPr>
              <w:spacing w:after="0"/>
              <w:rPr>
                <w:sz w:val="14"/>
                <w:szCs w:val="14"/>
                <w:color w:val="auto"/>
              </w:rPr>
            </w:pPr>
          </w:p>
        </w:tc>
        <w:tc>
          <w:tcPr>
            <w:tcW w:w="98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w:t>
            </w: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64,963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71,992</w:t>
            </w:r>
          </w:p>
        </w:tc>
        <w:tc>
          <w:tcPr>
            <w:tcW w:w="240" w:type="dxa"/>
            <w:vAlign w:val="bottom"/>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64,963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71,992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6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loans:</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At period-end</w:t>
            </w:r>
          </w:p>
        </w:tc>
        <w:tc>
          <w:tcPr>
            <w:tcW w:w="160" w:type="dxa"/>
            <w:vAlign w:val="bottom"/>
            <w:shd w:val="clear" w:color="auto" w:fill="F0FF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6,725,110</w:t>
            </w:r>
          </w:p>
        </w:tc>
        <w:tc>
          <w:tcPr>
            <w:tcW w:w="340" w:type="dxa"/>
            <w:vAlign w:val="bottom"/>
            <w:gridSpan w:val="2"/>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6,023,585</w:t>
            </w:r>
          </w:p>
        </w:tc>
        <w:tc>
          <w:tcPr>
            <w:tcW w:w="180" w:type="dxa"/>
            <w:vAlign w:val="bottom"/>
            <w:shd w:val="clear" w:color="auto" w:fill="F0FF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6,725,110</w:t>
            </w:r>
          </w:p>
        </w:tc>
        <w:tc>
          <w:tcPr>
            <w:tcW w:w="320" w:type="dxa"/>
            <w:vAlign w:val="bottom"/>
            <w:gridSpan w:val="2"/>
            <w:shd w:val="clear" w:color="auto" w:fill="F0FF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6,023,585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6,675,328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5,457,158</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6,277,972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5,069,270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Allowance for loan losses as a percentage of period-end loans</w:t>
            </w:r>
          </w:p>
        </w:tc>
        <w:tc>
          <w:tcPr>
            <w:tcW w:w="16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0.94%</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80" w:type="dxa"/>
            <w:vAlign w:val="bottom"/>
          </w:tcPr>
          <w:p>
            <w:pPr>
              <w:spacing w:after="0"/>
              <w:rPr>
                <w:sz w:val="12"/>
                <w:szCs w:val="12"/>
                <w:color w:val="auto"/>
              </w:rPr>
            </w:pPr>
          </w:p>
        </w:tc>
        <w:tc>
          <w:tcPr>
            <w:tcW w:w="12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0.94%</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 a percentage of average loans (annualized):</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charge-offs</w:t>
            </w:r>
          </w:p>
        </w:tc>
        <w:tc>
          <w:tcPr>
            <w:tcW w:w="160" w:type="dxa"/>
            <w:vAlign w:val="bottom"/>
            <w:shd w:val="clear" w:color="auto" w:fill="F0FFFF"/>
          </w:tcPr>
          <w:p>
            <w:pPr>
              <w:spacing w:after="0"/>
              <w:rPr>
                <w:sz w:val="12"/>
                <w:szCs w:val="12"/>
                <w:color w:val="auto"/>
              </w:rPr>
            </w:pPr>
          </w:p>
        </w:tc>
        <w:tc>
          <w:tcPr>
            <w:tcW w:w="12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20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F0FFFF"/>
          </w:tcPr>
          <w:p>
            <w:pPr>
              <w:spacing w:after="0"/>
              <w:rPr>
                <w:sz w:val="12"/>
                <w:szCs w:val="12"/>
                <w:color w:val="auto"/>
              </w:rPr>
            </w:pPr>
          </w:p>
        </w:tc>
        <w:tc>
          <w:tcPr>
            <w:tcW w:w="1240" w:type="dxa"/>
            <w:vAlign w:val="bottom"/>
            <w:gridSpan w:val="2"/>
            <w:shd w:val="clear" w:color="auto" w:fill="F0FF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(Release of) provision for loan losses</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.03</w:t>
            </w:r>
          </w:p>
        </w:tc>
        <w:tc>
          <w:tcPr>
            <w:tcW w:w="180" w:type="dxa"/>
            <w:vAlign w:val="bottom"/>
          </w:tcPr>
          <w:p>
            <w:pPr>
              <w:spacing w:after="0"/>
              <w:rPr>
                <w:sz w:val="16"/>
                <w:szCs w:val="16"/>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declining level of the allowance for loan losses compared to the previous periods reflects stabilizing trends in substandard and nonperforming loans as well as charge-off levels. Further, the declining balance of the allowance for loan losses over the last several quarters reflects an overall improving trend in the historical loss experience factors used in management’s analysis of the adequacy of the allowance for loan losses.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which includes a portion related to unfunded commitments, totaled $65.0 million at September 30, 2016, compared with $71.0 million at December 31, 2015. At September 30, 2016, the allowance for loan losses was $63.0 million, or .94% of loans, compared with $68.4 million, or 1.14% of total loans, at December 31, 2015.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believes that the allowance for credit losses at September 30, 2016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nonperforming assets.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Table 10 - Nonperforming Assets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440" w:type="dxa"/>
            <w:vAlign w:val="bottom"/>
            <w:gridSpan w:val="2"/>
          </w:tcPr>
          <w:p>
            <w:pPr>
              <w:ind w:left="9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9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46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bottom w:val="single" w:sz="8" w:color="F0FFFF"/>
            </w:tcBorders>
          </w:tcPr>
          <w:p>
            <w:pPr>
              <w:spacing w:after="0"/>
              <w:rPr>
                <w:sz w:val="21"/>
                <w:szCs w:val="21"/>
                <w:color w:val="auto"/>
              </w:rPr>
            </w:pPr>
          </w:p>
        </w:tc>
        <w:tc>
          <w:tcPr>
            <w:tcW w:w="4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Nonperforming loans</w:t>
            </w:r>
          </w:p>
        </w:tc>
        <w:tc>
          <w:tcPr>
            <w:tcW w:w="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Foreclosed properties (OREO)</w:t>
            </w:r>
          </w:p>
        </w:tc>
        <w:tc>
          <w:tcPr>
            <w:tcW w:w="2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9,187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30,759</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27,536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6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restart"/>
          </w:tcPr>
          <w:p>
            <w:pPr>
              <w:spacing w:after="0"/>
              <w:rPr>
                <w:sz w:val="18"/>
                <w:szCs w:val="18"/>
                <w:color w:val="auto"/>
              </w:rPr>
            </w:pPr>
          </w:p>
        </w:tc>
        <w:tc>
          <w:tcPr>
            <w:tcW w:w="54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 as a percentage of total loans</w:t>
            </w: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Nonperforming assets as a percentage of total loans and OREO</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as a percentage of total assets</w:t>
            </w:r>
          </w:p>
        </w:tc>
        <w:tc>
          <w:tcPr>
            <w:tcW w:w="2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2016, nonperforming loans were $21.6 million compared to $22.7 million at December 31, 2015. Nonperforming assets, which include nonperforming loans and foreclosed real estate, totaled $30.8 million at September 30, 2016 and $27.5 million at December 31, 2015. United sold $6.55 million of foreclosed properties and added $2.34 million in new foreclosures during the third quarter of 2016.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The accrual of interest is discontinued on PCI loans if management can no longer reliably estimate future cash flows on the loan. No PCI loans were classified as nonaccrual at September 30, 2016 or December 31, 2015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The following table summarizes nonperforming assets by category and market as of the dates indicated.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Table 11 - Nonperforming Assets by Category and Market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80" w:type="dxa"/>
            <w:vAlign w:val="bottom"/>
          </w:tcPr>
          <w:p>
            <w:pPr>
              <w:spacing w:after="0"/>
              <w:rPr>
                <w:sz w:val="18"/>
                <w:szCs w:val="18"/>
                <w:color w:val="auto"/>
              </w:rPr>
            </w:pPr>
          </w:p>
        </w:tc>
        <w:tc>
          <w:tcPr>
            <w:tcW w:w="9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9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80" w:type="dxa"/>
            <w:vAlign w:val="bottom"/>
          </w:tcPr>
          <w:p>
            <w:pPr>
              <w:spacing w:after="0"/>
              <w:rPr>
                <w:sz w:val="21"/>
                <w:szCs w:val="21"/>
                <w:color w:val="auto"/>
              </w:rPr>
            </w:pPr>
          </w:p>
        </w:tc>
        <w:tc>
          <w:tcPr>
            <w:tcW w:w="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NPAs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F0FFFF"/>
            </w:tcBorders>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BY CATEGORY</w:t>
            </w:r>
          </w:p>
        </w:tc>
        <w:tc>
          <w:tcPr>
            <w:tcW w:w="14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right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right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right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6,454</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7,036</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Income producing commercial real estate</w:t>
            </w: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2,595</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892</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F0FFFF"/>
          </w:tcPr>
          <w:p>
            <w:pPr>
              <w:spacing w:after="0"/>
              <w:rPr>
                <w:sz w:val="21"/>
                <w:szCs w:val="21"/>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top w:val="single" w:sz="8" w:color="F0FFFF"/>
            </w:tcBorders>
          </w:tcPr>
          <w:p>
            <w:pPr>
              <w:ind w:left="300"/>
              <w:spacing w:after="0" w:line="203" w:lineRule="exact"/>
              <w:rPr>
                <w:sz w:val="20"/>
                <w:szCs w:val="20"/>
                <w:color w:val="auto"/>
              </w:rPr>
            </w:pPr>
            <w:r>
              <w:rPr>
                <w:rFonts w:ascii="Times New Roman" w:cs="Times New Roman" w:eastAsia="Times New Roman" w:hAnsi="Times New Roman"/>
                <w:sz w:val="18"/>
                <w:szCs w:val="18"/>
                <w:color w:val="auto"/>
              </w:rPr>
              <w:t>Total commercial</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8,580</w:t>
            </w:r>
          </w:p>
        </w:tc>
        <w:tc>
          <w:tcPr>
            <w:tcW w:w="10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5,227</w:t>
            </w:r>
          </w:p>
        </w:tc>
        <w:tc>
          <w:tcPr>
            <w:tcW w:w="100" w:type="dxa"/>
            <w:vAlign w:val="bottom"/>
            <w:tcBorders>
              <w:top w:val="single" w:sz="8" w:color="F0FFFF"/>
              <w:right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13,807</w:t>
            </w:r>
          </w:p>
        </w:tc>
        <w:tc>
          <w:tcPr>
            <w:tcW w:w="120" w:type="dxa"/>
            <w:vAlign w:val="bottom"/>
            <w:tcBorders>
              <w:top w:val="single" w:sz="8" w:color="F0FFFF"/>
              <w:right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10,851</w:t>
            </w:r>
          </w:p>
        </w:tc>
        <w:tc>
          <w:tcPr>
            <w:tcW w:w="18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3,089</w:t>
            </w:r>
          </w:p>
        </w:tc>
        <w:tc>
          <w:tcPr>
            <w:tcW w:w="120" w:type="dxa"/>
            <w:vAlign w:val="bottom"/>
            <w:tcBorders>
              <w:top w:val="single" w:sz="8" w:color="F0FFFF"/>
              <w:right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13,940</w:t>
            </w:r>
          </w:p>
        </w:tc>
        <w:tc>
          <w:tcPr>
            <w:tcW w:w="100" w:type="dxa"/>
            <w:vAlign w:val="bottom"/>
            <w:tcBorders>
              <w:top w:val="single" w:sz="8" w:color="F0FF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8,152</w:t>
            </w: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9,363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8,555</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Home equity</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2,248</w:t>
            </w: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1,398</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Consumer installment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40" w:type="dxa"/>
            <w:vAlign w:val="bottom"/>
            <w:shd w:val="clear" w:color="auto" w:fill="F0FFFF"/>
          </w:tcPr>
          <w:p>
            <w:pPr>
              <w:spacing w:after="0"/>
              <w:rPr>
                <w:sz w:val="21"/>
                <w:szCs w:val="21"/>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786</w:t>
            </w: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Borders>
              <w:top w:val="single" w:sz="8" w:color="F0FFFF"/>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NPAs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00" w:type="dxa"/>
            <w:vAlign w:val="bottom"/>
            <w:tcBorders>
              <w:top w:val="single" w:sz="8" w:color="F0FFFF"/>
              <w:right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30,759</w:t>
            </w:r>
          </w:p>
        </w:tc>
        <w:tc>
          <w:tcPr>
            <w:tcW w:w="120" w:type="dxa"/>
            <w:vAlign w:val="bottom"/>
            <w:tcBorders>
              <w:top w:val="single" w:sz="8" w:color="F0FFFF"/>
              <w:right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8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20" w:type="dxa"/>
            <w:vAlign w:val="bottom"/>
            <w:tcBorders>
              <w:top w:val="single" w:sz="8" w:color="F0FFFF"/>
              <w:right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00" w:type="dxa"/>
            <w:vAlign w:val="bottom"/>
            <w:tcBorders>
              <w:top w:val="single" w:sz="8" w:color="F0FF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right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right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right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MARKET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5,356</w:t>
            </w:r>
          </w:p>
        </w:tc>
        <w:tc>
          <w:tcPr>
            <w:tcW w:w="360" w:type="dxa"/>
            <w:vAlign w:val="bottom"/>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6,009</w:t>
            </w:r>
          </w:p>
        </w:tc>
        <w:tc>
          <w:tcPr>
            <w:tcW w:w="220" w:type="dxa"/>
            <w:vAlign w:val="bottom"/>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5,167</w:t>
            </w:r>
          </w:p>
        </w:tc>
        <w:tc>
          <w:tcPr>
            <w:tcW w:w="28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1,612</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Atlanta MSA</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3,023</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5,759</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5,289</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2,079</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Gainesville MSA</w:t>
            </w: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East Tennessee</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3,448</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6,254</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8,269</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2,306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Specialized Lending</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2,231</w:t>
            </w:r>
          </w:p>
        </w:tc>
        <w:tc>
          <w:tcPr>
            <w:tcW w:w="2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Indirect auto</w:t>
            </w:r>
          </w:p>
        </w:tc>
        <w:tc>
          <w:tcPr>
            <w:tcW w:w="140" w:type="dxa"/>
            <w:vAlign w:val="bottom"/>
            <w:shd w:val="clear" w:color="auto" w:fill="F0FFFF"/>
          </w:tcPr>
          <w:p>
            <w:pPr>
              <w:spacing w:after="0"/>
              <w:rPr>
                <w:sz w:val="21"/>
                <w:szCs w:val="21"/>
                <w:color w:val="auto"/>
              </w:rPr>
            </w:pPr>
          </w:p>
        </w:tc>
        <w:tc>
          <w:tcPr>
            <w:tcW w:w="8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2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786</w:t>
            </w:r>
          </w:p>
        </w:tc>
        <w:tc>
          <w:tcPr>
            <w:tcW w:w="280" w:type="dxa"/>
            <w:vAlign w:val="bottom"/>
            <w:shd w:val="clear" w:color="auto" w:fill="F0FFFF"/>
          </w:tcPr>
          <w:p>
            <w:pPr>
              <w:spacing w:after="0"/>
              <w:rPr>
                <w:sz w:val="21"/>
                <w:szCs w:val="21"/>
                <w:color w:val="auto"/>
              </w:rPr>
            </w:pPr>
          </w:p>
        </w:tc>
        <w:tc>
          <w:tcPr>
            <w:tcW w:w="7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0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tcBorders>
              <w:top w:val="single" w:sz="8" w:color="F0FFFF"/>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NPAs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Borders>
              <w:top w:val="single" w:sz="8" w:color="F0FFFF"/>
            </w:tcBorders>
          </w:tcPr>
          <w:p>
            <w:pPr>
              <w:spacing w:after="0"/>
              <w:rPr>
                <w:sz w:val="22"/>
                <w:szCs w:val="22"/>
                <w:color w:val="auto"/>
              </w:rPr>
            </w:pPr>
          </w:p>
        </w:tc>
        <w:tc>
          <w:tcPr>
            <w:tcW w:w="80" w:type="dxa"/>
            <w:vAlign w:val="bottom"/>
            <w:tcBorders>
              <w:top w:val="single" w:sz="8" w:color="F0FF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00" w:type="dxa"/>
            <w:vAlign w:val="bottom"/>
            <w:tcBorders>
              <w:top w:val="single" w:sz="8" w:color="F0FFFF"/>
              <w:right w:val="single" w:sz="8" w:color="auto"/>
            </w:tcBorders>
          </w:tcPr>
          <w:p>
            <w:pPr>
              <w:spacing w:after="0"/>
              <w:rPr>
                <w:sz w:val="22"/>
                <w:szCs w:val="22"/>
                <w:color w:val="auto"/>
              </w:rPr>
            </w:pPr>
          </w:p>
        </w:tc>
        <w:tc>
          <w:tcPr>
            <w:tcW w:w="80" w:type="dxa"/>
            <w:vAlign w:val="bottom"/>
            <w:tcBorders>
              <w:top w:val="single" w:sz="8" w:color="F0FF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30,759</w:t>
            </w:r>
          </w:p>
        </w:tc>
        <w:tc>
          <w:tcPr>
            <w:tcW w:w="120" w:type="dxa"/>
            <w:vAlign w:val="bottom"/>
            <w:tcBorders>
              <w:top w:val="single" w:sz="8" w:color="F0FFFF"/>
              <w:right w:val="single" w:sz="8" w:color="auto"/>
            </w:tcBorders>
          </w:tcPr>
          <w:p>
            <w:pPr>
              <w:spacing w:after="0"/>
              <w:rPr>
                <w:sz w:val="22"/>
                <w:szCs w:val="22"/>
                <w:color w:val="auto"/>
              </w:rPr>
            </w:pPr>
          </w:p>
        </w:tc>
        <w:tc>
          <w:tcPr>
            <w:tcW w:w="80" w:type="dxa"/>
            <w:vAlign w:val="bottom"/>
            <w:tcBorders>
              <w:top w:val="single" w:sz="8" w:color="F0FF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80" w:type="dxa"/>
            <w:vAlign w:val="bottom"/>
            <w:tcBorders>
              <w:top w:val="single" w:sz="8" w:color="F0FF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20" w:type="dxa"/>
            <w:vAlign w:val="bottom"/>
            <w:tcBorders>
              <w:top w:val="single" w:sz="8" w:color="F0FFFF"/>
              <w:right w:val="single" w:sz="8" w:color="auto"/>
            </w:tcBorders>
          </w:tcPr>
          <w:p>
            <w:pPr>
              <w:spacing w:after="0"/>
              <w:rPr>
                <w:sz w:val="22"/>
                <w:szCs w:val="22"/>
                <w:color w:val="auto"/>
              </w:rPr>
            </w:pPr>
          </w:p>
        </w:tc>
        <w:tc>
          <w:tcPr>
            <w:tcW w:w="80" w:type="dxa"/>
            <w:vAlign w:val="bottom"/>
            <w:tcBorders>
              <w:top w:val="single" w:sz="8" w:color="F0FF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00" w:type="dxa"/>
            <w:vAlign w:val="bottom"/>
            <w:tcBorders>
              <w:top w:val="single" w:sz="8" w:color="F0FFFF"/>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2016 and December 31, 2015, United had $75.4 million and $86.6 million, respectively, in loans with terms that have been modified in TDRs. Included therein were $5.27 million and $3.58 million, respectively, of TDRs that were classified as nonaccrual and were included in nonperforming loans. The remaining TDRs with an aggregate balance of $70.1 million and $83.0 million, respectively, were performing according to their modified terms and are therefore not considered to be nonperforming assets.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2016 and December 31, 2015, there were $93.6 million and $104 million, respectively, of loans classified as impaired under the definition outlined in the Accounting Standards Codification, including TDRs which are by definition considered impaired. Included in impaired loans at September 30, 2016 and December 31, 2015 was $33.5 million and $32.7 million, respectively, that did not require specific reserves or had previously been charged down to net realizable value. The balance of impaired loans at September 30, 2016 and December 31, 2015 of $60.1 million and $71.3 million, respectively, had specific reserves that totaled $5.80 million and $6.80 million, respectively. The average recorded investment in impaired loans for the third quarters of 2016 and 2015 was $93.0 million and $108 million, respectively. For the nine months ended September 30, 2016 and 2015, the average recorded investment in impaired loans was $92.0 million and $108 million, respectively. For the three and nine months ended September 30, 2016, United recognized $1.13 million and $3.26 million, respectively, in interest revenue on impaired loans compared to $1.28 million and $3.76 million, respectively, for the same periods of the prior year.</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The table below summarizes activity in nonperforming assets for the periods indicated.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Table 12 - Activity in Nonperforming Assets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 2016</w:t>
            </w: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 2015</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60" w:type="dxa"/>
            <w:vAlign w:val="bottom"/>
          </w:tcPr>
          <w:p>
            <w:pPr>
              <w:spacing w:after="0"/>
              <w:rPr>
                <w:sz w:val="18"/>
                <w:szCs w:val="18"/>
                <w:color w:val="auto"/>
              </w:rPr>
            </w:pPr>
          </w:p>
        </w:tc>
        <w:tc>
          <w:tcPr>
            <w:tcW w:w="9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9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60" w:type="dxa"/>
            <w:vAlign w:val="bottom"/>
          </w:tcPr>
          <w:p>
            <w:pPr>
              <w:spacing w:after="0"/>
              <w:rPr>
                <w:sz w:val="21"/>
                <w:szCs w:val="21"/>
                <w:color w:val="auto"/>
              </w:rPr>
            </w:pPr>
          </w:p>
        </w:tc>
        <w:tc>
          <w:tcPr>
            <w:tcW w:w="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NPAs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21,348</w:t>
            </w:r>
          </w:p>
        </w:tc>
        <w:tc>
          <w:tcPr>
            <w:tcW w:w="32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6,176</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27,524</w:t>
            </w:r>
          </w:p>
        </w:tc>
        <w:tc>
          <w:tcPr>
            <w:tcW w:w="220" w:type="dxa"/>
            <w:vAlign w:val="bottom"/>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18,805</w:t>
            </w:r>
          </w:p>
        </w:tc>
        <w:tc>
          <w:tcPr>
            <w:tcW w:w="2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Loans placed on non-accrual</w:t>
            </w: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6,680</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6,680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8,923</w:t>
            </w:r>
          </w:p>
        </w:tc>
        <w:tc>
          <w:tcPr>
            <w:tcW w:w="240" w:type="dxa"/>
            <w:vAlign w:val="bottom"/>
            <w:shd w:val="clear" w:color="auto" w:fill="F0FFFF"/>
          </w:tcPr>
          <w:p>
            <w:pPr>
              <w:spacing w:after="0"/>
              <w:rPr>
                <w:sz w:val="18"/>
                <w:szCs w:val="18"/>
                <w:color w:val="auto"/>
              </w:rPr>
            </w:pPr>
          </w:p>
        </w:tc>
        <w:tc>
          <w:tcPr>
            <w:tcW w:w="74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(4,233)</w:t>
            </w:r>
          </w:p>
        </w:tc>
        <w:tc>
          <w:tcPr>
            <w:tcW w:w="2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Loan charge-offs</w:t>
            </w: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(1,236)</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(1,531)</w:t>
            </w:r>
          </w:p>
        </w:tc>
        <w:tc>
          <w:tcPr>
            <w:tcW w:w="240" w:type="dxa"/>
            <w:vAlign w:val="bottom"/>
            <w:shd w:val="clear" w:color="auto" w:fill="F0FFFF"/>
          </w:tcPr>
          <w:p>
            <w:pPr>
              <w:spacing w:after="0"/>
              <w:rPr>
                <w:sz w:val="18"/>
                <w:szCs w:val="18"/>
                <w:color w:val="auto"/>
              </w:rPr>
            </w:pPr>
          </w:p>
        </w:tc>
        <w:tc>
          <w:tcPr>
            <w:tcW w:w="74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Foreclosures</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Capitalized costs</w:t>
            </w: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74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Property sales</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(1,916</w:t>
            </w: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Write downs</w:t>
            </w: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740" w:type="dxa"/>
            <w:vAlign w:val="bottom"/>
            <w:tcBorders>
              <w:right w:val="single" w:sz="8" w:color="auto"/>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(79</w:t>
            </w:r>
            <w:r>
              <w:rPr>
                <w:rFonts w:ascii="Times New Roman" w:cs="Times New Roman" w:eastAsia="Times New Roman" w:hAnsi="Times New Roman"/>
                <w:sz w:val="18"/>
                <w:szCs w:val="18"/>
                <w:b w:val="1"/>
                <w:bCs w:val="1"/>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gains (losses) on sales</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400" w:type="dxa"/>
            <w:vAlign w:val="bottom"/>
            <w:tcBorders>
              <w:top w:val="single" w:sz="8" w:color="F0FFFF"/>
              <w:bottom w:val="single" w:sz="8" w:color="F0FFFF"/>
            </w:tcBorders>
            <w:shd w:val="clear" w:color="auto" w:fill="F0FFFF"/>
          </w:tcPr>
          <w:p>
            <w:pPr>
              <w:ind w:left="30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30,759</w:t>
            </w:r>
          </w:p>
        </w:tc>
        <w:tc>
          <w:tcPr>
            <w:tcW w:w="12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2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27,733</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gridSpan w:val="2"/>
          </w:tcPr>
          <w:p>
            <w:pPr>
              <w:spacing w:after="0" w:line="20" w:lineRule="exact"/>
              <w:rPr>
                <w:sz w:val="1"/>
                <w:szCs w:val="1"/>
                <w:color w:val="auto"/>
              </w:rPr>
            </w:pPr>
          </w:p>
        </w:tc>
        <w:tc>
          <w:tcPr>
            <w:tcW w:w="880" w:type="dxa"/>
            <w:vAlign w:val="bottom"/>
            <w:tcBorders>
              <w:top w:val="single" w:sz="8" w:color="F0FFFF"/>
              <w:bottom w:val="single" w:sz="8" w:color="auto"/>
            </w:tcBorders>
            <w:gridSpan w:val="2"/>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bottom w:val="single" w:sz="8" w:color="auto"/>
            </w:tcBorders>
            <w:gridSpan w:val="2"/>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bottom w:val="single" w:sz="8" w:color="auto"/>
            </w:tcBorders>
            <w:gridSpan w:val="2"/>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bottom w:val="single" w:sz="8" w:color="auto"/>
            </w:tcBorders>
            <w:gridSpan w:val="2"/>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10"/>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First Nine Months 2016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9"/>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First Nine Months 2015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6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98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Foreclosed</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60" w:type="dxa"/>
            <w:vAlign w:val="bottom"/>
          </w:tcPr>
          <w:p>
            <w:pPr>
              <w:spacing w:after="0"/>
              <w:rPr>
                <w:sz w:val="21"/>
                <w:szCs w:val="21"/>
                <w:color w:val="auto"/>
              </w:rPr>
            </w:pPr>
          </w:p>
        </w:tc>
        <w:tc>
          <w:tcPr>
            <w:tcW w:w="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NPAs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9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22,653</w:t>
            </w:r>
          </w:p>
        </w:tc>
        <w:tc>
          <w:tcPr>
            <w:tcW w:w="320" w:type="dxa"/>
            <w:vAlign w:val="bottom"/>
            <w:gridSpan w:val="2"/>
            <w:shd w:val="clear" w:color="auto" w:fill="F0FF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4,883</w:t>
            </w:r>
          </w:p>
        </w:tc>
        <w:tc>
          <w:tcPr>
            <w:tcW w:w="260" w:type="dxa"/>
            <w:vAlign w:val="bottom"/>
            <w:gridSpan w:val="2"/>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27,536</w:t>
            </w:r>
          </w:p>
        </w:tc>
        <w:tc>
          <w:tcPr>
            <w:tcW w:w="220" w:type="dxa"/>
            <w:vAlign w:val="bottom"/>
            <w:gridSpan w:val="2"/>
            <w:shd w:val="clear" w:color="auto" w:fill="F0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17,881</w:t>
            </w:r>
          </w:p>
        </w:tc>
        <w:tc>
          <w:tcPr>
            <w:tcW w:w="2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19,607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Loans placed on non-accrual</w:t>
            </w: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18,237</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18,237</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21,419</w:t>
            </w:r>
          </w:p>
        </w:tc>
        <w:tc>
          <w:tcPr>
            <w:tcW w:w="240" w:type="dxa"/>
            <w:vAlign w:val="bottom"/>
            <w:shd w:val="clear" w:color="auto" w:fill="F0FFFF"/>
          </w:tcPr>
          <w:p>
            <w:pPr>
              <w:spacing w:after="0"/>
              <w:rPr>
                <w:sz w:val="18"/>
                <w:szCs w:val="18"/>
                <w:color w:val="auto"/>
              </w:rPr>
            </w:pPr>
          </w:p>
        </w:tc>
        <w:tc>
          <w:tcPr>
            <w:tcW w:w="74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(9,585)</w:t>
            </w:r>
          </w:p>
        </w:tc>
        <w:tc>
          <w:tcPr>
            <w:tcW w:w="2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Loan charge-offs</w:t>
            </w: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(4,718)</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(4,718)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(6,223)</w:t>
            </w:r>
          </w:p>
        </w:tc>
        <w:tc>
          <w:tcPr>
            <w:tcW w:w="240" w:type="dxa"/>
            <w:vAlign w:val="bottom"/>
            <w:shd w:val="clear" w:color="auto" w:fill="F0FFFF"/>
          </w:tcPr>
          <w:p>
            <w:pPr>
              <w:spacing w:after="0"/>
              <w:rPr>
                <w:sz w:val="18"/>
                <w:szCs w:val="18"/>
                <w:color w:val="auto"/>
              </w:rPr>
            </w:pPr>
          </w:p>
        </w:tc>
        <w:tc>
          <w:tcPr>
            <w:tcW w:w="74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Foreclosures</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(3,428)</w:t>
            </w:r>
          </w:p>
        </w:tc>
        <w:tc>
          <w:tcPr>
            <w:tcW w:w="2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Capitalized costs</w:t>
            </w: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740" w:type="dxa"/>
            <w:vAlign w:val="bottom"/>
            <w:tcBorders>
              <w:right w:val="single" w:sz="8" w:color="auto"/>
            </w:tcBorders>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Note / property sales</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(3,919</w:t>
            </w: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Write downs</w:t>
            </w: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0" w:type="dxa"/>
            <w:vAlign w:val="bottom"/>
            <w:tcBorders>
              <w:right w:val="single" w:sz="8" w:color="auto"/>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0FFFF"/>
          </w:tcPr>
          <w:p>
            <w:pPr>
              <w:spacing w:after="0"/>
              <w:rPr>
                <w:sz w:val="18"/>
                <w:szCs w:val="18"/>
                <w:color w:val="auto"/>
              </w:rPr>
            </w:pPr>
          </w:p>
        </w:tc>
        <w:tc>
          <w:tcPr>
            <w:tcW w:w="740" w:type="dxa"/>
            <w:vAlign w:val="bottom"/>
            <w:tcBorders>
              <w:right w:val="single" w:sz="8" w:color="auto"/>
            </w:tcBorders>
            <w:gridSpan w:val="2"/>
            <w:shd w:val="clear" w:color="auto" w:fill="F0FFFF"/>
          </w:tcPr>
          <w:p>
            <w:pPr>
              <w:jc w:val="right"/>
              <w:ind w:right="60"/>
              <w:spacing w:after="0"/>
              <w:rPr>
                <w:sz w:val="20"/>
                <w:szCs w:val="20"/>
                <w:color w:val="auto"/>
              </w:rPr>
            </w:pPr>
            <w:r>
              <w:rPr>
                <w:rFonts w:ascii="Times New Roman" w:cs="Times New Roman" w:eastAsia="Times New Roman" w:hAnsi="Times New Roman"/>
                <w:sz w:val="18"/>
                <w:szCs w:val="18"/>
                <w:color w:val="auto"/>
              </w:rPr>
              <w:t>(254</w:t>
            </w:r>
            <w:r>
              <w:rPr>
                <w:rFonts w:ascii="Times New Roman" w:cs="Times New Roman" w:eastAsia="Times New Roman" w:hAnsi="Times New Roman"/>
                <w:sz w:val="18"/>
                <w:szCs w:val="18"/>
                <w:b w:val="1"/>
                <w:bCs w:val="1"/>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sales</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400" w:type="dxa"/>
            <w:vAlign w:val="bottom"/>
            <w:tcBorders>
              <w:top w:val="single" w:sz="8" w:color="F0FFFF"/>
              <w:bottom w:val="single" w:sz="8" w:color="F0FFFF"/>
            </w:tcBorders>
            <w:shd w:val="clear" w:color="auto" w:fill="F0FFFF"/>
          </w:tcPr>
          <w:p>
            <w:pPr>
              <w:ind w:left="30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30,759</w:t>
            </w:r>
          </w:p>
        </w:tc>
        <w:tc>
          <w:tcPr>
            <w:tcW w:w="12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2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27,733</w:t>
            </w:r>
          </w:p>
        </w:tc>
        <w:tc>
          <w:tcPr>
            <w:tcW w:w="1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Times New Roman" w:cs="Times New Roman" w:eastAsia="Times New Roman" w:hAnsi="Times New Roman"/>
          <w:sz w:val="18"/>
          <w:szCs w:val="18"/>
          <w:i w:val="1"/>
          <w:iCs w:val="1"/>
          <w:color w:val="auto"/>
        </w:rPr>
        <w:t>Real Estate Sales</w:t>
      </w:r>
      <w:r>
        <w:rPr>
          <w:rFonts w:ascii="Times New Roman" w:cs="Times New Roman" w:eastAsia="Times New Roman" w:hAnsi="Times New Roman"/>
          <w:sz w:val="18"/>
          <w:szCs w:val="18"/>
          <w:color w:val="auto"/>
        </w:rPr>
        <w:t>. For the third quarter of 2016, United transferred $2.34 million of loans into foreclosed property through foreclosures. During the same period, proceeds from sales of foreclosed property were $6.55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2016 and December 31, 2015, United had securities held-to-maturity with a carrying amount of $345 million and $365 million, respectively, and securities available-for-sale totaling $2.21 billion and $2.29 billion, respectively. At September 30, 2016 and December 31, 2015, the securities portfolio represented approximately 25% and 28%, respectively, of total assets.</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both"/>
        <w:spacing w:after="0" w:line="255" w:lineRule="auto"/>
        <w:rPr>
          <w:sz w:val="20"/>
          <w:szCs w:val="20"/>
          <w:color w:val="auto"/>
        </w:rPr>
      </w:pPr>
      <w:r>
        <w:rPr>
          <w:rFonts w:ascii="Times New Roman" w:cs="Times New Roman" w:eastAsia="Times New Roman" w:hAnsi="Times New Roman"/>
          <w:sz w:val="18"/>
          <w:szCs w:val="18"/>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June 30, 2016 primarily reflect the effect of changes in interest rates. United did not recognize any other than temporary impairment losses on its investment securities during the third quarter of 2016 or 2015.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2016 and December 31, 2015, 25% and 24%, respectively, of the securities portfolio was invested in floating-rate securities or fixed-rate securities that were swapped to floating rates in order to manage exposure to rising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Core Deposit Intangibles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fair value of the assets acquired and liabilities assumed, including separately identifiable intangible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 deposit intangibles, representing the value of acquired deposit relationships, are amortizing intangible assets that are required to be tested for impairment only when events or circumstances indicate that impairment may exist. There were no events or circumstances that led management to believe that any impairment exists in goodwill or other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has initiated several programs to improve core earnings by growing customer transaction deposit accounts and lowering overall pricing on deposit accounts. The programs were successful in increasing core transaction deposit accounts and allowing for the reduction of more costly time deposit balances. United’s high level of service, as evidenced by its strong customer satisfaction scores, has been instrumental in attracting and retaining deposits.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customer deposits, excluding brokered deposits, as of September 30, 2016 were $8.08 billion, compared to $7.53 billion at December 31, 2015. Total core transaction deposits (demand, NOW, money market and savings deposits, excluding public funds deposits) of $5.85 billion at September 30, 2016 increased $601 million since December 31, 2015 due to the Tidelands acquisition and the success of core deposit incentive programs.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time deposits, excluding brokered deposits, as of September 30, 2016 were $1.35 billion, up $66.7 million from December 31, 2015 due to the Tidelands acquisition. United continued to offer low rates on certificates of deposit, allowing organic balances to decline and shift to lower cost transaction account deposits.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Brokered deposits totaled $359 million as of September 30, 2016, an increase of $20.4 million from December 31, 2015 due to an increase in the balance of lower-cost brokered money market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is a shareholder in the Federal Home Loan Bank of Atlanta (“FHLB”). Through this affiliation, FHLB secured advances totaled $449 million and $430 million, respectively, as of September 30, 2016 and December 31, 2015. United anticipates continued use of this short and long-term source of funds. Additional information regarding FHLB advances is provided in Note 12 to the consolidated financial statements included in United’s Annual Report on Form 10-K for the year ended December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United’s contractual obligations since December 31,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08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14 to the consolidated financial statements for additional information on off-balance sheet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policy is based on the 12-month impact on net interest revenue of interest rate shocks and ramps that increase from 100 to 400 basis points or decrease 100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Historically low rates on September 30, 2016 and 2015 made use of the down scenarios irrelevant. The following table presents United’s interest sensitivity position at the dates indicated.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Table 13 - Interest Sensitivity</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Increase (Decrease) in Net Interest Revenue from Base Scenario at</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35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Change in Rates</w:t>
            </w:r>
          </w:p>
        </w:tc>
        <w:tc>
          <w:tcPr>
            <w:tcW w:w="100" w:type="dxa"/>
            <w:vAlign w:val="bottom"/>
            <w:tcBorders>
              <w:bottom w:val="single" w:sz="8" w:color="F0FFFF"/>
            </w:tcBorders>
          </w:tcPr>
          <w:p>
            <w:pPr>
              <w:spacing w:after="0"/>
              <w:rPr>
                <w:sz w:val="20"/>
                <w:szCs w:val="20"/>
                <w:color w:val="auto"/>
              </w:rPr>
            </w:pP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Shock</w:t>
            </w:r>
          </w:p>
        </w:tc>
        <w:tc>
          <w:tcPr>
            <w:tcW w:w="26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Ramp</w:t>
            </w:r>
          </w:p>
        </w:tc>
        <w:tc>
          <w:tcPr>
            <w:tcW w:w="320" w:type="dxa"/>
            <w:vAlign w:val="bottom"/>
            <w:tcBorders>
              <w:bottom w:val="single" w:sz="8" w:color="F0FF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Shock</w:t>
            </w:r>
          </w:p>
        </w:tc>
        <w:tc>
          <w:tcPr>
            <w:tcW w:w="28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Ramp</w:t>
            </w:r>
          </w:p>
        </w:tc>
        <w:tc>
          <w:tcPr>
            <w:tcW w:w="160" w:type="dxa"/>
            <w:vAlign w:val="bottom"/>
            <w:tcBorders>
              <w:bottom w:val="single" w:sz="8" w:color="F0FFFF"/>
            </w:tcBorders>
          </w:tcPr>
          <w:p>
            <w:pPr>
              <w:spacing w:after="0"/>
              <w:rPr>
                <w:sz w:val="20"/>
                <w:szCs w:val="20"/>
                <w:color w:val="auto"/>
              </w:rPr>
            </w:pPr>
          </w:p>
        </w:tc>
      </w:tr>
      <w:tr>
        <w:trPr>
          <w:trHeight w:val="216"/>
        </w:trPr>
        <w:tc>
          <w:tcPr>
            <w:tcW w:w="3540" w:type="dxa"/>
            <w:vAlign w:val="bottom"/>
            <w:shd w:val="clear" w:color="auto" w:fill="F0FFFF"/>
          </w:tcPr>
          <w:p>
            <w:pPr>
              <w:spacing w:after="0"/>
              <w:rPr>
                <w:sz w:val="20"/>
                <w:szCs w:val="20"/>
                <w:color w:val="auto"/>
              </w:rPr>
            </w:pPr>
            <w:r>
              <w:rPr>
                <w:rFonts w:ascii="Times New Roman" w:cs="Times New Roman" w:eastAsia="Times New Roman" w:hAnsi="Times New Roman"/>
                <w:sz w:val="18"/>
                <w:szCs w:val="18"/>
                <w:color w:val="auto"/>
              </w:rPr>
              <w:t>200 basis point increase</w:t>
            </w:r>
          </w:p>
        </w:tc>
        <w:tc>
          <w:tcPr>
            <w:tcW w:w="100" w:type="dxa"/>
            <w:vAlign w:val="bottom"/>
            <w:shd w:val="clear" w:color="auto" w:fill="F0FFFF"/>
          </w:tcPr>
          <w:p>
            <w:pPr>
              <w:spacing w:after="0"/>
              <w:rPr>
                <w:sz w:val="18"/>
                <w:szCs w:val="18"/>
                <w:color w:val="auto"/>
              </w:rPr>
            </w:pPr>
          </w:p>
        </w:tc>
        <w:tc>
          <w:tcPr>
            <w:tcW w:w="152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United has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derivative instruments, United uses a variety of balance sheet instruments to manage interest rate risk such as investment securities, wholesale funding, and bank-issued deposits.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United will terminate derivative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$1.21 million will be reclassified as an increase to interest expense from other comprehensive income over the next twelve months related to these terminated cash flow hedges.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objective of liquidity management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systemic and combined scenarios for both moderate and severe events. 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United maintains an unencumbered liquid asset reserve to help ensure its ability to meet its obligations. The size of the reserve is determined through short-term severe liquidity stress testing which covers a 30 day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loan principal repayments and the maturities and sales of securities, as well as the ability to use these as collateral for borrowings on a secured basis. The Bank also maintain excess funds in short-term interest-bearing assets that provide additional liquidity.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2016, United had cash and cash equivalent balances of $226 million and had sufficient qualifying collateral to increase FHLB advances by $703 million and Federal Reserve discount window borrowing capacity of $1.10 billion. United also has the ability to raise substantial funds through brokered deposits. In addition to these wholesale sources, United has the ability to attract retail deposits by competing more aggressively on pricing.</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in the consolidated statement of cash flows, net cash provided by operating activities was $84.9 million for the nine months ended September 30, 2016. Net income of $73.4 million for the nine month period included deferred income tax expense of $45.3 million, and non-cash expenses for the following: depreciation, amortization and accretion of $22.6 million and stock-based compensation expense of $3.26 million. These sources of cash from operating activities were offset by an increase in other assets and accrued interest receivable of $41.9 million and an increase in mortgage loans held for sale of $6.44 million. Net cash used in investing activities of $249 million consisted primarily of a $454 million net increase in loans, purchases of investment securities available-for-sale totaling $309 million and purchases of investment securities held-to-maturity of $20.7 million. These uses of cash were partially offset by $50.0 million in proceeds from maturities and calls of investment securities held-to-maturity, $189 million in proceeds from the sale of investment securities available-for-sale and $292 million in proceeds from maturities and calls of investment securities available-for-sale. Net cash provided by financing activities of $150 million consisted primarily of a net increase in deposits of $169 million, partially offset by $9.99 million for the retirement of preferred stock, $13.7 million for the repurchase of common shares, and $10.1 million in dividends to common shareholders. In the opinion of management, United’s liquidity position at September 30, 2016, was sufficient to meet its expected cash flow requirements.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United’s holding company is a separate entity and apart from the Bank, it must provide for its own liquidity. United’s holding company is responsible for the payment of dividends declared for its common shareholders, and interest and principal on any outstanding debt or trust preferred securities. United’s holding company currently has internal capital resources to meet these obligations. While United’s holding company has access to the capital markets, the ultimate source of holding company liquidity is subsidiary service fees and dividends from the Bank, which are limited by applicable law and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equity at September 30, 2016 was $1.08 billion, an increase of $61 million from December 31, 2015 due to year-to-date earnings less dividends declared and an increase in the value of available-for-sale securities, partially offset by common stock repurchases and the redemption of Series H preferred stock.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United’s capital ratios, as calculated under applicable regulatory guidelines, at September 30, 2016 and December 31, 2015. As of September 30, 2016, United’s capital levels remained characterized as “well-capitalized” under the Basel III Capital Rules in effect at the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14 - Capital Ratios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Basel III Guidelines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United Community Bank</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88"/>
              <w:spacing w:after="0" w:line="137" w:lineRule="exact"/>
              <w:rPr>
                <w:sz w:val="20"/>
                <w:szCs w:val="20"/>
                <w:color w:val="auto"/>
              </w:rPr>
            </w:pPr>
            <w:r>
              <w:rPr>
                <w:rFonts w:ascii="Times New Roman" w:cs="Times New Roman" w:eastAsia="Times New Roman" w:hAnsi="Times New Roman"/>
                <w:sz w:val="14"/>
                <w:szCs w:val="14"/>
                <w:b w:val="1"/>
                <w:bCs w:val="1"/>
                <w:color w:val="auto"/>
              </w:rPr>
              <w:t>Well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Borders>
              <w:top w:val="single" w:sz="8" w:color="auto"/>
            </w:tcBorders>
            <w:gridSpan w:val="3"/>
          </w:tcPr>
          <w:p>
            <w:pPr>
              <w:jc w:val="right"/>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Borders>
              <w:top w:val="single" w:sz="8" w:color="auto"/>
            </w:tcBorders>
            <w:gridSpan w:val="3"/>
          </w:tcPr>
          <w:p>
            <w:pPr>
              <w:jc w:val="right"/>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Risk-based ratios:</w:t>
            </w:r>
          </w:p>
        </w:tc>
        <w:tc>
          <w:tcPr>
            <w:tcW w:w="2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Common equity tier 1 capital</w:t>
            </w: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F0FFFF"/>
          </w:tcPr>
          <w:p>
            <w:pPr>
              <w:ind w:left="320"/>
              <w:spacing w:after="0" w:line="149" w:lineRule="exact"/>
              <w:rPr>
                <w:sz w:val="20"/>
                <w:szCs w:val="20"/>
                <w:color w:val="auto"/>
              </w:rPr>
            </w:pPr>
            <w:r>
              <w:rPr>
                <w:rFonts w:ascii="Times New Roman" w:cs="Times New Roman" w:eastAsia="Times New Roman" w:hAnsi="Times New Roman"/>
                <w:sz w:val="14"/>
                <w:szCs w:val="14"/>
                <w:color w:val="auto"/>
              </w:rPr>
              <w:t>Tier I capital</w:t>
            </w:r>
          </w:p>
        </w:tc>
        <w:tc>
          <w:tcPr>
            <w:tcW w:w="460" w:type="dxa"/>
            <w:vAlign w:val="bottom"/>
            <w:gridSpan w:val="2"/>
            <w:shd w:val="clear" w:color="auto" w:fill="F0FFFF"/>
          </w:tcPr>
          <w:p>
            <w:pPr>
              <w:ind w:left="2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1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Total capital</w:t>
            </w: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13.30</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Leverage ratio</w:t>
            </w:r>
          </w:p>
        </w:tc>
        <w:tc>
          <w:tcPr>
            <w:tcW w:w="460" w:type="dxa"/>
            <w:vAlign w:val="bottom"/>
            <w:gridSpan w:val="2"/>
            <w:shd w:val="clear" w:color="auto" w:fill="F0FFFF"/>
          </w:tcPr>
          <w:p>
            <w:pPr>
              <w:ind w:left="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180" w:type="dxa"/>
            <w:vAlign w:val="bottom"/>
            <w:gridSpan w:val="2"/>
            <w:shd w:val="clear" w:color="auto" w:fill="F0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8.35</w:t>
            </w: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Common equity tier 1 capital</w:t>
            </w:r>
          </w:p>
        </w:tc>
        <w:tc>
          <w:tcPr>
            <w:tcW w:w="2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80" w:type="dxa"/>
            <w:vAlign w:val="bottom"/>
            <w:gridSpan w:val="2"/>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836,929</w:t>
            </w:r>
          </w:p>
        </w:tc>
        <w:tc>
          <w:tcPr>
            <w:tcW w:w="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773,677</w:t>
            </w:r>
          </w:p>
        </w:tc>
        <w:tc>
          <w:tcPr>
            <w:tcW w:w="280" w:type="dxa"/>
            <w:vAlign w:val="bottom"/>
            <w:gridSpan w:val="2"/>
            <w:shd w:val="clear" w:color="auto" w:fill="F0F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941,211</w:t>
            </w:r>
          </w:p>
        </w:tc>
        <w:tc>
          <w:tcPr>
            <w:tcW w:w="8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877,169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Tier I capital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836,929</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773,677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941,211</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877,169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Total capital</w:t>
            </w:r>
          </w:p>
        </w:tc>
        <w:tc>
          <w:tcPr>
            <w:tcW w:w="2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901,892</w:t>
            </w: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844,667</w:t>
            </w:r>
          </w:p>
        </w:tc>
        <w:tc>
          <w:tcPr>
            <w:tcW w:w="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1,006,174</w:t>
            </w:r>
          </w:p>
        </w:tc>
        <w:tc>
          <w:tcPr>
            <w:tcW w:w="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948,159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F0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Risk-weighted assets</w:t>
            </w:r>
          </w:p>
        </w:tc>
        <w:tc>
          <w:tcPr>
            <w:tcW w:w="2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7,578,377</w:t>
            </w:r>
          </w:p>
        </w:tc>
        <w:tc>
          <w:tcPr>
            <w:tcW w:w="8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6,755,011</w:t>
            </w:r>
          </w:p>
        </w:tc>
        <w:tc>
          <w:tcPr>
            <w:tcW w:w="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7,563,674</w:t>
            </w:r>
          </w:p>
        </w:tc>
        <w:tc>
          <w:tcPr>
            <w:tcW w:w="80" w:type="dxa"/>
            <w:vAlign w:val="bottom"/>
            <w:shd w:val="clear" w:color="auto" w:fill="F0FFFF"/>
          </w:tcPr>
          <w:p>
            <w:pPr>
              <w:spacing w:after="0"/>
              <w:rPr>
                <w:sz w:val="12"/>
                <w:szCs w:val="12"/>
                <w:color w:val="auto"/>
              </w:rPr>
            </w:pPr>
          </w:p>
        </w:tc>
        <w:tc>
          <w:tcPr>
            <w:tcW w:w="940" w:type="dxa"/>
            <w:vAlign w:val="bottom"/>
            <w:shd w:val="clear" w:color="auto" w:fill="F0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6,743,560</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Average total assets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10,019,118</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9,282,243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9,999,927</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9,264,133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United’s common stock trades on the Nasdaq Global Select Market under the symbol “UCBI”. Below is a quarterly schedule of high, low and closing stock prices and average daily volume for 2016 and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15 - Stock Price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0" w:type="dxa"/>
            <w:vAlign w:val="bottom"/>
          </w:tcPr>
          <w:p>
            <w:pPr>
              <w:spacing w:after="0"/>
              <w:rPr>
                <w:sz w:val="10"/>
                <w:szCs w:val="10"/>
                <w:color w:val="auto"/>
              </w:rPr>
            </w:pPr>
          </w:p>
        </w:tc>
        <w:tc>
          <w:tcPr>
            <w:tcW w:w="9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Close</w:t>
            </w:r>
          </w:p>
        </w:tc>
        <w:tc>
          <w:tcPr>
            <w:tcW w:w="900" w:type="dxa"/>
            <w:vAlign w:val="bottom"/>
          </w:tcPr>
          <w:p>
            <w:pPr>
              <w:jc w:val="right"/>
              <w:ind w:right="88"/>
              <w:spacing w:after="0" w:line="124" w:lineRule="exact"/>
              <w:rPr>
                <w:sz w:val="20"/>
                <w:szCs w:val="20"/>
                <w:color w:val="auto"/>
              </w:rPr>
            </w:pPr>
            <w:r>
              <w:rPr>
                <w:rFonts w:ascii="Times New Roman" w:cs="Times New Roman" w:eastAsia="Times New Roman" w:hAnsi="Times New Roman"/>
                <w:sz w:val="14"/>
                <w:szCs w:val="14"/>
                <w:b w:val="1"/>
                <w:bCs w:val="1"/>
                <w:color w:val="auto"/>
              </w:rPr>
              <w:t>Avg Daily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0" w:type="dxa"/>
            <w:vAlign w:val="bottom"/>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Close</w:t>
            </w:r>
          </w:p>
        </w:tc>
        <w:tc>
          <w:tcPr>
            <w:tcW w:w="9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Avg Daily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First quarter</w:t>
            </w:r>
          </w:p>
        </w:tc>
        <w:tc>
          <w:tcPr>
            <w:tcW w:w="96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19.27</w:t>
            </w:r>
          </w:p>
        </w:tc>
        <w:tc>
          <w:tcPr>
            <w:tcW w:w="3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15.74</w:t>
            </w:r>
          </w:p>
        </w:tc>
        <w:tc>
          <w:tcPr>
            <w:tcW w:w="180" w:type="dxa"/>
            <w:vAlign w:val="bottom"/>
            <w:shd w:val="clear" w:color="auto" w:fill="F0FF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18.47</w:t>
            </w:r>
          </w:p>
        </w:tc>
        <w:tc>
          <w:tcPr>
            <w:tcW w:w="10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440,759</w:t>
            </w:r>
          </w:p>
        </w:tc>
        <w:tc>
          <w:tcPr>
            <w:tcW w:w="30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19.53</w:t>
            </w:r>
          </w:p>
        </w:tc>
        <w:tc>
          <w:tcPr>
            <w:tcW w:w="200" w:type="dxa"/>
            <w:vAlign w:val="bottom"/>
            <w:shd w:val="clear" w:color="auto" w:fill="F0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180" w:type="dxa"/>
            <w:vAlign w:val="bottom"/>
            <w:shd w:val="clear" w:color="auto" w:fill="F0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10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234,966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Second quarter</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20.60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17.07</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771,334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21.23</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17.91</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20.87</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328,887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F0FFFF"/>
          </w:tcPr>
          <w:p>
            <w:pPr>
              <w:spacing w:after="0" w:line="149" w:lineRule="exact"/>
              <w:rPr>
                <w:sz w:val="20"/>
                <w:szCs w:val="20"/>
                <w:color w:val="auto"/>
              </w:rPr>
            </w:pPr>
            <w:r>
              <w:rPr>
                <w:rFonts w:ascii="Times New Roman" w:cs="Times New Roman" w:eastAsia="Times New Roman" w:hAnsi="Times New Roman"/>
                <w:sz w:val="14"/>
                <w:szCs w:val="14"/>
                <w:color w:val="auto"/>
              </w:rPr>
              <w:t>Third quarter</w:t>
            </w:r>
          </w:p>
        </w:tc>
        <w:tc>
          <w:tcPr>
            <w:tcW w:w="7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21.13</w:t>
            </w: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17.42</w:t>
            </w:r>
          </w:p>
        </w:tc>
        <w:tc>
          <w:tcPr>
            <w:tcW w:w="18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21.02</w:t>
            </w:r>
          </w:p>
        </w:tc>
        <w:tc>
          <w:tcPr>
            <w:tcW w:w="1020" w:type="dxa"/>
            <w:vAlign w:val="bottom"/>
            <w:gridSpan w:val="2"/>
            <w:shd w:val="clear" w:color="auto" w:fill="F0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379,492</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22.23</w:t>
            </w:r>
          </w:p>
        </w:tc>
        <w:tc>
          <w:tcPr>
            <w:tcW w:w="2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18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20.44</w:t>
            </w:r>
          </w:p>
        </w:tc>
        <w:tc>
          <w:tcPr>
            <w:tcW w:w="1020" w:type="dxa"/>
            <w:vAlign w:val="bottom"/>
            <w:gridSpan w:val="2"/>
            <w:shd w:val="clear" w:color="auto" w:fill="F0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319,884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22.23</w:t>
            </w: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18.61</w:t>
            </w:r>
          </w:p>
        </w:tc>
        <w:tc>
          <w:tcPr>
            <w:tcW w:w="1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19.49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376,214</w:t>
            </w:r>
          </w:p>
        </w:tc>
        <w:tc>
          <w:tcPr>
            <w:tcW w:w="0" w:type="dxa"/>
            <w:vAlign w:val="bottom"/>
          </w:tcPr>
          <w:p>
            <w:pPr>
              <w:spacing w:after="0"/>
              <w:rPr>
                <w:sz w:val="1"/>
                <w:szCs w:val="1"/>
                <w:color w:val="auto"/>
              </w:rPr>
            </w:pPr>
          </w:p>
        </w:tc>
      </w:tr>
    </w:tbl>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United’s market risk as of September 30, 2016 from that presented in the Annual Report on Form 10-K for the year ended December 31, 2015. The interest rate sensitivity position at September 30, 2016 is included in management’s discussion and analysis on page 59 of this report.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United’s management, including the Chief Executive Officer and Chief Financial Officer, supervised and participated in an evaluation of United’s disclosure controls and procedures as of September 30, 2016.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internal controls or in other factors that could significantly affect these controls subsequent to the date of their evaluation.</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6" w:name="page67"/>
    <w:bookmarkEnd w:id="6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United’s Annual Report on Form 10-K for the year ended December 31, 2015.</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22, 2016, United announced that its Board of Directors had authorized a program to repurchase up to $50 million of United’s outstanding common stock through December 31, 2017.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As of September 30, 2016, the remaining authorization was $36.3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for shares repurchased during the third quarter of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2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80" w:type="dxa"/>
            <w:vAlign w:val="bottom"/>
          </w:tcPr>
          <w:p>
            <w:pPr>
              <w:spacing w:after="0"/>
              <w:rPr>
                <w:sz w:val="18"/>
                <w:szCs w:val="18"/>
                <w:color w:val="auto"/>
              </w:rPr>
            </w:pPr>
          </w:p>
        </w:tc>
        <w:tc>
          <w:tcPr>
            <w:tcW w:w="2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c>
          <w:tcPr>
            <w:tcW w:w="0" w:type="dxa"/>
            <w:vAlign w:val="bottom"/>
          </w:tcPr>
          <w:p>
            <w:pPr>
              <w:spacing w:after="0"/>
              <w:rPr>
                <w:sz w:val="1"/>
                <w:szCs w:val="1"/>
                <w:color w:val="auto"/>
              </w:rPr>
            </w:pPr>
          </w:p>
        </w:tc>
      </w:tr>
      <w:tr>
        <w:trPr>
          <w:trHeight w:val="245"/>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for per share amounts)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c>
          <w:tcPr>
            <w:tcW w:w="0" w:type="dxa"/>
            <w:vAlign w:val="bottom"/>
          </w:tcPr>
          <w:p>
            <w:pPr>
              <w:spacing w:after="0"/>
              <w:rPr>
                <w:sz w:val="1"/>
                <w:szCs w:val="1"/>
                <w:color w:val="auto"/>
              </w:rPr>
            </w:pPr>
          </w:p>
        </w:tc>
      </w:tr>
      <w:tr>
        <w:trPr>
          <w:trHeight w:val="216"/>
        </w:trPr>
        <w:tc>
          <w:tcPr>
            <w:tcW w:w="4980" w:type="dxa"/>
            <w:vAlign w:val="bottom"/>
            <w:tcBorders>
              <w:top w:val="single" w:sz="8" w:color="auto"/>
            </w:tcBorders>
            <w:gridSpan w:val="2"/>
            <w:shd w:val="clear" w:color="auto" w:fill="F0FFFF"/>
          </w:tcPr>
          <w:p>
            <w:pPr>
              <w:spacing w:after="0"/>
              <w:rPr>
                <w:sz w:val="20"/>
                <w:szCs w:val="20"/>
                <w:color w:val="auto"/>
              </w:rPr>
            </w:pPr>
            <w:r>
              <w:rPr>
                <w:rFonts w:ascii="Times New Roman" w:cs="Times New Roman" w:eastAsia="Times New Roman" w:hAnsi="Times New Roman"/>
                <w:sz w:val="18"/>
                <w:szCs w:val="18"/>
                <w:color w:val="auto"/>
              </w:rPr>
              <w:t>July 1, 2016 - July 31, 2016</w:t>
            </w:r>
          </w:p>
        </w:tc>
        <w:tc>
          <w:tcPr>
            <w:tcW w:w="10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304,000</w:t>
            </w:r>
          </w:p>
        </w:tc>
        <w:tc>
          <w:tcPr>
            <w:tcW w:w="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304,000</w:t>
            </w: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 2016 - August 31, 2016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36,342</w:t>
            </w:r>
          </w:p>
        </w:tc>
        <w:tc>
          <w:tcPr>
            <w:tcW w:w="0" w:type="dxa"/>
            <w:vAlign w:val="bottom"/>
          </w:tcPr>
          <w:p>
            <w:pPr>
              <w:spacing w:after="0"/>
              <w:rPr>
                <w:sz w:val="1"/>
                <w:szCs w:val="1"/>
                <w:color w:val="auto"/>
              </w:rPr>
            </w:pPr>
          </w:p>
        </w:tc>
      </w:tr>
      <w:tr>
        <w:trPr>
          <w:trHeight w:val="250"/>
        </w:trPr>
        <w:tc>
          <w:tcPr>
            <w:tcW w:w="5080" w:type="dxa"/>
            <w:vAlign w:val="bottom"/>
            <w:gridSpan w:val="3"/>
            <w:shd w:val="clear" w:color="auto" w:fill="F0FFFF"/>
          </w:tcPr>
          <w:p>
            <w:pPr>
              <w:spacing w:after="0"/>
              <w:rPr>
                <w:sz w:val="20"/>
                <w:szCs w:val="20"/>
                <w:color w:val="auto"/>
              </w:rPr>
            </w:pPr>
            <w:r>
              <w:rPr>
                <w:rFonts w:ascii="Times New Roman" w:cs="Times New Roman" w:eastAsia="Times New Roman" w:hAnsi="Times New Roman"/>
                <w:sz w:val="18"/>
                <w:szCs w:val="18"/>
                <w:color w:val="auto"/>
              </w:rPr>
              <w:t>September 1, 2016 - September 30, 2016</w:t>
            </w:r>
          </w:p>
        </w:tc>
        <w:tc>
          <w:tcPr>
            <w:tcW w:w="1140" w:type="dxa"/>
            <w:vAlign w:val="bottom"/>
            <w:shd w:val="clear" w:color="auto" w:fill="F0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980" w:type="dxa"/>
            <w:vAlign w:val="bottom"/>
            <w:gridSpan w:val="2"/>
            <w:shd w:val="clear" w:color="auto" w:fill="F0FFFF"/>
          </w:tcPr>
          <w:p>
            <w:pPr>
              <w:jc w:val="right"/>
              <w:ind w:right="100"/>
              <w:spacing w:after="0"/>
              <w:rPr>
                <w:sz w:val="20"/>
                <w:szCs w:val="20"/>
                <w:color w:val="auto"/>
              </w:rPr>
            </w:pPr>
            <w:r>
              <w:rPr>
                <w:rFonts w:ascii="Times New Roman" w:cs="Times New Roman" w:eastAsia="Times New Roman" w:hAnsi="Times New Roman"/>
                <w:sz w:val="18"/>
                <w:szCs w:val="18"/>
                <w:color w:val="auto"/>
              </w:rPr>
              <w:t>36,342</w:t>
            </w:r>
          </w:p>
        </w:tc>
        <w:tc>
          <w:tcPr>
            <w:tcW w:w="0" w:type="dxa"/>
            <w:vAlign w:val="bottom"/>
          </w:tcPr>
          <w:p>
            <w:pPr>
              <w:spacing w:after="0"/>
              <w:rPr>
                <w:sz w:val="1"/>
                <w:szCs w:val="1"/>
                <w:color w:val="auto"/>
              </w:rPr>
            </w:pPr>
          </w:p>
        </w:tc>
      </w:tr>
      <w:tr>
        <w:trPr>
          <w:trHeight w:val="217"/>
        </w:trPr>
        <w:tc>
          <w:tcPr>
            <w:tcW w:w="760" w:type="dxa"/>
            <w:vAlign w:val="bottom"/>
            <w:tcBorders>
              <w:top w:val="single" w:sz="8" w:color="F0FF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304,000</w:t>
            </w:r>
          </w:p>
        </w:tc>
        <w:tc>
          <w:tcPr>
            <w:tcW w:w="1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304,000</w:t>
            </w:r>
          </w:p>
        </w:tc>
        <w:tc>
          <w:tcPr>
            <w:tcW w:w="10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Defaults upon Senior Securities – None</w:t>
            </w: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60" w:type="dxa"/>
            <w:vAlign w:val="bottom"/>
            <w:vMerge w:val="continue"/>
          </w:tcPr>
          <w:p>
            <w:pPr>
              <w:spacing w:after="0"/>
              <w:rPr>
                <w:sz w:val="24"/>
                <w:szCs w:val="24"/>
                <w:color w:val="auto"/>
              </w:rPr>
            </w:pPr>
          </w:p>
        </w:tc>
        <w:tc>
          <w:tcPr>
            <w:tcW w:w="4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Mine Safety Disclosures – None</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4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Information – None</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Description</w:t>
            </w:r>
          </w:p>
        </w:tc>
      </w:tr>
      <w:tr>
        <w:trPr>
          <w:trHeight w:val="414"/>
        </w:trPr>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31.1</w:t>
            </w: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Certification by Jimmy C. Tallent, Chairman and Chief Executive Officer of United Community Banks, Inc., pursuant to Exchange</w:t>
            </w:r>
          </w:p>
        </w:tc>
      </w:tr>
      <w:tr>
        <w:trPr>
          <w:trHeight w:val="234"/>
        </w:trPr>
        <w:tc>
          <w:tcPr>
            <w:tcW w:w="960" w:type="dxa"/>
            <w:vAlign w:val="bottom"/>
          </w:tcPr>
          <w:p>
            <w:pPr>
              <w:spacing w:after="0"/>
              <w:rPr>
                <w:sz w:val="20"/>
                <w:szCs w:val="20"/>
                <w:color w:val="auto"/>
              </w:rPr>
            </w:pP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Act Rules 13a-14(a) and 15d-14(a), as adopted pursuant to Section 302 of the Sarbanes-Oxley Act of 2002.</w:t>
            </w:r>
          </w:p>
        </w:tc>
      </w:tr>
      <w:tr>
        <w:trPr>
          <w:trHeight w:val="414"/>
        </w:trPr>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31.2</w:t>
            </w: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Certification by Rex S. Schuette, Executive Vice President and Chief Financial Officer of United Community Banks, Inc., pursuant to</w:t>
            </w:r>
          </w:p>
        </w:tc>
      </w:tr>
      <w:tr>
        <w:trPr>
          <w:trHeight w:val="234"/>
        </w:trPr>
        <w:tc>
          <w:tcPr>
            <w:tcW w:w="960" w:type="dxa"/>
            <w:vAlign w:val="bottom"/>
          </w:tcPr>
          <w:p>
            <w:pPr>
              <w:spacing w:after="0"/>
              <w:rPr>
                <w:sz w:val="20"/>
                <w:szCs w:val="20"/>
                <w:color w:val="auto"/>
              </w:rPr>
            </w:pP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Exchange Act Rules 13a-14(a) and 15d-14(a), as adopted pursuant to Section 302 of the Sarbanes-Oxley Act of 2002.</w:t>
            </w:r>
          </w:p>
        </w:tc>
      </w:tr>
      <w:tr>
        <w:trPr>
          <w:trHeight w:val="432"/>
        </w:trPr>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w:t>
            </w: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432"/>
        </w:trPr>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101.INS</w:t>
            </w: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101.SCH</w:t>
            </w: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101.CAL</w:t>
            </w: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101.DEF</w:t>
            </w: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101.LAB</w:t>
            </w: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101.PRE</w:t>
            </w:r>
          </w:p>
        </w:tc>
        <w:tc>
          <w:tcPr>
            <w:tcW w:w="10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675"/>
        </w:trPr>
        <w:tc>
          <w:tcPr>
            <w:tcW w:w="960" w:type="dxa"/>
            <w:vAlign w:val="bottom"/>
            <w:tcBorders>
              <w:bottom w:val="single" w:sz="8" w:color="DCDCDC"/>
            </w:tcBorders>
          </w:tcPr>
          <w:p>
            <w:pPr>
              <w:spacing w:after="0"/>
              <w:rPr>
                <w:sz w:val="24"/>
                <w:szCs w:val="24"/>
                <w:color w:val="auto"/>
              </w:rPr>
            </w:pPr>
          </w:p>
        </w:tc>
        <w:tc>
          <w:tcPr>
            <w:tcW w:w="10460" w:type="dxa"/>
            <w:vAlign w:val="bottom"/>
            <w:tcBorders>
              <w:bottom w:val="single" w:sz="8" w:color="DCDCDC"/>
            </w:tcBorders>
          </w:tcPr>
          <w:p>
            <w:pPr>
              <w:ind w:left="4620"/>
              <w:spacing w:after="0"/>
              <w:rPr>
                <w:sz w:val="20"/>
                <w:szCs w:val="20"/>
                <w:color w:val="auto"/>
              </w:rPr>
            </w:pPr>
            <w:r>
              <w:rPr>
                <w:rFonts w:ascii="Times New Roman" w:cs="Times New Roman" w:eastAsia="Times New Roman" w:hAnsi="Times New Roman"/>
                <w:sz w:val="22"/>
                <w:szCs w:val="22"/>
                <w:color w:val="auto"/>
              </w:rPr>
              <w:t>64</w:t>
            </w:r>
          </w:p>
        </w:tc>
      </w:tr>
    </w:tbl>
    <w:p>
      <w:pPr>
        <w:sectPr>
          <w:pgSz w:w="11900" w:h="16838" w:orient="portrait"/>
          <w:cols w:equalWidth="0" w:num="1">
            <w:col w:w="11420"/>
          </w:cols>
          <w:pgMar w:left="240" w:top="901" w:right="2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/s/ Jimmy C. Tallent</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/s/ Rex S. Schuette</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/s/ Alan H. Kumler</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November 4, 2016</w:t>
      </w: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Jimmy C. Tallent,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5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6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Jimmy C. Tallent</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and Chief Executive Officer of the Registrant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Rex S. Schuette,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6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Rex S. Schuette</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September 30, 2016 filed with the Securities and Exchange Commission on the date hereof (the “Report”), I, Jimmy C. Tallent, Chairman and Chief Executive Officer of United, and I, Rex S. Schuette, Executive Vice President and Chief Financial Officer of United, certify, pursuant to 18 U.S.C. Section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United.</w:t>
      </w:r>
    </w:p>
    <w:p>
      <w:pPr>
        <w:spacing w:after="0" w:line="221"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Jimmy C. Tallent</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Rex S. Schuette</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93"/>
    </w:lvl>
  </w:abstractNum>
  <w:abstractNum w:abstractNumId="10">
    <w:nsid w:val="1BEFD79F"/>
    <w:multiLevelType w:val="hybridMultilevel"/>
    <w:lvl w:ilvl="0">
      <w:lvlJc w:val="left"/>
      <w:lvlText w:val="(%1)"/>
      <w:numFmt w:val="decimal"/>
      <w:start w:val="502"/>
    </w:lvl>
  </w:abstractNum>
  <w:abstractNum w:abstractNumId="11">
    <w:nsid w:val="41A7C4C9"/>
    <w:multiLevelType w:val="hybridMultilevel"/>
    <w:lvl w:ilvl="0">
      <w:lvlJc w:val="left"/>
      <w:lvlText w:val="%1"/>
      <w:numFmt w:val="decimal"/>
      <w:start w:val="556"/>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2019-12-29T09:36:28Z</dcterms:created>
  <dcterms:modified xsi:type="dcterms:W3CDTF">2019-12-29T09:36:28Z</dcterms:modified>
</cp:coreProperties>
</file>