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27305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570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(State of Incorporation)</w:t>
            </w:r>
          </w:p>
        </w:tc>
        <w:tc>
          <w:tcPr>
            <w:tcW w:w="2280" w:type="dxa"/>
            <w:vAlign w:val="bottom"/>
          </w:tcPr>
          <w:p>
            <w:pPr>
              <w:spacing w:after="0"/>
              <w:rPr>
                <w:sz w:val="19"/>
                <w:szCs w:val="19"/>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6"/>
        </w:trPr>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125 Highway 515 East</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4"/>
        </w:trPr>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Blairsville, Georgia</w:t>
            </w:r>
          </w:p>
        </w:tc>
        <w:tc>
          <w:tcPr>
            <w:tcW w:w="570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rPr>
              <w:t>30512</w:t>
            </w:r>
          </w:p>
        </w:tc>
      </w:tr>
      <w:tr>
        <w:trPr>
          <w:trHeight w:val="191"/>
        </w:trPr>
        <w:tc>
          <w:tcPr>
            <w:tcW w:w="34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Address of Principal</w:t>
            </w:r>
          </w:p>
        </w:tc>
        <w:tc>
          <w:tcPr>
            <w:tcW w:w="22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center"/>
              <w:ind w:right="470"/>
              <w:spacing w:after="0" w:line="191"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Executive Offices</w:t>
            </w: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(706) 781-2265</w:t>
            </w:r>
          </w:p>
        </w:tc>
        <w:tc>
          <w:tcPr>
            <w:tcW w:w="58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28"/>
        </w:trPr>
        <w:tc>
          <w:tcPr>
            <w:tcW w:w="2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1"/>
              </w:rPr>
              <w:t>(Telephone Number)</w:t>
            </w:r>
          </w:p>
        </w:tc>
        <w:tc>
          <w:tcPr>
            <w:tcW w:w="2840" w:type="dxa"/>
            <w:vAlign w:val="bottom"/>
          </w:tcPr>
          <w:p>
            <w:pPr>
              <w:spacing w:after="0"/>
              <w:rPr>
                <w:sz w:val="19"/>
                <w:szCs w:val="19"/>
                <w:color w:val="auto"/>
              </w:rPr>
            </w:pPr>
          </w:p>
        </w:tc>
      </w:tr>
    </w:tbl>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29" w:right="239" w:bottom="1440" w:gutter="0" w:footer="0" w:header="0"/>
        </w:sectPr>
      </w:pPr>
    </w:p>
    <w:p>
      <w:pPr>
        <w:spacing w:after="0" w:line="147"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729"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8380" w:space="720"/>
            <w:col w:w="2320"/>
          </w:cols>
          <w:pgMar w:left="240" w:top="729"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ectPr>
          <w:pgSz w:w="11900" w:h="16838" w:orient="portrait"/>
          <w:cols w:equalWidth="0" w:num="1">
            <w:col w:w="11420"/>
          </w:cols>
          <w:pgMar w:left="240" w:top="729" w:right="239" w:bottom="1440" w:gutter="0" w:footer="0" w:header="0"/>
          <w:type w:val="continuous"/>
        </w:sectPr>
      </w:pPr>
    </w:p>
    <w:p>
      <w:pPr>
        <w:spacing w:after="0" w:line="277" w:lineRule="exact"/>
        <w:rPr>
          <w:sz w:val="24"/>
          <w:szCs w:val="24"/>
          <w:color w:val="auto"/>
        </w:rPr>
      </w:pPr>
    </w:p>
    <w:p>
      <w:pPr>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19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$1 per share 79,125,271 shares outstanding as of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ind w:left="3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Item 1.</w:t>
            </w:r>
          </w:p>
        </w:tc>
        <w:tc>
          <w:tcPr>
            <w:tcW w:w="844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Consolidated Statements of Income (unaudited) for the Three Months Ended March 31, 2018 and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Statements of Comprehensive Income (unaudited) for the Three Months Ended March 31, 2018</w:t>
              </w:r>
            </w:hyperlink>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2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and 2017</w:t>
              </w:r>
            </w:hyperlink>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Consolidated Balance Sheets (unaudited) at March 31, 2018 and December 31,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Consolidated Statements of Changes in Shareholders’ Equity (unaudited) for the Three Months Ended March</w:t>
              </w:r>
            </w:hyperlink>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00" w:type="dxa"/>
            <w:vAlign w:val="bottom"/>
            <w:gridSpan w:val="18"/>
            <w:shd w:val="clear" w:color="auto" w:fill="CCEEFF"/>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31, 2018 and 2017</w:t>
              </w:r>
            </w:hyperlink>
          </w:p>
        </w:tc>
        <w:tc>
          <w:tcPr>
            <w:tcW w:w="114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w w:val="93"/>
              </w:rPr>
            </w:pPr>
            <w:hyperlink w:anchor="page7">
              <w:r>
                <w:rPr>
                  <w:rFonts w:ascii="Arial" w:cs="Arial" w:eastAsia="Arial" w:hAnsi="Arial"/>
                  <w:sz w:val="18"/>
                  <w:szCs w:val="18"/>
                  <w:b w:val="1"/>
                  <w:bCs w:val="1"/>
                  <w:color w:val="0000EE"/>
                  <w:w w:val="93"/>
                </w:rPr>
                <w:t>Consolidated Statements of Cash Flows (unaudited) for the Three Months Ended March 31, 2018 and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Notes to Consolidated 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2.</w:t>
              </w:r>
            </w:hyperlink>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Management’s Discussion and Analysis of Financial Condition and Results of Operations.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3.</w:t>
              </w:r>
            </w:hyperlink>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Quantitative and Qualitative Disclosures About Market Risk.</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4.</w:t>
              </w:r>
            </w:hyperlink>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Controls and Procedures.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994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 - Other Information</w:t>
              </w:r>
            </w:hyperlink>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w:t>
              </w:r>
            </w:hyperlink>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Legal Proceedings.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3"/>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1A.</w:t>
              </w:r>
            </w:hyperlink>
          </w:p>
        </w:tc>
        <w:tc>
          <w:tcPr>
            <w:tcW w:w="8440" w:type="dxa"/>
            <w:vAlign w:val="bottom"/>
            <w:gridSpan w:val="19"/>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Risk Factors.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2.</w:t>
              </w:r>
            </w:hyperlink>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3"/>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3.</w:t>
              </w:r>
            </w:hyperlink>
          </w:p>
        </w:tc>
        <w:tc>
          <w:tcPr>
            <w:tcW w:w="8440" w:type="dxa"/>
            <w:vAlign w:val="bottom"/>
            <w:gridSpan w:val="19"/>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Defaults Upon Senior Securities.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4.</w:t>
              </w:r>
            </w:hyperlink>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3"/>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5.</w:t>
              </w:r>
            </w:hyperlink>
          </w:p>
        </w:tc>
        <w:tc>
          <w:tcPr>
            <w:tcW w:w="8440" w:type="dxa"/>
            <w:vAlign w:val="bottom"/>
            <w:gridSpan w:val="19"/>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6.</w:t>
              </w:r>
            </w:hyperlink>
          </w:p>
        </w:tc>
        <w:tc>
          <w:tcPr>
            <w:tcW w:w="844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3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gridSpan w:val="2"/>
          </w:tcPr>
          <w:p>
            <w:pPr>
              <w:spacing w:after="0"/>
              <w:rPr>
                <w:sz w:val="24"/>
                <w:szCs w:val="24"/>
                <w:color w:val="auto"/>
              </w:rPr>
            </w:pPr>
          </w:p>
        </w:tc>
        <w:tc>
          <w:tcPr>
            <w:tcW w:w="3940" w:type="dxa"/>
            <w:vAlign w:val="bottom"/>
            <w:tcBorders>
              <w:top w:val="single" w:sz="8" w:color="CCEEFF"/>
              <w:bottom w:val="single" w:sz="8" w:color="auto"/>
            </w:tcBorders>
            <w:gridSpan w:val="10"/>
          </w:tcPr>
          <w:p>
            <w:pPr>
              <w:jc w:val="right"/>
              <w:ind w:right="72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Statements of Income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96,469</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including tax exempt of $972 and $279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18,295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Deposits in banks and short-term investments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interest revenue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2,175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2,956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deposit 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3,288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Net interest revenue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interest revenue after provision for credit losses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99,485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Fee revenue: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and fees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Mortgage loan and other related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5,359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Brokerage fees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Gains from sales of SBA/USDA loans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1,778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losses,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6,402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fee revenue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121,881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42,875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Communications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4,632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Advertising and public relations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1,515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Postage, printing and supplies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4,044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1,898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Merger-related and other charges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6,731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Net income before income taxes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10,748</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440" w:type="dxa"/>
            <w:vAlign w:val="bottom"/>
          </w:tcPr>
          <w:p>
            <w:pPr>
              <w:ind w:left="360"/>
              <w:spacing w:after="0"/>
              <w:rPr>
                <w:sz w:val="20"/>
                <w:szCs w:val="20"/>
                <w:color w:val="auto"/>
              </w:rPr>
            </w:pPr>
            <w:r>
              <w:rPr>
                <w:rFonts w:ascii="Arial" w:cs="Arial" w:eastAsia="Arial" w:hAnsi="Arial"/>
                <w:sz w:val="18"/>
                <w:szCs w:val="18"/>
                <w:b w:val="1"/>
                <w:bCs w:val="1"/>
                <w:color w:val="auto"/>
              </w:rPr>
              <w:t>Net income available to common shareholders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37,381</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79,205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79,215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08"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Statements of Comprehensive Income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March 31,</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Tax</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Tax</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Before-tax</w:t>
            </w:r>
          </w:p>
        </w:tc>
        <w:tc>
          <w:tcPr>
            <w:tcW w:w="8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(Expense)</w:t>
            </w:r>
          </w:p>
        </w:tc>
        <w:tc>
          <w:tcPr>
            <w:tcW w:w="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Net of Tax</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Before-tax</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(Expense)</w:t>
            </w:r>
          </w:p>
        </w:tc>
        <w:tc>
          <w:tcPr>
            <w:tcW w:w="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6"/>
              </w:rPr>
              <w:t>Net of Tax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Unrealized gains (losses) on available-for-sale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w w:val="93"/>
              </w:rPr>
              <w:t>Unrealized holding gains (losses) arising during period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(22,110)</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6,508</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6"/>
              </w:rPr>
              <w:t>Reclassification adjustment for losses included in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520"/>
              <w:spacing w:after="0"/>
              <w:rPr>
                <w:sz w:val="20"/>
                <w:szCs w:val="20"/>
                <w:color w:val="auto"/>
              </w:rPr>
            </w:pPr>
            <w:r>
              <w:rPr>
                <w:rFonts w:ascii="Arial" w:cs="Arial" w:eastAsia="Arial" w:hAnsi="Arial"/>
                <w:sz w:val="18"/>
                <w:szCs w:val="18"/>
                <w:color w:val="auto"/>
              </w:rPr>
              <w:t>Net unrealized gains (losses)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6,510</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Amortization of losses included in net income on available-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for-sale securities transferred to held-to- maturity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w w:val="92"/>
              </w:rPr>
              <w:t>Amortization of losses included in net income on terminated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derivative financial instruments that were previously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accounted for as cash flow hedges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Reclassification of disproportionate tax effect  related to</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terminated cash flow hedges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520"/>
              <w:spacing w:after="0"/>
              <w:rPr>
                <w:sz w:val="20"/>
                <w:szCs w:val="20"/>
                <w:color w:val="auto"/>
              </w:rPr>
            </w:pPr>
            <w:r>
              <w:rPr>
                <w:rFonts w:ascii="Arial" w:cs="Arial" w:eastAsia="Arial" w:hAnsi="Arial"/>
                <w:sz w:val="18"/>
                <w:szCs w:val="18"/>
                <w:color w:val="auto"/>
              </w:rPr>
              <w:t>Net cash flow hedge activity</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 loss on defined benefit pension plan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prior service cost and actuarial losses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w w:val="96"/>
              </w:rPr>
              <w:t>included in net periodic pension cost for defined benefit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pension plan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defined benefit pension plan activity</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6,633</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Comprehensive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136,201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129,108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216,052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185,167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352,253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2,419,049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2,615,850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Securities held to maturity (fair value $308,007 and $321,276)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312,080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321,094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 (includes $26,493 and $26,252 at fair value)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8,184,249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7,735,572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allowance for loan and lease losses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Loans and leases, net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8,123,164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7,676,658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208,852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189,759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188,970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86,520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328,328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244,397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12,264,255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11,915,460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Demand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3,226,111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3,087,797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2,052,486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2,016,748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1,520,931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1,548,460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Brokered</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371,011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9,993,440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9,807,697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434,574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504,651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33,236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25,376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10,907,500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10,612,126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$1 par value; 150,000,000 shares authorized; 79,122,620 and 77,579,561 shares issued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79,123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issuable; 612,831 and 607,869 shares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1,496,307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1,451,814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1,356,755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12,264,255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11,915,460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 the 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except share and</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Capital</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per share data)</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Issuable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Surplus</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1,275,849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(251,857)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23,524</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issued to dividend reinvestment plan and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employee benefit plans (4,239 shares)</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Amortization of stock option and restricted stock awards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w w:val="99"/>
              </w:rPr>
              <w:t>Vesting of restricted stock, net of shares surrendered to</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w w:val="93"/>
              </w:rPr>
              <w:t>cover payroll taxes (37,121 shares issued, 58,553 shares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Deferred compensation plan, net, including dividend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Shares issued from deferred compensation plan, net of</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w w:val="92"/>
              </w:rPr>
              <w:t>shares surrendered to cover payroll taxes (32,279 shares)</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dividends ($.09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2017</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1,275,954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(234,384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1,101,543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1,451,814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(209,902)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37,658</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issued to dividend reinvestment plan and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employee benefit plans (5,204 shares)</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Common stock issued for acquisition (1,443,987 shares)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44,302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8"/>
              </w:rPr>
              <w:t>Amortization of stock option and restricted stock awards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Vesting of restricted stock and exercise of stock options, net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shares surrendered to cover payroll taxes (48,310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issued, 46,074 shares deferred)</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Deferred compensation plan, net, including dividend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equivalents</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from deferred compensation plan, net of</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shares surrendered to cover payroll taxes (45,558 shares)</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Common stock dividends ($.12 per share)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(9,633)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2018</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1,496,307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(181,877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1,356,755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37,658</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10,487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Securities losses,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from sales of SBA/USDA loans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Net losses and write downs on sales of other real estate owned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8,833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securities held to maturity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(4,781)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sales of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113,961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85,331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(30,161)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loans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(79,404)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 of bank owned life insurance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(6,107)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paid for acquisition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(56,800)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186,089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(264,923)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(12,309)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FHLB advances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760,000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Repayments of FHLB advances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(830,000)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subordinated debt, net of issuance costs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98,188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shares withheld to cover payroll taxes upon vesting of restricted stock</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(7,885)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 including restricted cash</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37,978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314,275</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including restricted cash, at end of period</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352,253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13,069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Significant non-cash investing and financing transactions: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Unsettled security purchases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Unsettled government guaranteed loan purchases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Unsettled government guaranteed loan sales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14,240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Transfers of loans to foreclosed properties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Assets acquired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480,679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350,433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130,246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issued in acquisitions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45,746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04"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In addition to those items mentioned below, a more detailed description of United’s accounting policies is included in its Annual Report on Form 10-K for the year ended December 31, 2017.</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securitizations acquired with NLFC Holdings Corp. (“NLFC”) require various restricted cash accounts. These cash accounts were funded from either a portion of the proceeds from the issuance of notes or from the collections on leases and loans that were conveyed in the securitization. These restricted cash accounts provide additional collateral to the note holders under specific provisions of the securitizations which govern when funds in these accounts may be released as well as conditions under which collections on contracts transferred to the securitizations may be used to fund deposits into the restricted cash accounts. At March 31, 2018, these restricted cash accounts totaled $11.8 million and were included in interest-bearing deposits in banks on the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Financing Lease Receivables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Equipment financing lease receivables are recorded as the sum of the future minimum lease payments, initial deferred costs and estimated or contractual residual values less unearned income.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Standards Updates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expects to report higher assets and liabilities as a result of including leases on the consolidated balance sheet. At December 31, 2017, future minimum lease payments amounted to $27.1 million. United does not expect the new guidance to have a material impact on the consolidated statements of income or the consolidated statements of shareholders’ equity.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guidance replaces the incurred loss impairment methodology in current GAAP with an expected credit loss methodology and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management is still in the process of determining the magnitude of the increase. Management has formed a steering committee and has completed a gap assessment that will become the basis for a full project plan. United expects to run parallel for the four quarters leading up to the effective date to ensure it is prepared for implementation by the effective date.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This ASU provides guidance on the recognition of revenue from contracts with customers. The core principle of the guidance is that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should recognize revenue to depict the transfer of promised goods or services to customers in an amount that reflects the consideration to which the entity expects to be entitled in exchange for those goods or services. This guidance was effective for public entities for annual reporting periods beginning after December 15, 2017, including interim periods within that reporting period, and was applied retrospectively either to each prior reporting period or with a cumulative effect recognized at the date of initial application. Because the guidance does not apply to revenue associated with financial instruments, including loans and securities, and revenue sources within scope were not materially affected, the new revenue recognition guidance did not have a material impact on the consolidated financial statements. United used the modified retrospective approach to adopting this guidance.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2016-1,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The guidance in this update requires that equity investments (except those accounted for under the equity method of accounting) be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The guidance also simplifies the impairment assessment of equity investments without readily determinable fair values by requiring a qualitative assessment to identify impairment. In addition, the guidance addresses various disclosure and presentation issues related to financial instruments. For public entities, this update was effective for fiscal years beginning after December 15, 2017 with early application permitted. The adoption of this update did not have a material impact on the consolidated financial statements. There was no opening balance sheet adjustment as a result of the adoption and the remainder of the standard was applied prospectively.</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Force)</w:t>
      </w:r>
      <w:r>
        <w:rPr>
          <w:rFonts w:ascii="Arial" w:cs="Arial" w:eastAsia="Arial" w:hAnsi="Arial"/>
          <w:sz w:val="16"/>
          <w:szCs w:val="16"/>
          <w:color w:val="auto"/>
        </w:rPr>
        <w:t>. This ASU requires that the statement of cash flows explain the change during the period in the total of cash, cash equivalents, and amounts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as restricted cash or restricted cash equivalents. This guidance was effective for public entities for fiscal years beginning after December 15, 2017, including interim periods within that reporting period, and was applied retrospectively to each period presented. The adoption of this update did not have a material impact on the consolidated financial statements. There was no adjustment to prior periods as a result of the adoption.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This ASU requires that an employer disaggregate the service cost component from the other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of net benefit cost. The amendments also provide explicit guidance on how to present the service cost component and the other components of net benefit cost and allow only the service cost component to be eligible for capitalization. For public entities, this update was effective for fiscal years beginning after December 15, 2017, with retrospective presentation of the service cost and other components and prospective application for any capitalization of service cost. The adoption of this update did not have a material impact on the consolidated financial statements.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NLFC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2018, United completed the acquisition of NLFC and its wholly-owned subsidiary, Navitas Credit Corp (“Navitas”). Navitas is a specialty lending company providing equipment finance credit services to small and medium-sized businesses nationwide. In connection with the acquisition, United acquired $394 million of assets and assumed $350 million of liabilities. Under the terms of the merger agreement, NLFC shareholders received $130 million in total consideration, $84.5 million of which was paid in cash and $45.7 million was paid in United common stock. The fair value of consideration paid exceeded the fair value of the identifiable assets and liabilities acquired and resulted in the establishment of goodwill in the amount of $87.0 million, representing the intangible value of NLFC’s business and reputation within the markets it served. None of the goodwill recognized is expected to be deductible for income tax purposes.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operating results for the period ended March 31, 2018 include the operating results of the acquired assets and assumed liabilities for the period subsequent to the acquisition date of February 1,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purchased assets and assumed liabilities were recorded at their acquisition date fair values and are summarized in the table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As Recorded by</w:t>
            </w:r>
          </w:p>
        </w:tc>
        <w:tc>
          <w:tcPr>
            <w:tcW w:w="14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As Recorded by</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NLFC</w:t>
            </w:r>
          </w:p>
        </w:tc>
        <w:tc>
          <w:tcPr>
            <w:tcW w:w="1460" w:type="dxa"/>
            <w:vAlign w:val="bottom"/>
            <w:gridSpan w:val="3"/>
          </w:tcPr>
          <w:p>
            <w:pPr>
              <w:ind w:left="20"/>
              <w:spacing w:after="0" w:line="269"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30"/>
                <w:szCs w:val="30"/>
                <w:b w:val="1"/>
                <w:bCs w:val="1"/>
                <w:color w:val="auto"/>
                <w:vertAlign w:val="superscript"/>
              </w:rPr>
              <w:t>(1)</w:t>
            </w:r>
          </w:p>
        </w:tc>
        <w:tc>
          <w:tcPr>
            <w:tcW w:w="220" w:type="dxa"/>
            <w:vAlign w:val="bottom"/>
          </w:tcPr>
          <w:p>
            <w:pPr>
              <w:spacing w:after="0"/>
              <w:rPr>
                <w:sz w:val="23"/>
                <w:szCs w:val="23"/>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United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27,700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 net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365,533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5,117</w:t>
            </w: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 acquired</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9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Long-term debt</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119,402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119,402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liabilities assumed</w:t>
            </w:r>
          </w:p>
        </w:tc>
        <w:tc>
          <w:tcPr>
            <w:tcW w:w="17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351,384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Excess of assets acquired over liabilities assumed</w:t>
            </w:r>
          </w:p>
        </w:tc>
        <w:tc>
          <w:tcPr>
            <w:tcW w:w="19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47,594</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Aggregate fair value adjustments</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(4,337)</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gridSpan w:val="2"/>
            <w:vMerge w:val="continue"/>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identifiable net assets</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Consideration transferred</w:t>
            </w: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Common stock issued (1,443,987 shares)</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45,746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fair value of consideration transferred</w:t>
            </w:r>
          </w:p>
        </w:tc>
        <w:tc>
          <w:tcPr>
            <w:tcW w:w="1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8"/>
        <w:spacing w:after="0" w:line="227" w:lineRule="auto"/>
        <w:tabs>
          <w:tab w:leader="none" w:pos="212"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Fair values are preliminary and are subject to refinement for a period not to exceed one year after the closing date of an acquisition as information relative to closing date fair values becomes available.</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and lease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80" w:type="dxa"/>
            <w:vAlign w:val="bottom"/>
            <w:gridSpan w:val="4"/>
          </w:tcPr>
          <w:p>
            <w:pPr>
              <w:ind w:left="1880"/>
              <w:spacing w:after="0"/>
              <w:rPr>
                <w:sz w:val="20"/>
                <w:szCs w:val="20"/>
                <w:color w:val="auto"/>
              </w:rPr>
            </w:pPr>
            <w:r>
              <w:rPr>
                <w:rFonts w:ascii="Arial" w:cs="Arial" w:eastAsia="Arial" w:hAnsi="Arial"/>
                <w:sz w:val="18"/>
                <w:szCs w:val="18"/>
                <w:b w:val="1"/>
                <w:bCs w:val="1"/>
                <w:color w:val="auto"/>
                <w:w w:val="97"/>
              </w:rPr>
              <w:t>February 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Accounted for pursuant to ASC 310-30:</w:t>
            </w:r>
          </w:p>
        </w:tc>
        <w:tc>
          <w:tcPr>
            <w:tcW w:w="18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Contractually required principal and interest</w:t>
            </w:r>
          </w:p>
        </w:tc>
        <w:tc>
          <w:tcPr>
            <w:tcW w:w="228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Non-accretable difference</w:t>
            </w:r>
          </w:p>
        </w:tc>
        <w:tc>
          <w:tcPr>
            <w:tcW w:w="18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flows expected to be collected</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Accretable yield</w:t>
            </w:r>
          </w:p>
        </w:tc>
        <w:tc>
          <w:tcPr>
            <w:tcW w:w="18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w:t>
            </w:r>
          </w:p>
        </w:tc>
        <w:tc>
          <w:tcPr>
            <w:tcW w:w="18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15,916</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Excluded from ASC 310-30:</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2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Gross contractual amounts receivable</w:t>
            </w: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Estimate of contractual cash flows not expected to be collected</w:t>
            </w:r>
          </w:p>
        </w:tc>
        <w:tc>
          <w:tcPr>
            <w:tcW w:w="1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after announcement of its intention to acquire NLFC but prior to the completion of the acquisition, United purchased $19.9 million in loans from NLFC in a transaction separate from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discloses the impact of the merger with NLFC since the acquisition date through March 31, 2018. The table also presents certain pro forma information as if NLFC had been acquired on January 1, 2017. These results combine the historical results of the acquired entity with United’s consolidated statement of income and, while adjustments were made for the estimated impact of certain fair value adjustments and other acquisition-related activity, they are not necessarily indicative of what would have occurred had the acquisition taken place in earlier years.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Merger-related costs from the NLFC acquisition of $4.71 million have been excluded from the three months 2018 pro forma information presented below and included in the three months 2017 pro forma information below. The actual results and pro forma information were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580" w:type="dxa"/>
            <w:vAlign w:val="bottom"/>
            <w:gridSpan w:val="8"/>
          </w:tcPr>
          <w:p>
            <w:pPr>
              <w:ind w:left="8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9"/>
              </w:rPr>
              <w:t>Actual NLFC results included in statement of income since acquisition date</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2"/>
        </w:trPr>
        <w:tc>
          <w:tcPr>
            <w:tcW w:w="5960" w:type="dxa"/>
            <w:vAlign w:val="bottom"/>
          </w:tcPr>
          <w:p>
            <w:pPr>
              <w:spacing w:after="0" w:line="201" w:lineRule="exact"/>
              <w:rPr>
                <w:sz w:val="20"/>
                <w:szCs w:val="20"/>
                <w:color w:val="auto"/>
              </w:rPr>
            </w:pPr>
            <w:r>
              <w:rPr>
                <w:rFonts w:ascii="Arial" w:cs="Arial" w:eastAsia="Arial" w:hAnsi="Arial"/>
                <w:sz w:val="18"/>
                <w:szCs w:val="18"/>
                <w:color w:val="auto"/>
                <w:w w:val="94"/>
              </w:rPr>
              <w:t>Supplemental consolidated pro forma as if NLFC had been acquired January 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2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124,831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39,065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Supplemental consolidated pro forma as if NLFC had been acquired January 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20,880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Four Oaks Fincorp, Inc.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 2017, United completed the acquisition of Four Oaks FinCorp, Inc. (“FOFN”) and its wholly-owned bank subsidiary, Four Oaks Bank &amp; Trust Company. Information related to the fair value of assets and liabilities acquired from FOFN is included in United’s Annual Report on Form 10-K for the year ended December 31, 2017. During first quarter 2018, within the one-year measurement period, United received additional information regarding the acquisition date fair values of loans held for sale and servicing assets. As a result, the provisional values assigned to the acquired loans held for sale and servicing assets have been adjusted to $10.7 million and $65,000, respectively, which represent an increase of $2.59 million and a decrease of $354,000, respectively, from amounts previously disclosed. The tax effect of these adjustments was reflected as a decrease to the deferred tax asset of $1.08 million, with the net amount of $1.16 million reflected as a decrease to goodwill.</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ectPr>
          <w:pgSz w:w="11900" w:h="16838" w:orient="portrait"/>
          <w:cols w:equalWidth="0" w:num="1">
            <w:col w:w="11420"/>
          </w:cols>
          <w:pgMar w:left="240" w:top="904" w:right="239"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44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23"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Repurchase agreements / reverse repurchase agreements Derivatives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interest rate of reverse repurchase agreements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Amounts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Amounts of</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Offset on</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7"/>
              </w:rPr>
              <w:t>in the Balance Sheet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Recognized</w:t>
            </w:r>
          </w:p>
        </w:tc>
        <w:tc>
          <w:tcPr>
            <w:tcW w:w="60" w:type="dxa"/>
            <w:vAlign w:val="bottom"/>
          </w:tcPr>
          <w:p>
            <w:pPr>
              <w:spacing w:after="0"/>
              <w:rPr>
                <w:sz w:val="16"/>
                <w:szCs w:val="16"/>
                <w:color w:val="auto"/>
              </w:rPr>
            </w:pPr>
          </w:p>
        </w:tc>
        <w:tc>
          <w:tcPr>
            <w:tcW w:w="116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the Balance</w:t>
            </w:r>
          </w:p>
        </w:tc>
        <w:tc>
          <w:tcPr>
            <w:tcW w:w="10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Net Asset</w:t>
            </w: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2"/>
              </w:rPr>
              <w:t>Financial</w:t>
            </w:r>
          </w:p>
        </w:tc>
        <w:tc>
          <w:tcPr>
            <w:tcW w:w="8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Sheet</w:t>
            </w:r>
          </w:p>
        </w:tc>
        <w:tc>
          <w:tcPr>
            <w:tcW w:w="22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Instruments</w:t>
            </w: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rPr>
              <w:t>Received</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411"/>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27,202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27,202</w:t>
            </w: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(12,069)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11,068</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77,202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27,202</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11,068</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-736600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-454025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-136525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280"/>
            <w:col w:w="6500"/>
          </w:cols>
          <w:pgMar w:left="240" w:top="904" w:right="239" w:bottom="410" w:gutter="0" w:footer="0" w:header="0"/>
          <w:type w:val="continuous"/>
        </w:sectPr>
      </w:pPr>
    </w:p>
    <w:tbl>
      <w:tblPr>
        <w:tblLayout w:type="fixed"/>
        <w:tblInd w:w="488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Gross Amounts not Offset</w:t>
            </w:r>
          </w:p>
        </w:tc>
        <w:tc>
          <w:tcPr>
            <w:tcW w:w="800" w:type="dxa"/>
            <w:vAlign w:val="bottom"/>
          </w:tcPr>
          <w:p>
            <w:pPr>
              <w:spacing w:after="0"/>
              <w:rPr>
                <w:sz w:val="18"/>
                <w:szCs w:val="18"/>
                <w:color w:val="auto"/>
              </w:rPr>
            </w:pPr>
          </w:p>
        </w:tc>
      </w:tr>
      <w:tr>
        <w:trPr>
          <w:trHeight w:val="248"/>
        </w:trPr>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Amounts of</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Offset on</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2280" w:type="dxa"/>
            <w:vAlign w:val="bottom"/>
            <w:gridSpan w:val="4"/>
          </w:tcPr>
          <w:p>
            <w:pPr>
              <w:ind w:left="260"/>
              <w:spacing w:after="0"/>
              <w:rPr>
                <w:sz w:val="20"/>
                <w:szCs w:val="20"/>
                <w:color w:val="auto"/>
              </w:rPr>
            </w:pPr>
            <w:r>
              <w:rPr>
                <w:rFonts w:ascii="Arial" w:cs="Arial" w:eastAsia="Arial" w:hAnsi="Arial"/>
                <w:sz w:val="18"/>
                <w:szCs w:val="18"/>
                <w:b w:val="1"/>
                <w:bCs w:val="1"/>
                <w:color w:val="auto"/>
              </w:rPr>
              <w:t>in the Balance Sheet</w:t>
            </w:r>
          </w:p>
        </w:tc>
        <w:tc>
          <w:tcPr>
            <w:tcW w:w="800" w:type="dxa"/>
            <w:vAlign w:val="bottom"/>
          </w:tcPr>
          <w:p>
            <w:pPr>
              <w:spacing w:after="0"/>
              <w:rPr>
                <w:sz w:val="21"/>
                <w:szCs w:val="21"/>
                <w:color w:val="auto"/>
              </w:rPr>
            </w:pPr>
          </w:p>
        </w:tc>
      </w:tr>
      <w:tr>
        <w:trPr>
          <w:trHeight w:val="191"/>
        </w:trPr>
        <w:tc>
          <w:tcPr>
            <w:tcW w:w="12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7"/>
              </w:rPr>
              <w:t>Recognized</w:t>
            </w:r>
          </w:p>
        </w:tc>
        <w:tc>
          <w:tcPr>
            <w:tcW w:w="11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7"/>
              </w:rPr>
              <w:t>the Balance</w:t>
            </w:r>
          </w:p>
        </w:tc>
        <w:tc>
          <w:tcPr>
            <w:tcW w:w="10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6"/>
              </w:rPr>
              <w:t>Liability</w:t>
            </w:r>
          </w:p>
        </w:tc>
        <w:tc>
          <w:tcPr>
            <w:tcW w:w="118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Financial</w:t>
            </w: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Collateral</w:t>
            </w:r>
          </w:p>
        </w:tc>
        <w:tc>
          <w:tcPr>
            <w:tcW w:w="20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Liabilities</w:t>
            </w:r>
          </w:p>
        </w:tc>
        <w:tc>
          <w:tcPr>
            <w:tcW w:w="2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Sheet</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Instruments</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Pledged</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r>
    </w:tbl>
    <w:p>
      <w:pPr>
        <w:spacing w:after="0" w:line="200" w:lineRule="exact"/>
        <w:rPr>
          <w:sz w:val="20"/>
          <w:szCs w:val="20"/>
          <w:color w:val="auto"/>
        </w:rPr>
      </w:pPr>
    </w:p>
    <w:p>
      <w:pPr>
        <w:sectPr>
          <w:pgSz w:w="11900" w:h="16838" w:orient="portrait"/>
          <w:cols w:equalWidth="0" w:num="1">
            <w:col w:w="11420"/>
          </w:cols>
          <w:pgMar w:left="240" w:top="904" w:right="239" w:bottom="410" w:gutter="0" w:footer="0" w:header="0"/>
          <w:type w:val="continuous"/>
        </w:sectPr>
      </w:pPr>
    </w:p>
    <w:p>
      <w:pPr>
        <w:spacing w:after="0" w:line="2"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Repurchase agreements / reverse repurchase agreements Derivatives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interest rate of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35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3"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Repurchase agreements / reverse repurchase agreements Derivatives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interest rate of reverse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33,236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33,236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(4,065)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(18,461)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10,710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(18,461</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10,710</w:t>
            </w: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b w:val="1"/>
                <w:bCs w:val="1"/>
                <w:color w:val="auto"/>
              </w:rPr>
              <w:t>Gross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Amounts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9"/>
          </w:tcPr>
          <w:p>
            <w:pPr>
              <w:jc w:val="right"/>
              <w:ind w:right="110"/>
              <w:spacing w:after="0"/>
              <w:rPr>
                <w:sz w:val="20"/>
                <w:szCs w:val="20"/>
                <w:color w:val="auto"/>
              </w:rPr>
            </w:pPr>
            <w:r>
              <w:rPr>
                <w:rFonts w:ascii="Arial" w:cs="Arial" w:eastAsia="Arial" w:hAnsi="Arial"/>
                <w:sz w:val="18"/>
                <w:szCs w:val="18"/>
                <w:b w:val="1"/>
                <w:bCs w:val="1"/>
                <w:color w:val="auto"/>
                <w:w w:val="87"/>
              </w:rPr>
              <w:t>Gross Amounts not Offset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Amounts of</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Offset on</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gridSpan w:val="8"/>
          </w:tcPr>
          <w:p>
            <w:pPr>
              <w:jc w:val="right"/>
              <w:ind w:right="310"/>
              <w:spacing w:after="0"/>
              <w:rPr>
                <w:sz w:val="20"/>
                <w:szCs w:val="20"/>
                <w:color w:val="auto"/>
              </w:rPr>
            </w:pPr>
            <w:r>
              <w:rPr>
                <w:rFonts w:ascii="Arial" w:cs="Arial" w:eastAsia="Arial" w:hAnsi="Arial"/>
                <w:sz w:val="18"/>
                <w:szCs w:val="18"/>
                <w:b w:val="1"/>
                <w:bCs w:val="1"/>
                <w:color w:val="auto"/>
                <w:w w:val="96"/>
              </w:rPr>
              <w:t>in the Balance Sheet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rPr>
              <w:t>Recognized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tcPr>
          <w:p>
            <w:pPr>
              <w:jc w:val="center"/>
              <w:ind w:right="180"/>
              <w:spacing w:after="0" w:line="191" w:lineRule="exact"/>
              <w:rPr>
                <w:sz w:val="20"/>
                <w:szCs w:val="20"/>
                <w:color w:val="auto"/>
              </w:rPr>
            </w:pPr>
            <w:r>
              <w:rPr>
                <w:rFonts w:ascii="Arial" w:cs="Arial" w:eastAsia="Arial" w:hAnsi="Arial"/>
                <w:sz w:val="18"/>
                <w:szCs w:val="18"/>
                <w:b w:val="1"/>
                <w:bCs w:val="1"/>
                <w:color w:val="auto"/>
                <w:w w:val="87"/>
              </w:rPr>
              <w:t>the Balance</w:t>
            </w:r>
          </w:p>
        </w:tc>
        <w:tc>
          <w:tcPr>
            <w:tcW w:w="20" w:type="dxa"/>
            <w:vAlign w:val="bottom"/>
          </w:tcPr>
          <w:p>
            <w:pPr>
              <w:spacing w:after="0"/>
              <w:rPr>
                <w:sz w:val="16"/>
                <w:szCs w:val="16"/>
                <w:color w:val="auto"/>
              </w:rPr>
            </w:pPr>
          </w:p>
        </w:tc>
        <w:tc>
          <w:tcPr>
            <w:tcW w:w="980" w:type="dxa"/>
            <w:vAlign w:val="bottom"/>
            <w:gridSpan w:val="4"/>
          </w:tcPr>
          <w:p>
            <w:pPr>
              <w:ind w:left="20"/>
              <w:spacing w:after="0" w:line="191" w:lineRule="exact"/>
              <w:rPr>
                <w:sz w:val="20"/>
                <w:szCs w:val="20"/>
                <w:color w:val="auto"/>
              </w:rPr>
            </w:pPr>
            <w:r>
              <w:rPr>
                <w:rFonts w:ascii="Arial" w:cs="Arial" w:eastAsia="Arial" w:hAnsi="Arial"/>
                <w:sz w:val="18"/>
                <w:szCs w:val="18"/>
                <w:b w:val="1"/>
                <w:bCs w:val="1"/>
                <w:color w:val="auto"/>
              </w:rPr>
              <w:t>Net Asset</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w w:val="89"/>
              </w:rPr>
              <w:t>Financial</w:t>
            </w: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jc w:val="right"/>
              <w:ind w:right="10"/>
              <w:spacing w:after="0" w:line="191" w:lineRule="exact"/>
              <w:rPr>
                <w:sz w:val="20"/>
                <w:szCs w:val="20"/>
                <w:color w:val="auto"/>
              </w:rPr>
            </w:pPr>
            <w:r>
              <w:rPr>
                <w:rFonts w:ascii="Arial" w:cs="Arial" w:eastAsia="Arial" w:hAnsi="Arial"/>
                <w:sz w:val="18"/>
                <w:szCs w:val="18"/>
                <w:b w:val="1"/>
                <w:bCs w:val="1"/>
                <w:color w:val="auto"/>
                <w:w w:val="95"/>
              </w:rPr>
              <w:t>Collateral</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5"/>
              </w:rPr>
              <w:t>Sheet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Instruments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3"/>
              </w:rPr>
              <w:t>Received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411"/>
        </w:trPr>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22,721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22,721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(6,369)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14,862</w:t>
            </w:r>
          </w:p>
        </w:tc>
      </w:tr>
      <w:tr>
        <w:trPr>
          <w:trHeight w:val="223"/>
        </w:trPr>
        <w:tc>
          <w:tcPr>
            <w:tcW w:w="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122,721</w:t>
            </w:r>
          </w:p>
        </w:tc>
        <w:tc>
          <w:tcPr>
            <w:tcW w:w="2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22,721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(1,490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(6,369</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14,862</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-2460625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-2177415</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-1860550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-736600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-454025</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-136525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240"/>
            <w:col w:w="6540"/>
          </w:cols>
          <w:pgMar w:left="240" w:top="904" w:right="239" w:bottom="41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Repurchase agreements / reverse repurchase agreements Derivatives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Gross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6"/>
          </w:tcPr>
          <w:p>
            <w:pPr>
              <w:spacing w:after="0"/>
              <w:rPr>
                <w:sz w:val="20"/>
                <w:szCs w:val="20"/>
                <w:color w:val="auto"/>
              </w:rPr>
            </w:pPr>
            <w:r>
              <w:rPr>
                <w:rFonts w:ascii="Arial" w:cs="Arial" w:eastAsia="Arial" w:hAnsi="Arial"/>
                <w:sz w:val="18"/>
                <w:szCs w:val="18"/>
                <w:b w:val="1"/>
                <w:bCs w:val="1"/>
                <w:color w:val="auto"/>
                <w:w w:val="97"/>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Amounts of</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Offset on</w:t>
            </w:r>
          </w:p>
        </w:tc>
        <w:tc>
          <w:tcPr>
            <w:tcW w:w="160" w:type="dxa"/>
            <w:vAlign w:val="bottom"/>
          </w:tcPr>
          <w:p>
            <w:pPr>
              <w:spacing w:after="0"/>
              <w:rPr>
                <w:sz w:val="21"/>
                <w:szCs w:val="21"/>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1"/>
                <w:szCs w:val="21"/>
                <w:color w:val="auto"/>
              </w:rPr>
            </w:pPr>
          </w:p>
        </w:tc>
        <w:tc>
          <w:tcPr>
            <w:tcW w:w="21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7"/>
              </w:rPr>
              <w:t>in the Balance Sheet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11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Recognized</w:t>
            </w:r>
          </w:p>
        </w:tc>
        <w:tc>
          <w:tcPr>
            <w:tcW w:w="60" w:type="dxa"/>
            <w:vAlign w:val="bottom"/>
          </w:tcPr>
          <w:p>
            <w:pPr>
              <w:spacing w:after="0"/>
              <w:rPr>
                <w:sz w:val="16"/>
                <w:szCs w:val="16"/>
                <w:color w:val="auto"/>
              </w:rPr>
            </w:pPr>
          </w:p>
        </w:tc>
        <w:tc>
          <w:tcPr>
            <w:tcW w:w="11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7"/>
              </w:rPr>
              <w:t>the Balance</w:t>
            </w:r>
          </w:p>
        </w:tc>
        <w:tc>
          <w:tcPr>
            <w:tcW w:w="100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6"/>
              </w:rPr>
              <w:t>Liability</w:t>
            </w: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89"/>
              </w:rPr>
              <w:t>Financial</w:t>
            </w:r>
          </w:p>
        </w:tc>
        <w:tc>
          <w:tcPr>
            <w:tcW w:w="900" w:type="dxa"/>
            <w:vAlign w:val="bottom"/>
            <w:tcBorders>
              <w:top w:val="single" w:sz="8" w:color="auto"/>
            </w:tcBorders>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95"/>
              </w:rPr>
              <w:t>Collateral</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Liabilities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Sheet</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Instruments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Pledged</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r>
      <w:tr>
        <w:trPr>
          <w:trHeight w:val="411"/>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25,376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25,376</w:t>
            </w: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(17,190)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6,696</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125,376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-736600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-454025</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-136525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540"/>
          </w:cols>
          <w:pgMar w:left="240" w:top="904" w:right="239" w:bottom="41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2018, United recognized the right to reclaim cash collateral of $18.5 million and the obligation to return cash collateral of $12.1 million. At December 31, 2017, United recognized the right to reclaim cash collateral of $17.2 million and the obligation to return cash collateral of $6.37 million. The right to reclaim cash collateral and the obligation to return cash collateral were included in the consolidated balance sheets in other assets and other liabilities, respectively.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1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8"/>
                <w:szCs w:val="18"/>
                <w:b w:val="1"/>
                <w:bCs w:val="1"/>
                <w:color w:val="auto"/>
                <w:w w:val="93"/>
              </w:rPr>
              <w:t>Remaining Contractual Maturity of the Agreements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w w:val="98"/>
              </w:rPr>
              <w:t>Overnight and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2018</w:t>
            </w:r>
          </w:p>
        </w:tc>
        <w:tc>
          <w:tcPr>
            <w:tcW w:w="12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w w:val="91"/>
              </w:rPr>
              <w:t>Continuous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Up to 30 Days</w:t>
            </w:r>
          </w:p>
        </w:tc>
        <w:tc>
          <w:tcPr>
            <w:tcW w:w="12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30 to 90 Days</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91 to 110 days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Mortgage-backed securities</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8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Gross amount of recognized liabilities for repurchase agreements in offsetting disclosure</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Amounts related to agreements not included in offsetting disclosure</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8"/>
                <w:szCs w:val="18"/>
                <w:b w:val="1"/>
                <w:bCs w:val="1"/>
                <w:color w:val="auto"/>
                <w:w w:val="93"/>
              </w:rPr>
              <w:t>Remaining Contractual Maturity of the Agreements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w w:val="98"/>
              </w:rPr>
              <w:t>Overnight and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w w:val="91"/>
              </w:rPr>
              <w:t>Continuous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Up to 30 Days</w:t>
            </w:r>
          </w:p>
        </w:tc>
        <w:tc>
          <w:tcPr>
            <w:tcW w:w="12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30 to 90 Days</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91 to 110 days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Mortgage-backed securities</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8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Gross amount of recognized liabilities for repurchase agreements in offsetting disclosure</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Amounts related to agreements not included in offsetting disclosure</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As of March 31, 2018</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and political subdivisions</w:t>
            </w:r>
          </w:p>
        </w:tc>
        <w:tc>
          <w:tcPr>
            <w:tcW w:w="16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67,743</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40" w:type="dxa"/>
            <w:vAlign w:val="bottom"/>
            <w:tcBorders>
              <w:bottom w:val="single" w:sz="8" w:color="CCEEFF"/>
            </w:tcBorders>
            <w:gridSpan w:val="3"/>
          </w:tcPr>
          <w:p>
            <w:pPr>
              <w:ind w:left="14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4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244,822</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240,264</w:t>
            </w:r>
          </w:p>
        </w:tc>
        <w:tc>
          <w:tcPr>
            <w:tcW w:w="120" w:type="dxa"/>
            <w:vAlign w:val="bottom"/>
            <w:tcBorders>
              <w:bottom w:val="single" w:sz="8" w:color="CCEEFF"/>
            </w:tcBorders>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312,080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6,563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308,007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84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2017</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State and political subdivisions</w:t>
            </w:r>
          </w:p>
        </w:tc>
        <w:tc>
          <w:tcPr>
            <w:tcW w:w="16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71,959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40" w:type="dxa"/>
            <w:vAlign w:val="bottom"/>
            <w:gridSpan w:val="3"/>
            <w:shd w:val="clear" w:color="auto" w:fill="CCEEFF"/>
          </w:tcPr>
          <w:p>
            <w:pPr>
              <w:ind w:left="14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4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249,135</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247,921</w:t>
            </w:r>
          </w:p>
        </w:tc>
        <w:tc>
          <w:tcPr>
            <w:tcW w:w="120" w:type="dxa"/>
            <w:vAlign w:val="bottom"/>
            <w:shd w:val="clear" w:color="auto" w:fill="CCEEFF"/>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321,094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321,276</w:t>
            </w:r>
          </w:p>
        </w:tc>
        <w:tc>
          <w:tcPr>
            <w:tcW w:w="12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w w:val="89"/>
              </w:rPr>
              <w:t>13</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cost basis, unrealized gains and losses, and fair value of securities available-for-sale as of the dates indicated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March 31, 2018</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Treasuries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U.S. Government agencies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and political subdivisions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4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1,693,380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34,125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1,662,976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Asset-backed securities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210,445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2,454,835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2,419,049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2017</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Treasuries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U.S. Government agencies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and political subdivisions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4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1,738,056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17,934</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1,727,211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Asset-backed securities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236,533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2,623,728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2,615,850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All are residential type mortgage-backed securities or U.S. government agency commercial mortgage backed securities.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Securities with a carrying value of $876 million and $1.04 billion were pledged to secure public deposits, derivatives and other secured borrowings at March 31, 2018 and December 31,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held-to-maturity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March 31, 2018</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37,160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110,751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62,629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173,380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2017</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95,353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65,868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161,221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0" w:type="dxa"/>
            <w:vAlign w:val="bottom"/>
            <w:gridSpan w:val="24"/>
          </w:tcPr>
          <w:p>
            <w:pPr>
              <w:spacing w:after="0"/>
              <w:rPr>
                <w:sz w:val="20"/>
                <w:szCs w:val="20"/>
                <w:color w:val="auto"/>
              </w:rPr>
            </w:pPr>
            <w:r>
              <w:rPr>
                <w:rFonts w:ascii="Arial" w:cs="Arial" w:eastAsia="Arial" w:hAnsi="Arial"/>
                <w:sz w:val="18"/>
                <w:szCs w:val="18"/>
                <w:color w:val="auto"/>
                <w:w w:val="98"/>
              </w:rPr>
              <w:t xml:space="preserve">The following table summarizes available-for-sale securities in an unrealized loss position as of the dates indicated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March 31, 2018</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21,535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160,191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1,065,689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312,916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1,378,605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68,962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74,015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1,871,913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2017</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964,205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328,923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1,293,128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28,695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33,726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there were 276 available-for-sale securities and 67 held-to-maturity securities that were in an unrealized loss position. United does not intend to sell nor believes it will be required to sell securities in an unrealized loss position prior to the recovery of their amortized cost basis. Unrealized losses at March 31, 2018 were primarily attributable to changes in interest rates.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months ended March 31, 2018 or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months ended March 31, 2018 and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3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113,961</w:t>
            </w:r>
          </w:p>
        </w:tc>
        <w:tc>
          <w:tcPr>
            <w:tcW w:w="1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gains on sales</w:t>
            </w:r>
          </w:p>
        </w:tc>
        <w:tc>
          <w:tcPr>
            <w:tcW w:w="3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losses on sales</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(1,357)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Net losses on sales of securities</w:t>
            </w:r>
          </w:p>
        </w:tc>
        <w:tc>
          <w:tcPr>
            <w:tcW w:w="3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60" w:type="dxa"/>
            <w:vAlign w:val="bottom"/>
            <w:vMerge w:val="restart"/>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tax benefit attributable to sales</w:t>
            </w:r>
          </w:p>
        </w:tc>
        <w:tc>
          <w:tcPr>
            <w:tcW w:w="3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80" w:type="dxa"/>
            <w:vAlign w:val="bottom"/>
            <w:vMerge w:val="restart"/>
          </w:tcPr>
          <w:p>
            <w:pPr>
              <w:jc w:val="right"/>
              <w:ind w:right="179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March 31, 2018,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Available-for-Sale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5"/>
          </w:tcPr>
          <w:p>
            <w:pPr>
              <w:ind w:left="76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74,495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72,916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122,156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119,586</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Within 1 year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127,528</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38,243</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181,136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180,705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199,412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198,550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156,317</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210,445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210,955</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securities other than mortgage-backed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142,964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141,370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1,693,380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1,662,976</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244,822</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2,454,835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312,080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1,897,826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1,677,300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1,595,174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690,530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711,936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1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422,532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Total commercial</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5,830,616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5,362,093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731,227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Consumer direct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143,737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315,848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loans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8,184,249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Loans, net</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8,123,164</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7,676,658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and December 31, 2017, loans totaling $3.84 billion and $3.73 billion, respectively, were pledged as collateral to secure Federal Home Loan Bank advances, securitized notes payable and other contingent funding 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March 31, 2018, the carrying value and outstanding balance of purchased credit impaired (“PCI”) loans accounted for under ASC 310-30, </w:t>
      </w:r>
      <w:r>
        <w:rPr>
          <w:rFonts w:ascii="Arial" w:cs="Arial" w:eastAsia="Arial" w:hAnsi="Arial"/>
          <w:sz w:val="18"/>
          <w:szCs w:val="18"/>
          <w:i w:val="1"/>
          <w:iCs w:val="1"/>
          <w:color w:val="auto"/>
        </w:rPr>
        <w:t>Loans and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Acquired with Deteriorated Credit Quality</w:t>
      </w:r>
      <w:r>
        <w:rPr>
          <w:rFonts w:ascii="Arial" w:cs="Arial" w:eastAsia="Arial" w:hAnsi="Arial"/>
          <w:sz w:val="18"/>
          <w:szCs w:val="18"/>
          <w:color w:val="auto"/>
        </w:rPr>
        <w:t>, were $101 million and $146 million, respectively. At December 31, 2017, the carrying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balance of PCI loans were $98.5 million and $142 million, respectively. The following table presents changes in the value of the accretable yield for PCI loans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Reclassification from nonaccretable difference</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Changes in expected cash flows that do not affect nonaccretable difference</w:t>
            </w: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accretable yield on PCI loans, the fair value adjustments on purchased loans outside the scope of ASC 310-30 are also accreted to interest revenue over the life of the loans. At March 31, 2018 and December 31, 2017, the remaining accretable fair value discount on loans acquired through a business combination and not accounted for under ASC 310-30 were $4.97 million and $14.7 million, respectively. In addition, indirect auto loans purchased at a premium outside of a business combination have a remaining premium of $6.55 million and $7.84 million, respectively, as of March 31, 2018 and December 31, 2017. During the three months ended March 31, 2018, United did not purchase any indirect auto loans. During the three months ended March 31, 2017, United purchased indirect auto loans of $39.8 million.</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 March 31, 2018, equipment financing assets included leases of $24.9 million. The components of the net investment in leases are presented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7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Minimum future lease payments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26,098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Estimated residual value of leased equipment</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3,480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Initial direct costs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Security deposits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premium</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Unearned income</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(4,949)</w:t>
            </w:r>
          </w:p>
        </w:tc>
      </w:tr>
      <w:tr>
        <w:trPr>
          <w:trHeight w:val="223"/>
        </w:trPr>
        <w:tc>
          <w:tcPr>
            <w:tcW w:w="7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Minimum future lease payments expected to be received from lease contracts as of March 31, 2018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4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4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2019</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8,337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2021</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2,656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Thereafter</w:t>
            </w:r>
          </w:p>
        </w:tc>
        <w:tc>
          <w:tcPr>
            <w:tcW w:w="4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500" w:type="dxa"/>
            <w:vAlign w:val="bottom"/>
            <w:vMerge w:val="restart"/>
          </w:tcPr>
          <w:p>
            <w:pPr>
              <w:jc w:val="right"/>
              <w:ind w:right="285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Beginning</w:t>
            </w:r>
          </w:p>
        </w:tc>
        <w:tc>
          <w:tcPr>
            <w:tcW w:w="2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Charge-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(Release)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Offs</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Recoveries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Provision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producing commercial real estate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10,523</w:t>
            </w: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10,097</w:t>
            </w: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direct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allowance for loan losses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Allowance for unfunded commitments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Charge-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(Release)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Offs</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Recoveries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Provision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16,446</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producing commercial real estate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Consumer direct</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 allowance for loan losses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unfunded commitments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19</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Allowance for Credit Losses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8"/>
          </w:tcPr>
          <w:p>
            <w:pPr>
              <w:jc w:val="right"/>
              <w:ind w:right="480"/>
              <w:spacing w:after="0" w:line="155" w:lineRule="exact"/>
              <w:rPr>
                <w:sz w:val="20"/>
                <w:szCs w:val="20"/>
                <w:color w:val="auto"/>
              </w:rPr>
            </w:pPr>
            <w:r>
              <w:rPr>
                <w:rFonts w:ascii="Arial" w:cs="Arial" w:eastAsia="Arial" w:hAnsi="Arial"/>
                <w:sz w:val="14"/>
                <w:szCs w:val="14"/>
                <w:b w:val="1"/>
                <w:bCs w:val="1"/>
                <w:color w:val="auto"/>
              </w:rPr>
              <w:t>March 31, 2018</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ind w:left="180"/>
              <w:spacing w:after="0" w:line="155" w:lineRule="exact"/>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Individually</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7"/>
              </w:rPr>
              <w:t>Collectively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Individually</w:t>
            </w: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Collectively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evaluated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evaluated</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PCI</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for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PCI</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impairment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impairment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1,686</w:t>
            </w:r>
          </w:p>
        </w:tc>
        <w:tc>
          <w:tcPr>
            <w:tcW w:w="2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12,875</w:t>
            </w: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14,561</w:t>
            </w:r>
          </w:p>
        </w:tc>
        <w:tc>
          <w:tcPr>
            <w:tcW w:w="2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13,521</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9,085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9,776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4,014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4,075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9,775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10,034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 financing</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2,291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2,291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Residential mortgage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9,070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10,221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1,174</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4,842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4,932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2,962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3,044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2,654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direct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Indirect auto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1,383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1,418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Total allowance for loan losses</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3,885</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57,021</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61,085</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55,645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58,914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Allowance for unfunded commitments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2,440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2,440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Borders>
              <w:top w:val="single" w:sz="8" w:color="CCEEFF"/>
              <w:bottom w:val="single" w:sz="8" w:color="CCEEFF"/>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allowance for credit losses</w:t>
            </w: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3,885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59,461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179</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63,525</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3,256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57,957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61,226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Loans Outstanding</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8"/>
          </w:tcPr>
          <w:p>
            <w:pPr>
              <w:jc w:val="right"/>
              <w:ind w:right="620"/>
              <w:spacing w:after="0" w:line="155" w:lineRule="exact"/>
              <w:rPr>
                <w:sz w:val="20"/>
                <w:szCs w:val="20"/>
                <w:color w:val="auto"/>
              </w:rPr>
            </w:pPr>
            <w:r>
              <w:rPr>
                <w:rFonts w:ascii="Arial" w:cs="Arial" w:eastAsia="Arial" w:hAnsi="Arial"/>
                <w:sz w:val="14"/>
                <w:szCs w:val="14"/>
                <w:b w:val="1"/>
                <w:bCs w:val="1"/>
                <w:color w:val="auto"/>
              </w:rPr>
              <w:t>March 31, 2018</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ind w:left="100"/>
              <w:spacing w:after="0" w:line="155" w:lineRule="exact"/>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Individually</w:t>
            </w:r>
          </w:p>
        </w:tc>
        <w:tc>
          <w:tcPr>
            <w:tcW w:w="40" w:type="dxa"/>
            <w:vAlign w:val="bottom"/>
          </w:tcPr>
          <w:p>
            <w:pPr>
              <w:spacing w:after="0"/>
              <w:rPr>
                <w:sz w:val="14"/>
                <w:szCs w:val="14"/>
                <w:color w:val="auto"/>
              </w:rPr>
            </w:pPr>
          </w:p>
        </w:tc>
        <w:tc>
          <w:tcPr>
            <w:tcW w:w="102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w w:val="95"/>
              </w:rPr>
              <w:t>Collectively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line="170" w:lineRule="exact"/>
              <w:rPr>
                <w:sz w:val="20"/>
                <w:szCs w:val="20"/>
                <w:color w:val="auto"/>
              </w:rPr>
            </w:pPr>
            <w:r>
              <w:rPr>
                <w:rFonts w:ascii="Arial" w:cs="Arial" w:eastAsia="Arial" w:hAnsi="Arial"/>
                <w:sz w:val="18"/>
                <w:szCs w:val="18"/>
                <w:b w:val="1"/>
                <w:bCs w:val="1"/>
                <w:color w:val="auto"/>
              </w:rPr>
              <w:t>Individually</w:t>
            </w: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Collectively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4"/>
          </w:tcPr>
          <w:p>
            <w:pPr>
              <w:jc w:val="right"/>
              <w:ind w:right="260"/>
              <w:spacing w:after="0" w:line="99" w:lineRule="exact"/>
              <w:rPr>
                <w:sz w:val="20"/>
                <w:szCs w:val="20"/>
                <w:color w:val="auto"/>
              </w:rPr>
            </w:pPr>
            <w:r>
              <w:rPr>
                <w:rFonts w:ascii="Arial" w:cs="Arial" w:eastAsia="Arial" w:hAnsi="Arial"/>
                <w:sz w:val="11"/>
                <w:szCs w:val="11"/>
                <w:b w:val="1"/>
                <w:bCs w:val="1"/>
                <w:color w:val="auto"/>
              </w:rPr>
              <w:t>evaluated</w:t>
            </w:r>
          </w:p>
        </w:tc>
        <w:tc>
          <w:tcPr>
            <w:tcW w:w="40" w:type="dxa"/>
            <w:vAlign w:val="bottom"/>
          </w:tcPr>
          <w:p>
            <w:pPr>
              <w:spacing w:after="0"/>
              <w:rPr>
                <w:sz w:val="8"/>
                <w:szCs w:val="8"/>
                <w:color w:val="auto"/>
              </w:rPr>
            </w:pPr>
          </w:p>
        </w:tc>
        <w:tc>
          <w:tcPr>
            <w:tcW w:w="102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8"/>
                <w:szCs w:val="8"/>
                <w:color w:val="auto"/>
              </w:rPr>
            </w:pPr>
          </w:p>
        </w:tc>
        <w:tc>
          <w:tcPr>
            <w:tcW w:w="1180" w:type="dxa"/>
            <w:vAlign w:val="bottom"/>
            <w:gridSpan w:val="4"/>
            <w:vMerge w:val="restart"/>
          </w:tcPr>
          <w:p>
            <w:pPr>
              <w:jc w:val="right"/>
              <w:ind w:right="320"/>
              <w:spacing w:after="0"/>
              <w:rPr>
                <w:sz w:val="20"/>
                <w:szCs w:val="20"/>
                <w:color w:val="auto"/>
              </w:rPr>
            </w:pPr>
            <w:r>
              <w:rPr>
                <w:rFonts w:ascii="Arial" w:cs="Arial" w:eastAsia="Arial" w:hAnsi="Arial"/>
                <w:sz w:val="18"/>
                <w:szCs w:val="18"/>
                <w:b w:val="1"/>
                <w:bCs w:val="1"/>
                <w:color w:val="auto"/>
              </w:rPr>
              <w:t>evaluated</w:t>
            </w:r>
          </w:p>
        </w:tc>
        <w:tc>
          <w:tcPr>
            <w:tcW w:w="9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for</w:t>
            </w:r>
          </w:p>
        </w:tc>
        <w:tc>
          <w:tcPr>
            <w:tcW w:w="106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evaluated for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PCI</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PCI</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5"/>
          </w:tcPr>
          <w:p>
            <w:pPr>
              <w:ind w:left="40"/>
              <w:spacing w:after="0"/>
              <w:rPr>
                <w:sz w:val="20"/>
                <w:szCs w:val="20"/>
                <w:color w:val="auto"/>
              </w:rPr>
            </w:pPr>
            <w:r>
              <w:rPr>
                <w:rFonts w:ascii="Arial" w:cs="Arial" w:eastAsia="Arial" w:hAnsi="Arial"/>
                <w:sz w:val="14"/>
                <w:szCs w:val="14"/>
                <w:b w:val="1"/>
                <w:bCs w:val="1"/>
                <w:color w:val="auto"/>
              </w:rPr>
              <w:t>impairment</w:t>
            </w:r>
          </w:p>
        </w:tc>
        <w:tc>
          <w:tcPr>
            <w:tcW w:w="40" w:type="dxa"/>
            <w:vAlign w:val="bottom"/>
          </w:tcPr>
          <w:p>
            <w:pPr>
              <w:spacing w:after="0"/>
              <w:rPr>
                <w:sz w:val="14"/>
                <w:szCs w:val="14"/>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impairment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for impairment</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24,051</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1,853,032</w:t>
            </w:r>
          </w:p>
        </w:tc>
        <w:tc>
          <w:tcPr>
            <w:tcW w:w="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20,743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1,897,826</w:t>
            </w:r>
          </w:p>
        </w:tc>
        <w:tc>
          <w:tcPr>
            <w:tcW w:w="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21,823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1,876,411</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25,759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1,923,993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1,621,347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39,633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1,677,300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16,483</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1,533,851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44,840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1,595,174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1,139,101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1,142,428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1,126,894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676,727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9,893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690,530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3,813</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699,266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711,936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 financing</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408,935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13,597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422,532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Residential mortgage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964,665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992,111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14,193</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946,210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973,544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709,853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2,081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712,275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728,235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731,227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187,642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189,662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1,577</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180,978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direct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142,090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1,379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143,737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127,504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Indirect auto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314,493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315,848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1,396</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356,789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358,185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Borders>
              <w:top w:val="single" w:sz="8" w:color="CCEEFF"/>
              <w:bottom w:val="single" w:sz="8" w:color="CCEEFF"/>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65,273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8,017,885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101,091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8,184,249</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62,310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7,574,748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98,514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7,735,572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Impaired Loans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considers all non-PCI relationships that are on nonaccrual with a balance of $500,000 or greater and all troubled debt restructurings (“TDRs”) to be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in the loan portfolio based on the weighted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a loan officer determines that a loan is uncollectible, he or she is responsible for recommending that the loan be placed on nonaccrual status, evaluating the loan for impairment, and, if necessary,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Chief Credit Officer, Senior Risk Officers and Senior Credit Officers.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March 31, 2018</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b w:val="1"/>
                <w:bCs w:val="1"/>
                <w:color w:val="auto"/>
                <w:w w:val="92"/>
              </w:rPr>
              <w:t>December 31, 2017</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Allowance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Allowance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Unpaid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Loan</w:t>
            </w:r>
          </w:p>
        </w:tc>
        <w:tc>
          <w:tcPr>
            <w:tcW w:w="1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Unpaid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920" w:type="dxa"/>
            <w:vAlign w:val="bottom"/>
            <w:gridSpan w:val="3"/>
          </w:tcPr>
          <w:p>
            <w:pPr>
              <w:ind w:left="1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Allocated</w:t>
            </w:r>
          </w:p>
        </w:tc>
        <w:tc>
          <w:tcPr>
            <w:tcW w:w="1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rPr>
              <w:t>Allocated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Equipment financing</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3,404</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direct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with no related allowance recorded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18,171</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21,262</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Equipment financing</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11,961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direct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with an allowance recorded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and December 31, 2017, $3.89 million and $3.26 million, respectively, of specific reserves were allocated to customers whose loan terms have been modified in TDRs. United committed to lend additional amounts totaling up to $82,000 and $75,000 as of March 31, 2018 and December 31, 2017, respectively, to customers with outstanding loans that are classified as TDRs.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99"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months ended March 31, 2018 and 2017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5"/>
              </w:rPr>
              <w:t>New TDRs</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5"/>
          </w:tcPr>
          <w:p>
            <w:pPr>
              <w:jc w:val="center"/>
              <w:ind w:right="108"/>
              <w:spacing w:after="0" w:line="119" w:lineRule="exact"/>
              <w:rPr>
                <w:sz w:val="20"/>
                <w:szCs w:val="20"/>
                <w:color w:val="auto"/>
              </w:rPr>
            </w:pPr>
            <w:r>
              <w:rPr>
                <w:rFonts w:ascii="Arial" w:cs="Arial" w:eastAsia="Arial" w:hAnsi="Arial"/>
                <w:sz w:val="13"/>
                <w:szCs w:val="13"/>
                <w:b w:val="1"/>
                <w:bCs w:val="1"/>
                <w:color w:val="auto"/>
              </w:rPr>
              <w:t>TDRs Modified Within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the Previous 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Pre-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Post-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Subsequently Defaulted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gridSpan w:val="10"/>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Modification Outstanding Recorded Investment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during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7"/>
              </w:rPr>
              <w:t>by Type of Modification</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Ended March 31,</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Rate</w:t>
            </w:r>
          </w:p>
        </w:tc>
        <w:tc>
          <w:tcPr>
            <w:tcW w:w="1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Structure</w:t>
            </w: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Recorded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w:t>
            </w:r>
          </w:p>
        </w:tc>
        <w:tc>
          <w:tcPr>
            <w:tcW w:w="124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994</w:t>
            </w:r>
          </w:p>
        </w:tc>
        <w:tc>
          <w:tcPr>
            <w:tcW w:w="260" w:type="dxa"/>
            <w:vAlign w:val="bottom"/>
            <w:gridSpan w:val="2"/>
            <w:shd w:val="clear" w:color="auto" w:fill="CCEEFF"/>
          </w:tcPr>
          <w:p>
            <w:pPr>
              <w:jc w:val="right"/>
              <w:ind w:right="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978</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ind w:left="160"/>
              <w:spacing w:after="0" w:line="142" w:lineRule="exact"/>
              <w:rPr>
                <w:sz w:val="20"/>
                <w:szCs w:val="20"/>
                <w:color w:val="auto"/>
              </w:rPr>
            </w:pPr>
            <w:r>
              <w:rPr>
                <w:rFonts w:ascii="Arial" w:cs="Arial" w:eastAsia="Arial" w:hAnsi="Arial"/>
                <w:sz w:val="14"/>
                <w:szCs w:val="14"/>
                <w:color w:val="auto"/>
              </w:rPr>
              <w:t>Total commercial</w:t>
            </w: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983</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340</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Consumer direct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Indirect auto</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color w:val="auto"/>
              </w:rPr>
              <w:t>Total loans</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1,323</w:t>
            </w:r>
          </w:p>
        </w:tc>
        <w:tc>
          <w:tcPr>
            <w:tcW w:w="2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1,323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 -</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25</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ind w:left="160"/>
              <w:spacing w:after="0" w:line="142" w:lineRule="exact"/>
              <w:rPr>
                <w:sz w:val="20"/>
                <w:szCs w:val="20"/>
                <w:color w:val="auto"/>
              </w:rPr>
            </w:pPr>
            <w:r>
              <w:rPr>
                <w:rFonts w:ascii="Arial" w:cs="Arial" w:eastAsia="Arial" w:hAnsi="Arial"/>
                <w:sz w:val="14"/>
                <w:szCs w:val="14"/>
                <w:color w:val="auto"/>
              </w:rPr>
              <w:t>Total commercial</w:t>
            </w: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353</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Consumer direct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Indirect auto</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ind w:left="160"/>
              <w:spacing w:after="0" w:line="142"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384</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TDRs that subsequently default and are placed on nonaccrual are charged down to the fair value of the collateral consistent with United’s policy for nonaccrual loans.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Cash Basis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2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6"/>
              </w:rPr>
              <w:t>Cash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Recognized</w:t>
            </w:r>
          </w:p>
        </w:tc>
        <w:tc>
          <w:tcPr>
            <w:tcW w:w="8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During</w:t>
            </w:r>
          </w:p>
        </w:tc>
        <w:tc>
          <w:tcPr>
            <w:tcW w:w="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w:t>
            </w:r>
          </w:p>
        </w:tc>
        <w:tc>
          <w:tcPr>
            <w:tcW w:w="1240" w:type="dxa"/>
            <w:vAlign w:val="bottom"/>
            <w:gridSpan w:val="4"/>
          </w:tcPr>
          <w:p>
            <w:pPr>
              <w:ind w:left="120"/>
              <w:spacing w:after="0"/>
              <w:rPr>
                <w:sz w:val="20"/>
                <w:szCs w:val="20"/>
                <w:color w:val="auto"/>
              </w:rPr>
            </w:pPr>
            <w:r>
              <w:rPr>
                <w:rFonts w:ascii="Arial" w:cs="Arial" w:eastAsia="Arial" w:hAnsi="Arial"/>
                <w:sz w:val="18"/>
                <w:szCs w:val="18"/>
                <w:b w:val="1"/>
                <w:bCs w:val="1"/>
                <w:color w:val="auto"/>
              </w:rPr>
              <w:t>Impairment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Received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Consumer direct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March 31, 2018 or December 31, 2017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$342,000 and $277,000 for the three months ended March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recorded investment in nonaccrual loans by loan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March 31,</w:t>
            </w: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w w:val="93"/>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3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 commercial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10,986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Consumer direct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3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w:t>
            </w:r>
          </w:p>
        </w:tc>
        <w:tc>
          <w:tcPr>
            <w:tcW w:w="3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140" w:type="dxa"/>
            <w:vAlign w:val="bottom"/>
            <w:vMerge w:val="restart"/>
          </w:tcPr>
          <w:p>
            <w:pPr>
              <w:jc w:val="right"/>
              <w:ind w:right="21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Excluding PCI loans, substantially all loans more than 90 days past due were on nonaccrual status at March 31, 2018 and December 31, 2017. The following table presents the aging of the recorded investment in past due loans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w w:val="99"/>
              </w:rPr>
              <w:t>Loans Past Due</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Loans Not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As of March 31, 2018</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30 - 59 Days</w:t>
            </w:r>
          </w:p>
        </w:tc>
        <w:tc>
          <w:tcPr>
            <w:tcW w:w="12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60 - 89 Days</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&gt; 90 Days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Past Due</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PCI Loans</w:t>
            </w:r>
          </w:p>
        </w:tc>
        <w:tc>
          <w:tcPr>
            <w:tcW w:w="100" w:type="dxa"/>
            <w:vAlign w:val="bottom"/>
          </w:tcPr>
          <w:p>
            <w:pPr>
              <w:spacing w:after="0"/>
              <w:rPr>
                <w:sz w:val="19"/>
                <w:szCs w:val="19"/>
                <w:color w:val="auto"/>
              </w:rPr>
            </w:pPr>
          </w:p>
        </w:tc>
        <w:tc>
          <w:tcPr>
            <w:tcW w:w="10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$ 1,869,239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$ 1,897,826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4,115</w:t>
            </w:r>
          </w:p>
        </w:tc>
        <w:tc>
          <w:tcPr>
            <w:tcW w:w="920" w:type="dxa"/>
            <w:vAlign w:val="bottom"/>
          </w:tcPr>
          <w:p>
            <w:pPr>
              <w:jc w:val="right"/>
              <w:spacing w:after="0"/>
              <w:rPr>
                <w:sz w:val="20"/>
                <w:szCs w:val="20"/>
                <w:color w:val="auto"/>
              </w:rPr>
            </w:pPr>
            <w:r>
              <w:rPr>
                <w:rFonts w:ascii="Arial" w:cs="Arial" w:eastAsia="Arial" w:hAnsi="Arial"/>
                <w:sz w:val="18"/>
                <w:szCs w:val="18"/>
                <w:color w:val="auto"/>
              </w:rPr>
              <w:t>1,633,552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39,633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1,677,300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1,139,119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1,142,428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1,220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679,417</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9,893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690,530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407,111</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422,532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ind w:left="32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17,521</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5,728,438</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5,830,616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969,848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12,525</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706,794</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712,275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187,861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Consumer direct</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141,457</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143,737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314,141</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315,848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ind w:left="32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34,619</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8,048,539</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8,184,249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w w:val="99"/>
              </w:rPr>
              <w:t>Loans Past Due</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Loans Not</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2017</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30 - 59 Days</w:t>
            </w:r>
          </w:p>
        </w:tc>
        <w:tc>
          <w:tcPr>
            <w:tcW w:w="12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60 - 89 Days</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&gt; 90 Days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Past Due</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PCI Loans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1,891,118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1,923,993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1,546,288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44,840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1,595,174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1,125,407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1,130,990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702,221</w:t>
            </w:r>
          </w:p>
        </w:tc>
        <w:tc>
          <w:tcPr>
            <w:tcW w:w="2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711,936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5,265,034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5,362,093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6,717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1,735</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948,513</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724,287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181,472</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direct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125,512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355,311</w:t>
            </w:r>
          </w:p>
        </w:tc>
        <w:tc>
          <w:tcPr>
            <w:tcW w:w="2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358,185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7,600,129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7,735,572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356"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Doubtful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Pass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Watch</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March 31, 2018</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1,807,564</w:t>
            </w:r>
          </w:p>
        </w:tc>
        <w:tc>
          <w:tcPr>
            <w:tcW w:w="10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31,628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37,891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1,596,626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Equipment financing</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408,935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5,574,701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959,613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direct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loans, excluding PCI loans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7,878,802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20,265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27,227</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Consumer direct</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PCI loans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27,815</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101,091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1,833,469</w:t>
            </w:r>
          </w:p>
        </w:tc>
        <w:tc>
          <w:tcPr>
            <w:tcW w:w="10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33,571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31,194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1,495,805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30,780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18,052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1,129,548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85,350</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Consumer direct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358,185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loans, excluding PCI loans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7,443,117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85,350</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7,637,058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8,163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15,196</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32,991</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Consumer direct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Total PCI loans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25</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Amounts Reclassified from</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Accumulated Other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Comprehensive Income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Details about Accumulated Other</w:t>
            </w:r>
          </w:p>
        </w:tc>
        <w:tc>
          <w:tcPr>
            <w:tcW w:w="200" w:type="dxa"/>
            <w:vAlign w:val="bottom"/>
          </w:tcPr>
          <w:p>
            <w:pPr>
              <w:spacing w:after="0"/>
              <w:rPr>
                <w:sz w:val="18"/>
                <w:szCs w:val="18"/>
                <w:color w:val="auto"/>
              </w:rPr>
            </w:pPr>
          </w:p>
        </w:tc>
        <w:tc>
          <w:tcPr>
            <w:tcW w:w="27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For the three months</w:t>
            </w:r>
          </w:p>
        </w:tc>
        <w:tc>
          <w:tcPr>
            <w:tcW w:w="410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Affected Line Item in the Statement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ended March 31,</w:t>
            </w:r>
          </w:p>
        </w:tc>
        <w:tc>
          <w:tcPr>
            <w:tcW w:w="4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680"/>
              <w:spacing w:after="0"/>
              <w:rPr>
                <w:sz w:val="20"/>
                <w:szCs w:val="20"/>
                <w:color w:val="auto"/>
              </w:rPr>
            </w:pPr>
            <w:r>
              <w:rPr>
                <w:rFonts w:ascii="Arial" w:cs="Arial" w:eastAsia="Arial" w:hAnsi="Arial"/>
                <w:sz w:val="18"/>
                <w:szCs w:val="18"/>
                <w:b w:val="1"/>
                <w:bCs w:val="1"/>
                <w:color w:val="auto"/>
              </w:rPr>
              <w:t>Comprehensive Income Components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100" w:type="dxa"/>
            <w:vAlign w:val="bottom"/>
          </w:tcPr>
          <w:p>
            <w:pPr>
              <w:ind w:left="840"/>
              <w:spacing w:after="0"/>
              <w:rPr>
                <w:sz w:val="20"/>
                <w:szCs w:val="20"/>
                <w:color w:val="auto"/>
              </w:rPr>
            </w:pPr>
            <w:r>
              <w:rPr>
                <w:rFonts w:ascii="Arial" w:cs="Arial" w:eastAsia="Arial" w:hAnsi="Arial"/>
                <w:sz w:val="18"/>
                <w:szCs w:val="18"/>
                <w:b w:val="1"/>
                <w:bCs w:val="1"/>
                <w:color w:val="auto"/>
              </w:rPr>
              <w:t>Where Net Income is Presented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losses on available-for-sale securities: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(940)</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100" w:type="dxa"/>
            <w:vAlign w:val="bottom"/>
          </w:tcPr>
          <w:p>
            <w:pPr>
              <w:spacing w:after="0"/>
              <w:rPr>
                <w:sz w:val="20"/>
                <w:szCs w:val="20"/>
                <w:color w:val="auto"/>
              </w:rPr>
            </w:pPr>
            <w:r>
              <w:rPr>
                <w:rFonts w:ascii="Arial" w:cs="Arial" w:eastAsia="Arial" w:hAnsi="Arial"/>
                <w:sz w:val="18"/>
                <w:szCs w:val="18"/>
                <w:color w:val="auto"/>
              </w:rPr>
              <w:t>Securities losses,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0"/>
          </w:tcPr>
          <w:p>
            <w:pPr>
              <w:spacing w:after="0"/>
              <w:rPr>
                <w:sz w:val="20"/>
                <w:szCs w:val="20"/>
                <w:color w:val="auto"/>
              </w:rPr>
            </w:pPr>
            <w:r>
              <w:rPr>
                <w:rFonts w:ascii="Arial" w:cs="Arial" w:eastAsia="Arial" w:hAnsi="Arial"/>
                <w:sz w:val="18"/>
                <w:szCs w:val="18"/>
                <w:color w:val="auto"/>
              </w:rPr>
              <w:t>Amortization of losses included in net income on available-for-sale securities transferred to held to maturity: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interest revenue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4100" w:type="dxa"/>
            <w:vAlign w:val="bottom"/>
          </w:tcPr>
          <w:p>
            <w:pPr>
              <w:spacing w:after="0"/>
              <w:rPr>
                <w:sz w:val="20"/>
                <w:szCs w:val="20"/>
                <w:color w:val="auto"/>
              </w:rPr>
            </w:pPr>
            <w:r>
              <w:rPr>
                <w:rFonts w:ascii="Arial" w:cs="Arial" w:eastAsia="Arial" w:hAnsi="Arial"/>
                <w:sz w:val="18"/>
                <w:szCs w:val="18"/>
                <w:color w:val="auto"/>
              </w:rPr>
              <w:t>Income tax benefit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Amortization of losses included in net income on derivative financial instruments accounted for as cash flow hedges: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Amortization of losses on de-designated positions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4100" w:type="dxa"/>
            <w:vAlign w:val="bottom"/>
          </w:tcPr>
          <w:p>
            <w:pPr>
              <w:spacing w:after="0"/>
              <w:rPr>
                <w:sz w:val="20"/>
                <w:szCs w:val="20"/>
                <w:color w:val="auto"/>
              </w:rPr>
            </w:pPr>
            <w:r>
              <w:rPr>
                <w:rFonts w:ascii="Arial" w:cs="Arial" w:eastAsia="Arial" w:hAnsi="Arial"/>
                <w:sz w:val="18"/>
                <w:szCs w:val="18"/>
                <w:color w:val="auto"/>
              </w:rPr>
              <w:t>Money market deposit interest 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losses on de-designated positions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Federal Home Loan Bank advances interest 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7"/>
          </w:tcPr>
          <w:p>
            <w:pPr>
              <w:spacing w:after="0"/>
              <w:rPr>
                <w:sz w:val="20"/>
                <w:szCs w:val="20"/>
                <w:color w:val="auto"/>
              </w:rPr>
            </w:pPr>
            <w:r>
              <w:rPr>
                <w:rFonts w:ascii="Arial" w:cs="Arial" w:eastAsia="Arial" w:hAnsi="Arial"/>
                <w:sz w:val="18"/>
                <w:szCs w:val="18"/>
                <w:color w:val="auto"/>
                <w:w w:val="91"/>
              </w:rPr>
              <w:t>Reclassification of disproportionate tax effect related to terminated cash flow hedges: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4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4100" w:type="dxa"/>
            <w:vAlign w:val="bottom"/>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Actuarial losses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Total reclassifications for the period</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1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37,658</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Dividends and undistributed earnings allocated to unvested shares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Stock options</w:t>
            </w: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71,708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United had the following potentially dilutive stock options and warrants outstanding: a warrant to purchase 219,909 shares of common stock at $61.40 per share; 32,464 shares of common stock issuable upon exercise of stock options granted to employees with a weighted average exercise price of $31.50.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2017, United had the following potentially dilutive stock options and warrants outstanding: a warrant to purchase 219,909 shares of common stock at $61.40 per share; 64,942 shares of common stock issuable upon exercise of stock options granted to employees with a weighted average exercise price of $28.34; and 575,835 shares of common stock issuable upon the vesting of restricted stock unit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ind w:left="760"/>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040" w:type="dxa"/>
            <w:vAlign w:val="bottom"/>
            <w:gridSpan w:val="2"/>
          </w:tcPr>
          <w:p>
            <w:pPr>
              <w:ind w:left="1600"/>
              <w:spacing w:after="0"/>
              <w:rPr>
                <w:sz w:val="20"/>
                <w:szCs w:val="20"/>
                <w:color w:val="auto"/>
              </w:rPr>
            </w:pPr>
            <w:r>
              <w:rPr>
                <w:rFonts w:ascii="Arial" w:cs="Arial" w:eastAsia="Arial" w:hAnsi="Arial"/>
                <w:sz w:val="18"/>
                <w:szCs w:val="18"/>
                <w:b w:val="1"/>
                <w:bCs w:val="1"/>
                <w:color w:val="auto"/>
              </w:rPr>
              <w:t>Interest Rate Products</w:t>
            </w:r>
          </w:p>
        </w:tc>
        <w:tc>
          <w:tcPr>
            <w:tcW w:w="264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hedge of corporate bonds</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Fair value hedge of brokered CD's</w:t>
            </w:r>
          </w:p>
        </w:tc>
        <w:tc>
          <w:tcPr>
            <w:tcW w:w="26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ind w:left="320"/>
              <w:spacing w:after="0"/>
              <w:rPr>
                <w:sz w:val="20"/>
                <w:szCs w:val="20"/>
                <w:color w:val="auto"/>
              </w:rPr>
            </w:pPr>
            <w:r>
              <w:rPr>
                <w:rFonts w:ascii="Arial" w:cs="Arial" w:eastAsia="Arial" w:hAnsi="Arial"/>
                <w:sz w:val="18"/>
                <w:szCs w:val="18"/>
                <w:b w:val="1"/>
                <w:bCs w:val="1"/>
                <w:i w:val="1"/>
                <w:iCs w:val="1"/>
                <w:color w:val="auto"/>
              </w:rPr>
              <w:t>Derivatives not designated as hedging instruments under ASC 815</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6"/>
          </w:tcPr>
          <w:p>
            <w:pPr>
              <w:ind w:left="9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1600"/>
              <w:spacing w:after="0"/>
              <w:rPr>
                <w:sz w:val="20"/>
                <w:szCs w:val="20"/>
                <w:color w:val="auto"/>
              </w:rPr>
            </w:pPr>
            <w:r>
              <w:rPr>
                <w:rFonts w:ascii="Arial" w:cs="Arial" w:eastAsia="Arial" w:hAnsi="Arial"/>
                <w:sz w:val="18"/>
                <w:szCs w:val="18"/>
                <w:b w:val="1"/>
                <w:bCs w:val="1"/>
                <w:color w:val="auto"/>
              </w:rPr>
              <w:t>Interest Rate Products</w:t>
            </w:r>
          </w:p>
        </w:tc>
        <w:tc>
          <w:tcPr>
            <w:tcW w:w="264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derivative positions</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Dealer offsets to customer derivative positions</w:t>
            </w:r>
          </w:p>
        </w:tc>
        <w:tc>
          <w:tcPr>
            <w:tcW w:w="264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banking - loan commitment</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Mortgage banking - forward sales commitment</w:t>
            </w:r>
          </w:p>
        </w:tc>
        <w:tc>
          <w:tcPr>
            <w:tcW w:w="264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Bifurcated embedded derivatives</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264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derivative positions</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Dealer offsets to customer derivative positions</w:t>
            </w:r>
          </w:p>
        </w:tc>
        <w:tc>
          <w:tcPr>
            <w:tcW w:w="26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participations</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Mortgage banking - forward sales commitment</w:t>
            </w:r>
          </w:p>
        </w:tc>
        <w:tc>
          <w:tcPr>
            <w:tcW w:w="26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Dealer offsets to bifurcated embedded derivatives</w:t>
            </w: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14,279</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De-designated hedges</w:t>
            </w:r>
          </w:p>
        </w:tc>
        <w:tc>
          <w:tcPr>
            <w:tcW w:w="26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London Interbank Offered Rate (“LIBOR”) and therefore provide an economic hedge.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Most of this hedging activity is executed on a matched basis, with a loan sale commitment hedging a specific loan.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 of income.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2018 and December 31, 2017 United did not have any active cash flow hedges. Changes in balance sheet composition and interest rate risk position made cash flow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 United expects that $454,000 will be reclassified as an increase to interest expense over the next twelve months related to these cash flow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presents the effect of cash flow hedges on the consolidated statements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p>
      <w:pPr>
        <w:jc w:val="center"/>
        <w:ind w:left="5120"/>
        <w:spacing w:after="0"/>
        <w:rPr>
          <w:sz w:val="20"/>
          <w:szCs w:val="20"/>
          <w:color w:val="auto"/>
        </w:rPr>
      </w:pPr>
      <w:r>
        <w:rPr>
          <w:rFonts w:ascii="Arial" w:cs="Arial" w:eastAsia="Arial" w:hAnsi="Arial"/>
          <w:sz w:val="18"/>
          <w:szCs w:val="18"/>
          <w:b w:val="1"/>
          <w:bCs w:val="1"/>
          <w:color w:val="auto"/>
        </w:rPr>
        <w:t>Gain (Loss) Reclassified from</w:t>
      </w:r>
    </w:p>
    <w:p>
      <w:pPr>
        <w:spacing w:after="0" w:line="27" w:lineRule="exact"/>
        <w:rPr>
          <w:sz w:val="20"/>
          <w:szCs w:val="20"/>
          <w:color w:val="auto"/>
        </w:rPr>
      </w:pPr>
    </w:p>
    <w:p>
      <w:pPr>
        <w:jc w:val="center"/>
        <w:ind w:left="5120"/>
        <w:spacing w:after="0"/>
        <w:rPr>
          <w:sz w:val="20"/>
          <w:szCs w:val="20"/>
          <w:color w:val="auto"/>
        </w:rPr>
      </w:pPr>
      <w:r>
        <w:rPr>
          <w:rFonts w:ascii="Arial" w:cs="Arial" w:eastAsia="Arial" w:hAnsi="Arial"/>
          <w:sz w:val="18"/>
          <w:szCs w:val="18"/>
          <w:b w:val="1"/>
          <w:bCs w:val="1"/>
          <w:color w:val="auto"/>
        </w:rPr>
        <w:t>Accumulated Other Comprehensive</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b w:val="1"/>
          <w:bCs w:val="1"/>
          <w:color w:val="auto"/>
        </w:rPr>
        <w:t>Income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5715</wp:posOffset>
            </wp:positionV>
            <wp:extent cx="2546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560"/>
        <w:spacing w:after="0"/>
        <w:tabs>
          <w:tab w:leader="none" w:pos="8040" w:val="left"/>
          <w:tab w:leader="none" w:pos="94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17145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9" w:lineRule="exact"/>
        <w:rPr>
          <w:sz w:val="20"/>
          <w:szCs w:val="20"/>
          <w:color w:val="auto"/>
        </w:rPr>
      </w:pPr>
    </w:p>
    <w:p>
      <w:pPr>
        <w:ind w:left="1140"/>
        <w:spacing w:after="0"/>
        <w:tabs>
          <w:tab w:leader="none" w:pos="6240" w:val="left"/>
          <w:tab w:leader="none" w:pos="7620" w:val="left"/>
          <w:tab w:leader="none" w:pos="8500" w:val="left"/>
          <w:tab w:leader="none" w:pos="984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Interest expense</w:t>
        <w:tab/>
        <w:t>$</w:t>
      </w:r>
      <w:r>
        <w:rPr>
          <w:sz w:val="20"/>
          <w:szCs w:val="20"/>
          <w:color w:val="auto"/>
        </w:rPr>
        <w:tab/>
      </w:r>
      <w:r>
        <w:rPr>
          <w:rFonts w:ascii="Arial" w:cs="Arial" w:eastAsia="Arial" w:hAnsi="Arial"/>
          <w:sz w:val="18"/>
          <w:szCs w:val="18"/>
          <w:color w:val="auto"/>
        </w:rPr>
        <w:t>(147) $</w:t>
      </w:r>
      <w:r>
        <w:rPr>
          <w:sz w:val="20"/>
          <w:szCs w:val="20"/>
          <w:color w:val="auto"/>
        </w:rPr>
        <w:tab/>
      </w:r>
      <w:r>
        <w:rPr>
          <w:rFonts w:ascii="Arial" w:cs="Arial" w:eastAsia="Arial" w:hAnsi="Arial"/>
          <w:sz w:val="17"/>
          <w:szCs w:val="17"/>
          <w:color w:val="auto"/>
        </w:rPr>
        <w:t>(413)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18034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March 31, 2018, United had four interest rate swaps with a notional amount of $40.7 million that were designated as fair value hedges of interest rate risk and were pay-variable / receive-fixed swaps hedging the changes in the fair value of fixed-rate brokered time deposits resulting from changes in interest rates. At December 31, 2017, United had four interest rate swaps with an aggregate notional amount of $40.7 million that were designated as fair value hedges of interest rate risk and was pay-variable / receive-fixed, hedging the changes in the fair value of fixed-rate brokered time deposits resulting from changes in interest rates. Also at December 31, 2017, United had one interest rate swap with a notional value of $30 million that was designated as a pay-fixed / receive-variable fair value hedge of changes in the fair value of a fixed-rate corporate bond.</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months ended March 31, 2018 and 2017, United recognized net losses of $79,000 and net losses of $125,000, respectively, related to ineffectiveness in the fair value hedging relationships. United also recognized a net increase in interest expense of $14,000 and a net reduction in interest expense of $32,000, respectively, for the three months ended March 31, 2018 and 2017 related to fair value hedges of brokered time deposits, which includes net settlements on the derivatives. United recognized an increase in interest revenue on securities of $17,000 and a reduction of interest revenue on securities of $93,000 during the three months ended March 31, 2018 and 2017, respectively, related to fair value hedges of corporate bonds.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Location of Gain</w:t>
            </w:r>
          </w:p>
        </w:tc>
        <w:tc>
          <w:tcPr>
            <w:tcW w:w="280" w:type="dxa"/>
            <w:vAlign w:val="bottom"/>
          </w:tcPr>
          <w:p>
            <w:pPr>
              <w:spacing w:after="0"/>
              <w:rPr>
                <w:sz w:val="18"/>
                <w:szCs w:val="18"/>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Amount of Gain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(Loss) Recognized</w:t>
            </w:r>
          </w:p>
        </w:tc>
        <w:tc>
          <w:tcPr>
            <w:tcW w:w="280" w:type="dxa"/>
            <w:vAlign w:val="bottom"/>
          </w:tcPr>
          <w:p>
            <w:pPr>
              <w:spacing w:after="0"/>
              <w:rPr>
                <w:sz w:val="18"/>
                <w:szCs w:val="18"/>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Recognized in Income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8"/>
              </w:rPr>
              <w:t>Recognized in Income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Income on</w:t>
            </w:r>
          </w:p>
        </w:tc>
        <w:tc>
          <w:tcPr>
            <w:tcW w:w="280" w:type="dxa"/>
            <w:vAlign w:val="bottom"/>
          </w:tcPr>
          <w:p>
            <w:pPr>
              <w:spacing w:after="0"/>
              <w:rPr>
                <w:sz w:val="21"/>
                <w:szCs w:val="21"/>
                <w:color w:val="auto"/>
              </w:rPr>
            </w:pPr>
          </w:p>
        </w:tc>
        <w:tc>
          <w:tcPr>
            <w:tcW w:w="16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on Derivative</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1"/>
              </w:rPr>
              <w:t>on Hedged Item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Derivative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hedges of brokered CDs</w:t>
            </w:r>
          </w:p>
        </w:tc>
        <w:tc>
          <w:tcPr>
            <w:tcW w:w="1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 of corporate bonds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86"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 under ASC 815</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under ASC 815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6"/>
              </w:rPr>
              <w:t>(Loss) Recognized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Recognized in Income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in Income 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on Derivative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10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Customer derivatives and dealer offsets</w:t>
            </w:r>
          </w:p>
        </w:tc>
        <w:tc>
          <w:tcPr>
            <w:tcW w:w="2900" w:type="dxa"/>
            <w:vAlign w:val="bottom"/>
            <w:gridSpan w:val="2"/>
          </w:tcPr>
          <w:p>
            <w:pPr>
              <w:ind w:left="1040"/>
              <w:spacing w:after="0"/>
              <w:rPr>
                <w:sz w:val="20"/>
                <w:szCs w:val="20"/>
                <w:color w:val="auto"/>
              </w:rPr>
            </w:pPr>
            <w:r>
              <w:rPr>
                <w:rFonts w:ascii="Arial" w:cs="Arial" w:eastAsia="Arial" w:hAnsi="Arial"/>
                <w:sz w:val="18"/>
                <w:szCs w:val="18"/>
                <w:color w:val="auto"/>
              </w:rPr>
              <w:t>Other fee revenue</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Bifurcated embedded derivatives and dealer offsets</w:t>
            </w:r>
          </w:p>
        </w:tc>
        <w:tc>
          <w:tcPr>
            <w:tcW w:w="29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Other fee revenue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rate caps</w:t>
            </w:r>
          </w:p>
        </w:tc>
        <w:tc>
          <w:tcPr>
            <w:tcW w:w="2900" w:type="dxa"/>
            <w:vAlign w:val="bottom"/>
            <w:gridSpan w:val="2"/>
          </w:tcPr>
          <w:p>
            <w:pPr>
              <w:ind w:left="1040"/>
              <w:spacing w:after="0"/>
              <w:rPr>
                <w:sz w:val="20"/>
                <w:szCs w:val="20"/>
                <w:color w:val="auto"/>
              </w:rPr>
            </w:pPr>
            <w:r>
              <w:rPr>
                <w:rFonts w:ascii="Arial" w:cs="Arial" w:eastAsia="Arial" w:hAnsi="Arial"/>
                <w:sz w:val="18"/>
                <w:szCs w:val="18"/>
                <w:color w:val="auto"/>
              </w:rPr>
              <w:t>Other fee revenue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De-designated hedges</w:t>
            </w:r>
          </w:p>
        </w:tc>
        <w:tc>
          <w:tcPr>
            <w:tcW w:w="29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Other fee revenue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Mortgage banking derivatives</w:t>
            </w:r>
          </w:p>
        </w:tc>
        <w:tc>
          <w:tcPr>
            <w:tcW w:w="2900" w:type="dxa"/>
            <w:vAlign w:val="bottom"/>
            <w:gridSpan w:val="2"/>
          </w:tcPr>
          <w:p>
            <w:pPr>
              <w:ind w:left="1040"/>
              <w:spacing w:after="0"/>
              <w:rPr>
                <w:sz w:val="20"/>
                <w:szCs w:val="20"/>
                <w:color w:val="auto"/>
              </w:rPr>
            </w:pPr>
            <w:r>
              <w:rPr>
                <w:rFonts w:ascii="Arial" w:cs="Arial" w:eastAsia="Arial" w:hAnsi="Arial"/>
                <w:sz w:val="18"/>
                <w:szCs w:val="18"/>
                <w:color w:val="auto"/>
                <w:w w:val="99"/>
              </w:rPr>
              <w:t>Mortgage loan revenue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Risk participations</w:t>
            </w:r>
          </w:p>
        </w:tc>
        <w:tc>
          <w:tcPr>
            <w:tcW w:w="29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Other fee revenue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March 31, 2018, collateral totaling $18.5 million was pledged toward derivatives in a liability position.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 As a result of the Dodd-Frank Wall Street Reform and Consumer Protection Act of 2010 (the “Dodd-Frank Act”), all newly eligible derivatives entered into are cleared through a central clearinghouse. Derivatives that are centrally cleared do not have credit-risk-related features that require additional collateral if our credit rating were downgraded.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Through March 31, 2018, incentive stock options, nonqualified stock options, restricted stock and restricted stock unit awards, base salary stock grants and performance share awards have been granted under the plan. As of March 31, 2018, 1.93 million additional awards remained available for grant under the plan.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4"/>
          </w:tcPr>
          <w:p>
            <w:pPr>
              <w:spacing w:after="0"/>
              <w:rPr>
                <w:sz w:val="20"/>
                <w:szCs w:val="20"/>
                <w:color w:val="auto"/>
              </w:rPr>
            </w:pPr>
            <w:r>
              <w:rPr>
                <w:rFonts w:ascii="Arial" w:cs="Arial" w:eastAsia="Arial" w:hAnsi="Arial"/>
                <w:sz w:val="18"/>
                <w:szCs w:val="18"/>
                <w:color w:val="auto"/>
                <w:w w:val="93"/>
              </w:rPr>
              <w:t>The following table shows stock option activity for the first three months of 2018.</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Intrinisic</w:t>
            </w:r>
          </w:p>
        </w:tc>
      </w:tr>
      <w:tr>
        <w:trPr>
          <w:trHeight w:val="234"/>
        </w:trPr>
        <w:tc>
          <w:tcPr>
            <w:tcW w:w="340" w:type="dxa"/>
            <w:vAlign w:val="bottom"/>
          </w:tcPr>
          <w:p>
            <w:pPr>
              <w:spacing w:after="0"/>
              <w:rPr>
                <w:sz w:val="20"/>
                <w:szCs w:val="20"/>
                <w:color w:val="auto"/>
              </w:rPr>
            </w:pPr>
          </w:p>
        </w:tc>
        <w:tc>
          <w:tcPr>
            <w:tcW w:w="5660" w:type="dxa"/>
            <w:vAlign w:val="bottom"/>
            <w:gridSpan w:val="3"/>
          </w:tcPr>
          <w:p>
            <w:pPr>
              <w:ind w:left="2320"/>
              <w:spacing w:after="0"/>
              <w:rPr>
                <w:sz w:val="20"/>
                <w:szCs w:val="20"/>
                <w:color w:val="auto"/>
              </w:rPr>
            </w:pPr>
            <w:r>
              <w:rPr>
                <w:rFonts w:ascii="Arial" w:cs="Arial" w:eastAsia="Arial" w:hAnsi="Arial"/>
                <w:sz w:val="18"/>
                <w:szCs w:val="18"/>
                <w:b w:val="1"/>
                <w:bCs w:val="1"/>
                <w:color w:val="auto"/>
              </w:rPr>
              <w:t>Options</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Shares</w:t>
            </w:r>
          </w:p>
        </w:tc>
        <w:tc>
          <w:tcPr>
            <w:tcW w:w="80" w:type="dxa"/>
            <w:vAlign w:val="bottom"/>
          </w:tcPr>
          <w:p>
            <w:pPr>
              <w:spacing w:after="0"/>
              <w:rPr>
                <w:sz w:val="20"/>
                <w:szCs w:val="20"/>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 ($000)</w:t>
            </w:r>
          </w:p>
        </w:tc>
      </w:tr>
      <w:tr>
        <w:trPr>
          <w:trHeight w:val="210"/>
        </w:trPr>
        <w:tc>
          <w:tcPr>
            <w:tcW w:w="340" w:type="dxa"/>
            <w:vAlign w:val="bottom"/>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12.31</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25.67</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0"/>
        </w:trPr>
        <w:tc>
          <w:tcPr>
            <w:tcW w:w="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Exercisable at March 31, 2018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50,787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0"/>
        </w:trPr>
        <w:tc>
          <w:tcPr>
            <w:tcW w:w="34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three months ended March 31, 2018 and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recognized $6,000 and $7,000 in compensation expense related to stock options during each of the three months ended March 31, 2018 and 2017, respectively. The amount of compensation expense was determined based on the fair value of the options at the time of grant, multiplied by the number of options granted that were expected to vest, which was then amortized over the vesting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units activity for the first three months of 2018.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Weighted-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Intrinisic</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Average Grant-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380" w:type="dxa"/>
            <w:vAlign w:val="bottom"/>
            <w:gridSpan w:val="2"/>
          </w:tcPr>
          <w:p>
            <w:pPr>
              <w:ind w:left="1480"/>
              <w:spacing w:after="0"/>
              <w:rPr>
                <w:sz w:val="20"/>
                <w:szCs w:val="20"/>
                <w:color w:val="auto"/>
              </w:rPr>
            </w:pPr>
            <w:r>
              <w:rPr>
                <w:rFonts w:ascii="Arial" w:cs="Arial" w:eastAsia="Arial" w:hAnsi="Arial"/>
                <w:sz w:val="18"/>
                <w:szCs w:val="18"/>
                <w:b w:val="1"/>
                <w:bCs w:val="1"/>
                <w:color w:val="auto"/>
              </w:rPr>
              <w:t>Restricted Stock Unit Awards</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Date Fair Value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($000)</w:t>
            </w:r>
          </w:p>
        </w:tc>
        <w:tc>
          <w:tcPr>
            <w:tcW w:w="100" w:type="dxa"/>
            <w:vAlign w:val="bottom"/>
          </w:tcPr>
          <w:p>
            <w:pPr>
              <w:spacing w:after="0"/>
              <w:rPr>
                <w:sz w:val="20"/>
                <w:szCs w:val="20"/>
                <w:color w:val="auto"/>
              </w:rPr>
            </w:pPr>
          </w:p>
        </w:tc>
      </w:tr>
      <w:tr>
        <w:trPr>
          <w:trHeight w:val="210"/>
        </w:trPr>
        <w:tc>
          <w:tcPr>
            <w:tcW w:w="5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663,817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28.94</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(115,899)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1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(3,170)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21.45</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17,479</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Compensation expense for restricted stock units is based on the fair value of restricted stock unit awards at the time of grant, which is equal to the value of United’s common stock on the date of grant. United recognizes the impact of forfeitures as they occur. The value of restricted stock unit awards is amortized into expense over the vesting period. For the three months ended March 31, 2018 and 2017, compensation expense of $1.07 million and $1.26 million, respectively, was recognized related to restricted stock unit awards. In addition, for the three months ended March 31, 2018 and 2017, $68,000 and $52,000, respectively, was recognized in other operating expense for restricted stock unit awards granted to members of United’s board of directors.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expense for options and restricted stock of $296,000 and $514,000 was included in the determination of income tax expense for the three months ended March 31, 2018 and 2017, respectively. As of March 31, 2018, there was $10.1 million of unrecognized expense related to non-vested stock options and restricted stock unit awards granted under the plan. That cost is expected to be recognized over a weighted-average period of 2.8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three months ended March 31, 2018 and 2017, 1,411 shares and 904 shares, respectively, were issued through the DRIP.</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10% discount, with no commission charges. During the first three months of 2018 and 2017, United issued 3,793 shares and 3,335 shares, respectively, through the ESPP.</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March 31, 2018 and December 31, 2017, 612,831 and 607,869 shares of common stock, respectively, were issuable under the deferred compensation plan.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22, 2016, United announced that its Board of Directors had authorized a program to repurchase up to $50 million of United’s outstanding common stock through December 31, 2017. In November 2017, the Board of Directors extended this program to December 31, 2018.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During the first three months of 2018 and 2017, United did not repurchase any shares under the program. As of March 31, 2018, $36.3 million of United’s outstanding common stock may be repurchased under the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income tax provision for the three months ended March 31, 2018 and 2017 was $10.7 million and $18.5 million, respectively, which represents an effective tax rate of 22.2% and 44.0%, respectively, for each period.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for that period.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2018 and December 31, 2017, United maintained a valuation allowance on its net deferred tax asset of $4.57 million and $4.41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March 31, 2018. Based on the assessment of all the positive and negative evidence, management concluded that it is more likely than not that nearly all of its net deferred tax asset will be realized based upon future taxable income. The remaining valuation allowance of $4.57 million is related to specific state income tax credits that have short carryforward periods and are expected to expire unused.</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March 31, 2018 that it was more likely than not that the net deferred tax asset of $86.5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2014. Although it is not possible to know the ultimate outcome of future examinations, management believes that the liability recorded for uncertain tax positions is appropriate. At March 31, 2018 and December 31, 2017, unrecognized income tax benefits totaled $3.27 million and $3.16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4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credit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Arial" w:cs="Arial" w:eastAsia="Arial" w:hAnsi="Arial"/>
          <w:sz w:val="18"/>
          <w:szCs w:val="18"/>
          <w:i w:val="1"/>
          <w:iCs w:val="1"/>
          <w:color w:val="auto"/>
        </w:rPr>
        <w:t>Fair Value Measures and Disclosures</w:t>
      </w:r>
      <w:r>
        <w:rPr>
          <w:rFonts w:ascii="Arial" w:cs="Arial" w:eastAsia="Arial" w:hAnsi="Arial"/>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2017,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SBA/USDA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recognizes servicing rights upon the sale of SBA/USDA loans sold with servicing retained. Management has elected to carry this asset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the nature of the asset, the key valuation inputs are unobservable and management classifies this asset as Level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Mortgage Servicing Rights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United recognizes servicing rights upon the sale of residential mortgage loans sold with servicing retained. Effective January 1, 2017, management elected to carry this asset at fair value. Given the nature of the asset, the key valuation inputs are unobservable and management classifies this asset as Level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fair value of pension plan assets, see Note 18 in the Annual Report on Form 10-K for the year ended December 31, 2017.</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Securities available for sale: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U.S. Agencies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1,662,976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1,662,976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210,955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loans held for sale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26,493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Servicing rights for SBA/USDA loans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7,470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mortgage servicing rights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13,877</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125,754</w:t>
            </w:r>
          </w:p>
        </w:tc>
        <w:tc>
          <w:tcPr>
            <w:tcW w:w="1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2,338,381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31,965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2,496,100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17,788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6,168</w:t>
            </w:r>
          </w:p>
        </w:tc>
        <w:tc>
          <w:tcPr>
            <w:tcW w:w="1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15,448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17,788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U.S. Agencies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26,372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1,727,211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1,727,211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237,458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26,252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Servicing rights for SBA/USDA loans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 servicing rights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8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126,829</w:t>
            </w:r>
          </w:p>
        </w:tc>
        <w:tc>
          <w:tcPr>
            <w:tcW w:w="1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2,530,603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29,109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2,686,541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16,744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35</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Servicing</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Residential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rights for</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mortgage</w:t>
            </w:r>
          </w:p>
        </w:tc>
        <w:tc>
          <w:tcPr>
            <w:tcW w:w="8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Derivative</w:t>
            </w:r>
          </w:p>
        </w:tc>
        <w:tc>
          <w:tcPr>
            <w:tcW w:w="10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Derivative</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SBA/USDA</w:t>
            </w: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servicing</w:t>
            </w:r>
          </w:p>
        </w:tc>
        <w:tc>
          <w:tcPr>
            <w:tcW w:w="8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Available-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Asset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loans</w:t>
            </w:r>
          </w:p>
        </w:tc>
        <w:tc>
          <w:tcPr>
            <w:tcW w:w="10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for-Sale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12,207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8,262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combinations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settlements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Amounts included in earnings - fair value adjustments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11,777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from amortization method to fair value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settlements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Amounts included in earnings - fair value adjustments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Level 3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Valuation</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gridSpan w:val="3"/>
          </w:tcPr>
          <w:p>
            <w:pPr>
              <w:jc w:val="right"/>
              <w:ind w:right="180"/>
              <w:spacing w:after="0" w:line="205" w:lineRule="exact"/>
              <w:rPr>
                <w:sz w:val="20"/>
                <w:szCs w:val="20"/>
                <w:color w:val="auto"/>
              </w:rPr>
            </w:pPr>
            <w:r>
              <w:rPr>
                <w:rFonts w:ascii="Arial" w:cs="Arial" w:eastAsia="Arial" w:hAnsi="Arial"/>
                <w:sz w:val="18"/>
                <w:szCs w:val="18"/>
                <w:b w:val="1"/>
                <w:bCs w:val="1"/>
                <w:color w:val="auto"/>
                <w:w w:val="98"/>
              </w:rPr>
              <w:t>March 31,</w:t>
            </w:r>
          </w:p>
        </w:tc>
        <w:tc>
          <w:tcPr>
            <w:tcW w:w="1140" w:type="dxa"/>
            <w:vAlign w:val="bottom"/>
            <w:tcBorders>
              <w:top w:val="single" w:sz="8" w:color="auto"/>
            </w:tcBorders>
            <w:gridSpan w:val="3"/>
          </w:tcPr>
          <w:p>
            <w:pPr>
              <w:ind w:left="100"/>
              <w:spacing w:after="0" w:line="205" w:lineRule="exact"/>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3"/>
              </w:rPr>
              <w:t>March 31,</w:t>
            </w:r>
          </w:p>
        </w:tc>
        <w:tc>
          <w:tcPr>
            <w:tcW w:w="10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and Liabilities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0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for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Discounted</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SBA/USDA 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cash flow</w:t>
            </w:r>
          </w:p>
        </w:tc>
        <w:tc>
          <w:tcPr>
            <w:tcW w:w="2760" w:type="dxa"/>
            <w:vAlign w:val="bottom"/>
            <w:gridSpan w:val="2"/>
          </w:tcPr>
          <w:p>
            <w:pPr>
              <w:spacing w:after="0"/>
              <w:rPr>
                <w:sz w:val="20"/>
                <w:szCs w:val="20"/>
                <w:color w:val="auto"/>
              </w:rPr>
            </w:pPr>
            <w:r>
              <w:rPr>
                <w:rFonts w:ascii="Arial" w:cs="Arial" w:eastAsia="Arial" w:hAnsi="Arial"/>
                <w:sz w:val="18"/>
                <w:szCs w:val="18"/>
                <w:color w:val="auto"/>
              </w:rPr>
              <w:t>Prepayment rate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8,262</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Discounted</w:t>
            </w:r>
          </w:p>
        </w:tc>
        <w:tc>
          <w:tcPr>
            <w:tcW w:w="27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flow</w:t>
            </w: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 rate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900</w:t>
            </w:r>
          </w:p>
        </w:tc>
        <w:tc>
          <w:tcPr>
            <w:tcW w:w="15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Indicative bid</w:t>
            </w:r>
          </w:p>
        </w:tc>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Multiple factors, including but not</w:t>
            </w: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provided by a</w:t>
            </w: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to, current operations,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broker</w:t>
            </w: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financial condition, cash flows, and</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recently executed financing</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transactions related to the company</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 – mortgage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1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Internal model</w:t>
            </w: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Pull through rate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 - 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11,057</w:t>
            </w:r>
          </w:p>
        </w:tc>
        <w:tc>
          <w:tcPr>
            <w:tcW w:w="1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Dealer priced</w:t>
            </w: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Dealer priced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Derivative liabilities - risk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Internal model</w:t>
            </w:r>
          </w:p>
        </w:tc>
        <w:tc>
          <w:tcPr>
            <w:tcW w:w="2760" w:type="dxa"/>
            <w:vAlign w:val="bottom"/>
            <w:gridSpan w:val="2"/>
          </w:tcPr>
          <w:p>
            <w:pPr>
              <w:spacing w:after="0"/>
              <w:rPr>
                <w:sz w:val="20"/>
                <w:szCs w:val="20"/>
                <w:color w:val="auto"/>
              </w:rPr>
            </w:pPr>
            <w:r>
              <w:rPr>
                <w:rFonts w:ascii="Arial" w:cs="Arial" w:eastAsia="Arial" w:hAnsi="Arial"/>
                <w:sz w:val="18"/>
                <w:szCs w:val="18"/>
                <w:color w:val="auto"/>
              </w:rPr>
              <w:t>Probable exposure rate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participations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default rate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Derivative liabilities -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17,765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16,724</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Dealer priced</w:t>
            </w:r>
          </w:p>
        </w:tc>
        <w:tc>
          <w:tcPr>
            <w:tcW w:w="2760" w:type="dxa"/>
            <w:vAlign w:val="bottom"/>
            <w:gridSpan w:val="2"/>
          </w:tcPr>
          <w:p>
            <w:pPr>
              <w:spacing w:after="0"/>
              <w:rPr>
                <w:sz w:val="20"/>
                <w:szCs w:val="20"/>
                <w:color w:val="auto"/>
              </w:rPr>
            </w:pPr>
            <w:r>
              <w:rPr>
                <w:rFonts w:ascii="Arial" w:cs="Arial" w:eastAsia="Arial" w:hAnsi="Arial"/>
                <w:sz w:val="18"/>
                <w:szCs w:val="18"/>
                <w:color w:val="auto"/>
              </w:rPr>
              <w:t>Dealer priced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2018, mortgage loans held for sale for which the fair value option was elected had an aggregate fair value and outstanding principal balance of $26.5 million and $25.7 million, respectively. At December 31, 2017, mortgage loans held for sale for which the fair value option was elected had an aggregate fair value and outstanding principal balance of $26.3 million and $25.4 million, respectively. Interest income on these loans is calculated based on the note rate of the loan and is recorded in interest revenue. During the first quarters of 2018 and 2017, changes in fair value of these loans resulted in net losses of $72,000 and net gains of $252,000, respectively, which were recorded in mortgage loan and other related fees. These changes in fair value were mostly offset by hedging activities. An immaterial portion of these amounts was attributable to changes in instrument-specific credit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March 31, 2018 and December 31, 2017,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p>
      <w:pPr>
        <w:ind w:left="5980"/>
        <w:spacing w:after="0"/>
        <w:tabs>
          <w:tab w:leader="none" w:pos="7460" w:val="left"/>
          <w:tab w:leader="none" w:pos="8940" w:val="left"/>
          <w:tab w:leader="none" w:pos="104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5"/>
          <w:szCs w:val="15"/>
          <w:b w:val="1"/>
          <w:bCs w:val="1"/>
          <w:color w:val="auto"/>
        </w:rPr>
        <w:t>Total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tabs>
          <w:tab w:leader="none" w:pos="5600" w:val="left"/>
          <w:tab w:leader="none" w:pos="6800" w:val="left"/>
          <w:tab w:leader="none" w:pos="7100" w:val="left"/>
          <w:tab w:leader="none" w:pos="8320" w:val="left"/>
          <w:tab w:leader="none" w:pos="8600" w:val="left"/>
          <w:tab w:leader="none" w:pos="9420" w:val="left"/>
          <w:tab w:leader="none" w:pos="10040" w:val="left"/>
          <w:tab w:leader="none" w:pos="10880" w:val="left"/>
        </w:tabs>
        <w:rPr>
          <w:sz w:val="20"/>
          <w:szCs w:val="20"/>
          <w:color w:val="auto"/>
        </w:rPr>
      </w:pPr>
      <w:r>
        <w:rPr>
          <w:rFonts w:ascii="Arial" w:cs="Arial" w:eastAsia="Arial" w:hAnsi="Arial"/>
          <w:sz w:val="18"/>
          <w:szCs w:val="18"/>
          <w:color w:val="auto"/>
        </w:rPr>
        <w:t>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5,913</w:t>
        <w:tab/>
        <w:t>$</w:t>
      </w:r>
      <w:r>
        <w:rPr>
          <w:sz w:val="20"/>
          <w:szCs w:val="20"/>
          <w:color w:val="auto"/>
        </w:rPr>
        <w:tab/>
      </w:r>
      <w:r>
        <w:rPr>
          <w:rFonts w:ascii="Arial" w:cs="Arial" w:eastAsia="Arial" w:hAnsi="Arial"/>
          <w:sz w:val="16"/>
          <w:szCs w:val="16"/>
          <w:color w:val="auto"/>
        </w:rPr>
        <w:t>5,913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3481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w:t>
      </w:r>
    </w:p>
    <w:p>
      <w:pPr>
        <w:spacing w:after="0" w:line="40" w:lineRule="exact"/>
        <w:rPr>
          <w:sz w:val="20"/>
          <w:szCs w:val="20"/>
          <w:color w:val="auto"/>
        </w:rPr>
      </w:pPr>
    </w:p>
    <w:p>
      <w:pPr>
        <w:ind w:left="180"/>
        <w:spacing w:after="0"/>
        <w:tabs>
          <w:tab w:leader="none" w:pos="5600" w:val="left"/>
          <w:tab w:leader="none" w:pos="6800" w:val="left"/>
          <w:tab w:leader="none" w:pos="7100" w:val="left"/>
          <w:tab w:leader="none" w:pos="8320" w:val="left"/>
          <w:tab w:leader="none" w:pos="8600" w:val="left"/>
          <w:tab w:leader="none" w:pos="9420" w:val="left"/>
          <w:tab w:leader="none" w:pos="10040" w:val="left"/>
          <w:tab w:leader="none" w:pos="10880" w:val="left"/>
        </w:tabs>
        <w:rPr>
          <w:sz w:val="20"/>
          <w:szCs w:val="20"/>
          <w:color w:val="auto"/>
        </w:rPr>
      </w:pPr>
      <w:r>
        <w:rPr>
          <w:rFonts w:ascii="Arial" w:cs="Arial" w:eastAsia="Arial" w:hAnsi="Arial"/>
          <w:sz w:val="18"/>
          <w:szCs w:val="18"/>
          <w:color w:val="auto"/>
        </w:rPr>
        <w:t>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6,905</w:t>
        <w:tab/>
        <w:t>$</w:t>
      </w:r>
      <w:r>
        <w:rPr>
          <w:sz w:val="20"/>
          <w:szCs w:val="20"/>
          <w:color w:val="auto"/>
        </w:rPr>
        <w:tab/>
      </w:r>
      <w:r>
        <w:rPr>
          <w:rFonts w:ascii="Arial" w:cs="Arial" w:eastAsia="Arial" w:hAnsi="Arial"/>
          <w:sz w:val="16"/>
          <w:szCs w:val="16"/>
          <w:color w:val="auto"/>
        </w:rPr>
        <w:t>6,905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Fair Value Level</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held to maturity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312,080</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Loans and leases,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8,123,164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8,093,286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8,093,286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9,993,440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9,992,805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9,992,805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434,574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434,422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325,955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321,094</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321,276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7,676,658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7,674,460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7,674,460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6,514</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9,807,697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9,809,264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9,809,264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504,651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504,460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120,545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123,844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123,844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40"/>
              <w:spacing w:after="0"/>
              <w:rPr>
                <w:sz w:val="20"/>
                <w:szCs w:val="20"/>
                <w:color w:val="auto"/>
              </w:rPr>
            </w:pPr>
            <w:r>
              <w:rPr>
                <w:rFonts w:ascii="Arial" w:cs="Arial" w:eastAsia="Arial" w:hAnsi="Arial"/>
                <w:sz w:val="18"/>
                <w:szCs w:val="18"/>
                <w:color w:val="auto"/>
              </w:rPr>
              <w:t>Commitments to extend credit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1,955,259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1,910,777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Letters of credit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March 31, 2018, the Bank had committed to fund an additional $4.94 million related to future capital calls that has not been reflected in the consolidated balance sheet.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62,652</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(42,532)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(41,229)</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core deposit intangible</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Noncompete agreement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3,144</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noncompete agreement</w:t>
            </w:r>
          </w:p>
        </w:tc>
        <w:tc>
          <w:tcPr>
            <w:tcW w:w="16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intangibles subject to amortization, net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306,419</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220,591</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goodwill and other intangible assets, net</w:t>
            </w:r>
          </w:p>
        </w:tc>
        <w:tc>
          <w:tcPr>
            <w:tcW w:w="1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328,328</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244,397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2018</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Acquisition of NLFC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Measurement period adjustments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end of period</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2017</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Measurement period adjustments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Goodwill, net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27959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Impairment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Impairment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Goodwill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526,181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(305,590)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220,591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18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447,615</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(305,590)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142,025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18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-1071245</wp:posOffset>
            </wp:positionV>
            <wp:extent cx="651764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-762635</wp:posOffset>
            </wp:positionV>
            <wp:extent cx="651764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-179705</wp:posOffset>
            </wp:positionV>
            <wp:extent cx="651764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-471170</wp:posOffset>
            </wp:positionV>
            <wp:extent cx="651764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-1354455</wp:posOffset>
            </wp:positionV>
            <wp:extent cx="651764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720"/>
            <w:col w:w="5080"/>
          </w:cols>
          <w:pgMar w:left="240" w:top="90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estimated aggregate amortization expense for future periods for core deposit intangibles and noncompete agreements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3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3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2019</w:t>
            </w: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4,551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2021</w:t>
            </w: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2,557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Thereafter</w:t>
            </w: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4,555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40" w:type="dxa"/>
            <w:vAlign w:val="bottom"/>
            <w:vMerge w:val="restart"/>
          </w:tcPr>
          <w:p>
            <w:pPr>
              <w:jc w:val="right"/>
              <w:ind w:right="199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Stated</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Earliest</w:t>
            </w:r>
          </w:p>
        </w:tc>
        <w:tc>
          <w:tcPr>
            <w:tcW w:w="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March 31,</w:t>
            </w:r>
          </w:p>
        </w:tc>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c>
          <w:tcPr>
            <w:tcW w:w="780" w:type="dxa"/>
            <w:vAlign w:val="bottom"/>
            <w:gridSpan w:val="2"/>
          </w:tcPr>
          <w:p>
            <w:pPr>
              <w:ind w:left="140"/>
              <w:spacing w:after="0"/>
              <w:rPr>
                <w:sz w:val="20"/>
                <w:szCs w:val="20"/>
                <w:color w:val="auto"/>
              </w:rPr>
            </w:pPr>
            <w:r>
              <w:rPr>
                <w:rFonts w:ascii="Arial" w:cs="Arial" w:eastAsia="Arial" w:hAnsi="Arial"/>
                <w:sz w:val="18"/>
                <w:szCs w:val="18"/>
                <w:b w:val="1"/>
                <w:bCs w:val="1"/>
                <w:color w:val="auto"/>
              </w:rPr>
              <w:t>Issue</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6"/>
              </w:rPr>
              <w:t>Call</w:t>
            </w: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b w:val="1"/>
                <w:bCs w:val="1"/>
                <w:color w:val="auto"/>
              </w:rPr>
              <w:t>Date</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3340" w:type="dxa"/>
            <w:vAlign w:val="bottom"/>
          </w:tcPr>
          <w:p>
            <w:pPr>
              <w:ind w:left="116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Obligations of the Bank and its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Subsidiaries:</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NER 15-1 Class B notes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3,290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NER 15-1 Class C notes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NER 15-1 Class D notes</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3,421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NER 16-1 Class A-2 notes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57,801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NER 16-1 Class B notes</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25,489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NER 16-1 Class C notes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NER 16-1 Class D notes</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3,213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securitized notes payable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107,093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Obligations of the Holding Company: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2022 senior debentures</w:t>
            </w:r>
          </w:p>
        </w:tc>
        <w:tc>
          <w:tcPr>
            <w:tcW w:w="160" w:type="dxa"/>
            <w:vAlign w:val="bottom"/>
          </w:tcPr>
          <w:p>
            <w:pPr>
              <w:ind w:left="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50,000</w:t>
            </w:r>
          </w:p>
        </w:tc>
        <w:tc>
          <w:tcPr>
            <w:tcW w:w="2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50,000</w:t>
            </w:r>
          </w:p>
        </w:tc>
        <w:tc>
          <w:tcPr>
            <w:tcW w:w="200" w:type="dxa"/>
            <w:vAlign w:val="bottom"/>
          </w:tcPr>
          <w:p>
            <w:pPr>
              <w:spacing w:after="0"/>
              <w:rPr>
                <w:sz w:val="17"/>
                <w:szCs w:val="17"/>
                <w:color w:val="auto"/>
              </w:rPr>
            </w:pPr>
          </w:p>
        </w:tc>
        <w:tc>
          <w:tcPr>
            <w:tcW w:w="660" w:type="dxa"/>
            <w:vAlign w:val="bottom"/>
          </w:tcPr>
          <w:p>
            <w:pPr>
              <w:ind w:left="300"/>
              <w:spacing w:after="0" w:line="201" w:lineRule="exact"/>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2022</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2020</w:t>
            </w:r>
          </w:p>
        </w:tc>
        <w:tc>
          <w:tcPr>
            <w:tcW w:w="34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5.000% through August 13,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3-month LIBOR plus 3.814% thereafter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2027 senior debentures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35,000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84"/>
              </w:rPr>
              <w:t>2015</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2025</w:t>
            </w:r>
          </w:p>
        </w:tc>
        <w:tc>
          <w:tcPr>
            <w:tcW w:w="3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5.500% through August 13,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3-month LIBOR plus 3.71% thereafter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Total senior debentures</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2028 subordinated debentures</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w w:val="92"/>
              </w:rPr>
              <w:t>100,000</w:t>
            </w:r>
          </w:p>
        </w:tc>
        <w:tc>
          <w:tcPr>
            <w:tcW w:w="2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ind w:left="300"/>
              <w:spacing w:after="0" w:line="201" w:lineRule="exact"/>
              <w:rPr>
                <w:sz w:val="20"/>
                <w:szCs w:val="20"/>
                <w:color w:val="auto"/>
              </w:rPr>
            </w:pPr>
            <w:r>
              <w:rPr>
                <w:rFonts w:ascii="Arial" w:cs="Arial" w:eastAsia="Arial" w:hAnsi="Arial"/>
                <w:sz w:val="18"/>
                <w:szCs w:val="18"/>
                <w:color w:val="auto"/>
                <w:w w:val="84"/>
              </w:rPr>
              <w:t>2018</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2028</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2023</w:t>
            </w:r>
          </w:p>
        </w:tc>
        <w:tc>
          <w:tcPr>
            <w:tcW w:w="34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4.500% through January 30,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3-month LIBOR plus 2.12% thereafter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2025 subordinated debentures</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subordinated debentures</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111,500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Southern Bancorp Capital Trust I</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4,382</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4,382</w:t>
            </w:r>
          </w:p>
        </w:tc>
        <w:tc>
          <w:tcPr>
            <w:tcW w:w="20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2034</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Prime + 1.00%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Community Statutory Trust III</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Prime + 3.00%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Tidelands Statutory Trust I</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8,248</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8,248</w:t>
            </w:r>
          </w:p>
        </w:tc>
        <w:tc>
          <w:tcPr>
            <w:tcW w:w="20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2036</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3-month LIBOR plus 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Tidelands Statutory Trust II</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3-month LIBOR plus 5.075%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Four Oaks Statutory Trust I</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12,372</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12,372</w:t>
            </w:r>
          </w:p>
        </w:tc>
        <w:tc>
          <w:tcPr>
            <w:tcW w:w="20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2036</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3-month LIBOR plus 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trust preferred securities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discount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(10,064</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325,955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120,545</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is currently paid semiannually or quarterly for all senior and subordinated debentures and trust preferred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2022 senior debentures are redeemable, in whole or in part, on or after August 14, 2020 at a redemption price equal to 100% of the principal amount to be redeemed plus any accrued and unpaid interest, and will mature on February 14, 2022 if not redeemed prior to that date. 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Subordinated Debentures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acquired, as part of the FOFN acquisition, $11.5 million aggregate principal amount of subordinated debentures. The notes are due on November 30, 2025. United may prepay the notes at any time after November 30, 2020, subject to compliance with applicable laws. In January 2018, United issued $100 million fixed to floating rate subordinated notes due January 30, 2028. The subordinated debentures qualify as Tier 2 regulatory capital.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Securitized Notes Payable</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United acquired, as part of the NLFC acquisition, Navitas Equipment Receivables LLC 2015-1 (“NER 15-1”) and Navitas Equipment Receivables LLC 2016-1 (“NER 16-1”), which are bankruptcy-remote special purpose entities (“SPEs”) whose sole purpose is to receive loans to secure financings. Each of these SPEs provided financing by issuing notes to investors through a private offering of Receivable-Backed Notes under Rule 144A of the Securities and Exchange Act of 1934. These notes are collateralized by specific qualifying loans and by cash placed in restricted cash accounts. These notes will continue amortizing sequentially based on collections on the underlying loans available to pay the note holders at each monthly payment date after payment of certain amounts as specified in the securitization documents including fees to various parties to the securitizations, interest due to the note holders and certain other payments. Sequentially, each subsequent class of note holders receive principal payments until paid down in full prior to the remaining subsequent class of note holders receiving principal payments. In addition to the pay downs on these notes, they also have legal final maturity dates as reflected in the table above.</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as provided in the indentures.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2017 as well as the following factors:</w:t>
      </w:r>
    </w:p>
    <w:p>
      <w:pPr>
        <w:spacing w:after="0" w:line="18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lower federal income tax rates on the carrying amount of our deferred tax asset;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Tax Cuts and Jobs Act of 2017 and related regulations (the “Tax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concentrations of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deteriorating conditions in the stock market, the public debt market and other capital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 (the “Dodd-Frank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regulatory or judicial proceedings, board resolutions, informal memorandums of understanding or formal enforcement actions imposed by regulators;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March 31, 2018, United had total consolidated assets of $12.3 billion, total loans of $8.18 billion, total deposits of $9.99 billion, and shareholders’ equity of $1.36 billion.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conducts substantially all of its operations through its wholly-owned Georgia bank subsidiary, United Community Bank (the “Bank”), which as of March 31, 2018, operated at 151 locations throughout markets in Georgia, South Carolina, North Carolina, and Tennessee.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3"/>
          </w:tcPr>
          <w:p>
            <w:pPr>
              <w:spacing w:after="0"/>
              <w:rPr>
                <w:sz w:val="20"/>
                <w:szCs w:val="20"/>
                <w:color w:val="auto"/>
              </w:rPr>
            </w:pPr>
            <w:r>
              <w:rPr>
                <w:rFonts w:ascii="Arial" w:cs="Arial" w:eastAsia="Arial" w:hAnsi="Arial"/>
                <w:sz w:val="18"/>
                <w:szCs w:val="18"/>
                <w:color w:val="auto"/>
              </w:rPr>
              <w:t>Since March 31, 2017, United has completed the following acquisitions (the “Acquisitions”):</w:t>
            </w:r>
          </w:p>
        </w:tc>
        <w:tc>
          <w:tcPr>
            <w:tcW w:w="3020" w:type="dxa"/>
            <w:vAlign w:val="bottom"/>
          </w:tcPr>
          <w:p>
            <w:pPr>
              <w:spacing w:after="0"/>
              <w:rPr>
                <w:sz w:val="20"/>
                <w:szCs w:val="20"/>
                <w:color w:val="auto"/>
              </w:rPr>
            </w:pPr>
          </w:p>
        </w:tc>
      </w:tr>
      <w:tr>
        <w:trPr>
          <w:trHeight w:val="432"/>
        </w:trPr>
        <w:tc>
          <w:tcPr>
            <w:tcW w:w="7260" w:type="dxa"/>
            <w:vAlign w:val="bottom"/>
            <w:gridSpan w:val="3"/>
          </w:tcPr>
          <w:p>
            <w:pPr>
              <w:ind w:left="1140"/>
              <w:spacing w:after="0"/>
              <w:rPr>
                <w:sz w:val="20"/>
                <w:szCs w:val="20"/>
                <w:color w:val="auto"/>
              </w:rPr>
            </w:pPr>
            <w:r>
              <w:rPr>
                <w:rFonts w:ascii="Arial" w:cs="Arial" w:eastAsia="Arial" w:hAnsi="Arial"/>
                <w:sz w:val="18"/>
                <w:szCs w:val="18"/>
                <w:b w:val="1"/>
                <w:bCs w:val="1"/>
                <w:color w:val="auto"/>
              </w:rPr>
              <w:t>Entity</w:t>
            </w:r>
          </w:p>
        </w:tc>
        <w:tc>
          <w:tcPr>
            <w:tcW w:w="3020" w:type="dxa"/>
            <w:vAlign w:val="bottom"/>
          </w:tcPr>
          <w:p>
            <w:pPr>
              <w:spacing w:after="0"/>
              <w:rPr>
                <w:sz w:val="20"/>
                <w:szCs w:val="20"/>
                <w:color w:val="auto"/>
              </w:rPr>
            </w:pPr>
            <w:r>
              <w:rPr>
                <w:rFonts w:ascii="Arial" w:cs="Arial" w:eastAsia="Arial" w:hAnsi="Arial"/>
                <w:sz w:val="18"/>
                <w:szCs w:val="18"/>
                <w:b w:val="1"/>
                <w:bCs w:val="1"/>
                <w:color w:val="auto"/>
              </w:rPr>
              <w:t>Date Acquired</w:t>
            </w:r>
          </w:p>
        </w:tc>
      </w:tr>
      <w:tr>
        <w:trPr>
          <w:trHeight w:val="195"/>
        </w:trPr>
        <w:tc>
          <w:tcPr>
            <w:tcW w:w="116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NLFC Holdings Corp. ("NLFC")</w:t>
            </w:r>
          </w:p>
        </w:tc>
        <w:tc>
          <w:tcPr>
            <w:tcW w:w="160" w:type="dxa"/>
            <w:vAlign w:val="bottom"/>
          </w:tcPr>
          <w:p>
            <w:pPr>
              <w:spacing w:after="0"/>
              <w:rPr>
                <w:sz w:val="16"/>
                <w:szCs w:val="16"/>
                <w:color w:val="auto"/>
              </w:rPr>
            </w:pPr>
          </w:p>
        </w:tc>
        <w:tc>
          <w:tcPr>
            <w:tcW w:w="3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February 1, 2018</w:t>
            </w:r>
          </w:p>
        </w:tc>
      </w:tr>
      <w:tr>
        <w:trPr>
          <w:trHeight w:val="216"/>
        </w:trPr>
        <w:tc>
          <w:tcPr>
            <w:tcW w:w="7260" w:type="dxa"/>
            <w:vAlign w:val="bottom"/>
            <w:gridSpan w:val="3"/>
          </w:tcPr>
          <w:p>
            <w:pPr>
              <w:ind w:left="1140"/>
              <w:spacing w:after="0"/>
              <w:rPr>
                <w:sz w:val="20"/>
                <w:szCs w:val="20"/>
                <w:color w:val="auto"/>
              </w:rPr>
            </w:pPr>
            <w:r>
              <w:rPr>
                <w:rFonts w:ascii="Arial" w:cs="Arial" w:eastAsia="Arial" w:hAnsi="Arial"/>
                <w:sz w:val="18"/>
                <w:szCs w:val="18"/>
                <w:color w:val="auto"/>
              </w:rPr>
              <w:t>Four Oaks Fincorp, Inc. ("FOFN")</w:t>
            </w:r>
          </w:p>
        </w:tc>
        <w:tc>
          <w:tcPr>
            <w:tcW w:w="3020" w:type="dxa"/>
            <w:vAlign w:val="bottom"/>
          </w:tcPr>
          <w:p>
            <w:pPr>
              <w:spacing w:after="0"/>
              <w:rPr>
                <w:sz w:val="20"/>
                <w:szCs w:val="20"/>
                <w:color w:val="auto"/>
              </w:rPr>
            </w:pPr>
            <w:r>
              <w:rPr>
                <w:rFonts w:ascii="Arial" w:cs="Arial" w:eastAsia="Arial" w:hAnsi="Arial"/>
                <w:sz w:val="18"/>
                <w:szCs w:val="18"/>
                <w:color w:val="auto"/>
              </w:rPr>
              <w:t>November 1, 2017</w:t>
            </w:r>
          </w:p>
        </w:tc>
      </w:tr>
      <w:tr>
        <w:trPr>
          <w:trHeight w:val="230"/>
        </w:trPr>
        <w:tc>
          <w:tcPr>
            <w:tcW w:w="7260" w:type="dxa"/>
            <w:vAlign w:val="bottom"/>
            <w:gridSpan w:val="3"/>
          </w:tcPr>
          <w:p>
            <w:pPr>
              <w:ind w:left="1140"/>
              <w:spacing w:after="0"/>
              <w:rPr>
                <w:sz w:val="20"/>
                <w:szCs w:val="20"/>
                <w:color w:val="auto"/>
              </w:rPr>
            </w:pPr>
            <w:r>
              <w:rPr>
                <w:rFonts w:ascii="Arial" w:cs="Arial" w:eastAsia="Arial" w:hAnsi="Arial"/>
                <w:sz w:val="18"/>
                <w:szCs w:val="18"/>
                <w:color w:val="auto"/>
              </w:rPr>
              <w:t>HCSB Financial Corporation ("HCSB")</w:t>
            </w:r>
          </w:p>
        </w:tc>
        <w:tc>
          <w:tcPr>
            <w:tcW w:w="3020" w:type="dxa"/>
            <w:vAlign w:val="bottom"/>
          </w:tcPr>
          <w:p>
            <w:pPr>
              <w:spacing w:after="0"/>
              <w:rPr>
                <w:sz w:val="20"/>
                <w:szCs w:val="20"/>
                <w:color w:val="auto"/>
              </w:rPr>
            </w:pPr>
            <w:r>
              <w:rPr>
                <w:rFonts w:ascii="Arial" w:cs="Arial" w:eastAsia="Arial" w:hAnsi="Arial"/>
                <w:sz w:val="18"/>
                <w:szCs w:val="18"/>
                <w:color w:val="auto"/>
              </w:rPr>
              <w:t>July 31, 2017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acquired entities’ results are included in United’s consolidated results beginning on the respective acquisition dates.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$37.7 million, or $.47 per diluted share, for the first quarter of 2018, compared to net income of $23.5 million, or $.33 per diluted share, for the first quarter of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increased to $103 million for the first quarter of 2018, compared to $83.6 million for the first quarter of 2017, primarily due to higher loan volume, much of which resulted from the Acquisitions. Net interest margin increased to 3.80% for the three months ended March 31, 2018 from 3.45% for the same period in 2017 due to the effect of rising interest rates on floating rate loans and investment securities and a more favorable earning asset mix due to the Acquisitions.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was $3.80 million for the first quarter of 2018, compared to $800,000 for the first quarter of 2017. Net charge-offs for the first quarter of 2018 were $1.50 million, compared to $1.68 million for the first quarter of 2017. Since credit quality remained stable, the increase in the provision reflects growth in the loan and lease portfolio (collectively referred to as the “loan portfolio” or “loans”), including a $2.29 million increase resulting from including NLFC’s loans in the allowance for loan losses model. Because NLFC’s loans were recorded at a premium of approximately $5.62 million, the allowance for loan losses model required us to establish an allowance for loan losses sufficient to cover estimated credit losses inherent in the NLFC loan portfolio.</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2018, United’s allowance for loan losses was $61.1 million, or .75% of loans, compared to $58.9 million, or .76% of loans, at December 31, 2017 reflecting continued asset quality improvement. Nonperforming assets of $29.0 million were .24% of total assets at March 31, 2018, up from ..23% at December 31, 2017. During the first quarter of 2018, $7.46 million in loans were placed on nonaccrual compared with $3.17 million in the first quarter of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 revenue of $22.4 million for the first quarter of 2018 was up $322,000, or 1%, from the first quarter of 2017. Service charges and fees decreased 16% compared to the first quarter of 2017 due mainly to the effect of the Durbin Amendment of the Dodd-Frank Act (the “Durbin Amendment”), which took effect for United in the third quarter of 2017 and limited the amount of interchange fees earned on debit card transactions. Mortgage fees of $5.36 million for the first quarter of 2018 increased from $4.42 million in the first quarter of 2017. The increase was due to United’s emphasis on growing its mortgage business by recruiting lenders in metropolitan markets.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quarter of 2018, operating expenses of $73.5 million were up $10.6 million from the first quarter of 2017, primarily due to the addition of operating expenses related to the Acquisitions. Salaries and benefits expense increased $6.18 million from a year ago mostly due to the Acquisitions and investment in additional staff and new teams to expand the Commercial Banking Solutions area as well as higher incentive compensation in connection with increased lending activities and improvement in earnings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“average tangible equity to average assets,” “tangible equity to assets,” “average tangible common equity to average assets,” “tangible common equity to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“net income available to common shareholders – operating,” “diluted net income per common share – operating,” “return on common equity – operating,” “return on tangible common equity – operating,” “return on assets – operating,” “dividend payout ratio – operating” and “efficiency ratio – operating.” Management has developed internal processes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 on page 45.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$37.7 million for the first quarter of 2018. This compared to net income of $23.5 million for the same period in 2017. For the first quarter of 2018, diluted earnings per common share were $.47 compared to $.33 for the first quarter of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reported operating net income of $39.7 million and $28.2 million, respectively, for the first quarters of 2018 and 2017. For the first quarter of 2018, operating net income excludes merger-related and branch closure charges of $2.02 million, net of tax. For the first quarter of 2017, operating net income excludes merger-related and branch closure charges and the release from accumulated other comprehensive income of the disproportionate tax effect related to cash flow hedges, which, net of tax, totaled $1.30 million and $3.40 million, respectively.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First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60"/>
              <w:spacing w:after="0" w:line="205" w:lineRule="exact"/>
              <w:rPr>
                <w:sz w:val="20"/>
                <w:szCs w:val="20"/>
                <w:color w:val="auto"/>
              </w:rPr>
            </w:pPr>
            <w:r>
              <w:rPr>
                <w:rFonts w:ascii="Arial" w:cs="Arial" w:eastAsia="Arial" w:hAnsi="Arial"/>
                <w:sz w:val="18"/>
                <w:szCs w:val="18"/>
                <w:b w:val="1"/>
                <w:bCs w:val="1"/>
                <w:color w:val="auto"/>
                <w:w w:val="91"/>
              </w:rPr>
              <w:t>Fourth</w:t>
            </w:r>
          </w:p>
        </w:tc>
        <w:tc>
          <w:tcPr>
            <w:tcW w:w="120" w:type="dxa"/>
            <w:vAlign w:val="bottom"/>
          </w:tcPr>
          <w:p>
            <w:pPr>
              <w:spacing w:after="0"/>
              <w:rPr>
                <w:sz w:val="17"/>
                <w:szCs w:val="17"/>
                <w:color w:val="auto"/>
              </w:rPr>
            </w:pPr>
          </w:p>
        </w:tc>
        <w:tc>
          <w:tcPr>
            <w:tcW w:w="920" w:type="dxa"/>
            <w:vAlign w:val="bottom"/>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7"/>
                <w:szCs w:val="17"/>
                <w:color w:val="auto"/>
              </w:rPr>
            </w:pPr>
          </w:p>
        </w:tc>
        <w:tc>
          <w:tcPr>
            <w:tcW w:w="940" w:type="dxa"/>
            <w:vAlign w:val="bottom"/>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82"/>
              </w:rPr>
              <w:t>Second</w:t>
            </w:r>
          </w:p>
        </w:tc>
        <w:tc>
          <w:tcPr>
            <w:tcW w:w="140" w:type="dxa"/>
            <w:vAlign w:val="bottom"/>
          </w:tcPr>
          <w:p>
            <w:pPr>
              <w:spacing w:after="0"/>
              <w:rPr>
                <w:sz w:val="17"/>
                <w:szCs w:val="17"/>
                <w:color w:val="auto"/>
              </w:rPr>
            </w:pPr>
          </w:p>
        </w:tc>
        <w:tc>
          <w:tcPr>
            <w:tcW w:w="64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88"/>
              </w:rPr>
              <w:t>2018-2017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SUMMARY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115,290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106,757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98,839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93,166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90,958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9,249</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9,064</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8,018</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7,404</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Net interest revenue</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103,285</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97,508</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89,775</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85,148</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83,554</w:t>
            </w: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Fee revenue</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22,396</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21,928</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20,573</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23,685</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22,074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121,881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118,236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109,348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104,828</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73,475</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75,882</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65,674</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63,229</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62,826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42,002</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10,748</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54,270</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15,728</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16,537</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18,478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(11,916)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23,524</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Merger-related and other charges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7,358</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1,830</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2,054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of merger-related and other charges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w w:val="96"/>
              </w:rPr>
              <w:t>Impact of remeasurement of deferred tax asset resulting from 2017</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Tax Cuts and Jobs Act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38,199</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tcPr>
          <w:p>
            <w:pPr>
              <w:ind w:left="160"/>
              <w:spacing w:after="0" w:line="284" w:lineRule="exact"/>
              <w:rPr>
                <w:sz w:val="20"/>
                <w:szCs w:val="20"/>
                <w:color w:val="auto"/>
              </w:rPr>
            </w:pPr>
            <w:r>
              <w:rPr>
                <w:rFonts w:ascii="Arial" w:cs="Arial" w:eastAsia="Arial" w:hAnsi="Arial"/>
                <w:sz w:val="18"/>
                <w:szCs w:val="18"/>
                <w:b w:val="1"/>
                <w:bCs w:val="1"/>
                <w:color w:val="auto"/>
              </w:rPr>
              <w:t xml:space="preserve">Net income - operating </w:t>
            </w:r>
            <w:r>
              <w:rPr>
                <w:rFonts w:ascii="Arial" w:cs="Arial" w:eastAsia="Arial" w:hAnsi="Arial"/>
                <w:sz w:val="30"/>
                <w:szCs w:val="30"/>
                <w:b w:val="1"/>
                <w:bCs w:val="1"/>
                <w:color w:val="auto"/>
                <w:vertAlign w:val="superscript"/>
              </w:rPr>
              <w:t>(1)</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39,676</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32,476</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30,219</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29,422</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28,220</w:t>
            </w:r>
          </w:p>
        </w:tc>
        <w:tc>
          <w:tcPr>
            <w:tcW w:w="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PERFORMANCE MEASURES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Diluted net income - GAAP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Diluted net income - operating </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Cash dividends declared</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Book value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tcPr>
          <w:p>
            <w:pPr>
              <w:ind w:left="340"/>
              <w:spacing w:after="0" w:line="256" w:lineRule="exact"/>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9"/>
                <w:szCs w:val="29"/>
                <w:color w:val="auto"/>
                <w:vertAlign w:val="superscript"/>
              </w:rPr>
              <w:t>(3)</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13.74</w:t>
            </w:r>
          </w:p>
        </w:tc>
        <w:tc>
          <w:tcPr>
            <w:tcW w:w="1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Key performance ratios: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Return on common equity - GAAP </w:t>
            </w:r>
            <w:r>
              <w:rPr>
                <w:rFonts w:ascii="Arial" w:cs="Arial" w:eastAsia="Arial" w:hAnsi="Arial"/>
                <w:sz w:val="29"/>
                <w:szCs w:val="29"/>
                <w:color w:val="auto"/>
                <w:vertAlign w:val="superscript"/>
              </w:rPr>
              <w:t>(2)(4)</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tcPr>
          <w:p>
            <w:pPr>
              <w:ind w:left="340"/>
              <w:spacing w:after="0" w:line="256" w:lineRule="exact"/>
              <w:rPr>
                <w:sz w:val="20"/>
                <w:szCs w:val="20"/>
                <w:color w:val="auto"/>
              </w:rPr>
            </w:pPr>
            <w:r>
              <w:rPr>
                <w:rFonts w:ascii="Arial" w:cs="Arial" w:eastAsia="Arial" w:hAnsi="Arial"/>
                <w:sz w:val="18"/>
                <w:szCs w:val="18"/>
                <w:color w:val="auto"/>
              </w:rPr>
              <w:t xml:space="preserve">Return on common equity - operating </w:t>
            </w:r>
            <w:r>
              <w:rPr>
                <w:rFonts w:ascii="Arial" w:cs="Arial" w:eastAsia="Arial" w:hAnsi="Arial"/>
                <w:sz w:val="29"/>
                <w:szCs w:val="29"/>
                <w:color w:val="auto"/>
                <w:vertAlign w:val="superscript"/>
              </w:rPr>
              <w:t>(1)(2)(4)</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10.25</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Return on tangible common equity - operating </w:t>
            </w:r>
            <w:r>
              <w:rPr>
                <w:rFonts w:ascii="Arial" w:cs="Arial" w:eastAsia="Arial" w:hAnsi="Arial"/>
                <w:sz w:val="29"/>
                <w:szCs w:val="29"/>
                <w:color w:val="auto"/>
                <w:vertAlign w:val="superscript"/>
              </w:rPr>
              <w:t>(1)(2)(3)(4)</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12.19</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12.10</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tcPr>
          <w:p>
            <w:pPr>
              <w:ind w:left="340"/>
              <w:spacing w:after="0" w:line="256" w:lineRule="exact"/>
              <w:rPr>
                <w:sz w:val="20"/>
                <w:szCs w:val="20"/>
                <w:color w:val="auto"/>
              </w:rPr>
            </w:pPr>
            <w:r>
              <w:rPr>
                <w:rFonts w:ascii="Arial" w:cs="Arial" w:eastAsia="Arial" w:hAnsi="Arial"/>
                <w:sz w:val="18"/>
                <w:szCs w:val="18"/>
                <w:color w:val="auto"/>
              </w:rPr>
              <w:t xml:space="preserve">Return on assets - GAAP </w:t>
            </w:r>
            <w:r>
              <w:rPr>
                <w:rFonts w:ascii="Arial" w:cs="Arial" w:eastAsia="Arial" w:hAnsi="Arial"/>
                <w:sz w:val="29"/>
                <w:szCs w:val="29"/>
                <w:color w:val="auto"/>
                <w:vertAlign w:val="superscript"/>
              </w:rPr>
              <w:t>(4)</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Return on assets - operating </w:t>
            </w:r>
            <w:r>
              <w:rPr>
                <w:rFonts w:ascii="Arial" w:cs="Arial" w:eastAsia="Arial" w:hAnsi="Arial"/>
                <w:sz w:val="29"/>
                <w:szCs w:val="29"/>
                <w:color w:val="auto"/>
                <w:vertAlign w:val="superscript"/>
              </w:rPr>
              <w:t>(1)(4)</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Dividend payout ratio - GAAP</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23.08</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27.27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Dividend payout ratio - operating </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23.08</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tcPr>
          <w:p>
            <w:pPr>
              <w:ind w:left="340"/>
              <w:spacing w:after="0" w:line="256" w:lineRule="exact"/>
              <w:rPr>
                <w:sz w:val="20"/>
                <w:szCs w:val="20"/>
                <w:color w:val="auto"/>
              </w:rPr>
            </w:pPr>
            <w:r>
              <w:rPr>
                <w:rFonts w:ascii="Arial" w:cs="Arial" w:eastAsia="Arial" w:hAnsi="Arial"/>
                <w:sz w:val="18"/>
                <w:szCs w:val="18"/>
                <w:color w:val="auto"/>
              </w:rPr>
              <w:t xml:space="preserve">Net interest margin (fully taxable equivalent) </w:t>
            </w:r>
            <w:r>
              <w:rPr>
                <w:rFonts w:ascii="Arial" w:cs="Arial" w:eastAsia="Arial" w:hAnsi="Arial"/>
                <w:sz w:val="29"/>
                <w:szCs w:val="29"/>
                <w:color w:val="auto"/>
                <w:vertAlign w:val="superscript"/>
              </w:rPr>
              <w:t>(4)</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3.45</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Efficiency ratio - GAAP</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63.03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59.27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59.29</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tcPr>
          <w:p>
            <w:pPr>
              <w:ind w:left="340"/>
              <w:spacing w:after="0" w:line="256" w:lineRule="exact"/>
              <w:rPr>
                <w:sz w:val="20"/>
                <w:szCs w:val="20"/>
                <w:color w:val="auto"/>
              </w:rPr>
            </w:pPr>
            <w:r>
              <w:rPr>
                <w:rFonts w:ascii="Arial" w:cs="Arial" w:eastAsia="Arial" w:hAnsi="Arial"/>
                <w:sz w:val="18"/>
                <w:szCs w:val="18"/>
                <w:color w:val="auto"/>
              </w:rPr>
              <w:t xml:space="preserve">Efficiency ratio - operating </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55.75</w:t>
            </w:r>
          </w:p>
        </w:tc>
        <w:tc>
          <w:tcPr>
            <w:tcW w:w="1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56.92</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56.21</w:t>
            </w:r>
          </w:p>
        </w:tc>
        <w:tc>
          <w:tcPr>
            <w:tcW w:w="1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57.35</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equity to average assets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tcPr>
          <w:p>
            <w:pPr>
              <w:ind w:left="340"/>
              <w:spacing w:after="0" w:line="256" w:lineRule="exact"/>
              <w:rPr>
                <w:sz w:val="20"/>
                <w:szCs w:val="20"/>
                <w:color w:val="auto"/>
              </w:rPr>
            </w:pPr>
            <w:r>
              <w:rPr>
                <w:rFonts w:ascii="Arial" w:cs="Arial" w:eastAsia="Arial" w:hAnsi="Arial"/>
                <w:sz w:val="18"/>
                <w:szCs w:val="18"/>
                <w:color w:val="auto"/>
              </w:rPr>
              <w:t xml:space="preserve">Average tangible equity to average assets </w:t>
            </w:r>
            <w:r>
              <w:rPr>
                <w:rFonts w:ascii="Arial" w:cs="Arial" w:eastAsia="Arial" w:hAnsi="Arial"/>
                <w:sz w:val="29"/>
                <w:szCs w:val="29"/>
                <w:color w:val="auto"/>
                <w:vertAlign w:val="superscript"/>
              </w:rPr>
              <w:t>(3)</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8.96</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Average tangible common equity to average assets </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tcPr>
          <w:p>
            <w:pPr>
              <w:ind w:left="340"/>
              <w:spacing w:after="0" w:line="256" w:lineRule="exact"/>
              <w:rPr>
                <w:sz w:val="20"/>
                <w:szCs w:val="20"/>
                <w:color w:val="auto"/>
              </w:rPr>
            </w:pPr>
            <w:r>
              <w:rPr>
                <w:rFonts w:ascii="Arial" w:cs="Arial" w:eastAsia="Arial" w:hAnsi="Arial"/>
                <w:sz w:val="18"/>
                <w:szCs w:val="18"/>
                <w:color w:val="auto"/>
              </w:rPr>
              <w:t xml:space="preserve">Tangible common equity to risk-weighted assets </w:t>
            </w:r>
            <w:r>
              <w:rPr>
                <w:rFonts w:ascii="Arial" w:cs="Arial" w:eastAsia="Arial" w:hAnsi="Arial"/>
                <w:sz w:val="29"/>
                <w:szCs w:val="29"/>
                <w:color w:val="auto"/>
                <w:vertAlign w:val="superscript"/>
              </w:rPr>
              <w:t>(3)</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12.07</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ASSET QUALITY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Nonperforming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19,812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Foreclosed properties</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5,060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nonperforming assets (NPAs)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24,872</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61,085</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58,914</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58,605</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59,500</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60,543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 to loans</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29"/>
                <w:szCs w:val="29"/>
                <w:color w:val="auto"/>
                <w:vertAlign w:val="superscript"/>
              </w:rPr>
              <w:t>(4)</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NPAs to loans and foreclosed properties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NPAs to total assets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b w:val="1"/>
                <w:bCs w:val="1"/>
                <w:i w:val="1"/>
                <w:iCs w:val="1"/>
                <w:color w:val="auto"/>
              </w:rPr>
              <w:t>($ in millions)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7,149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6,980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6,904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Earning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10,735</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10,133</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9,899</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9,872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12,111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10,980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10,704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9,759</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9,624</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8,659</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8,592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46" w:name="page47"/>
    <w:bookmarkEnd w:id="46"/>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120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79,205</w:t>
            </w:r>
          </w:p>
        </w:tc>
        <w:tc>
          <w:tcPr>
            <w:tcW w:w="3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76,768</w:t>
            </w:r>
          </w:p>
        </w:tc>
        <w:tc>
          <w:tcPr>
            <w:tcW w:w="3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73,151</w:t>
            </w:r>
          </w:p>
        </w:tc>
        <w:tc>
          <w:tcPr>
            <w:tcW w:w="3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71,810</w:t>
            </w:r>
          </w:p>
        </w:tc>
        <w:tc>
          <w:tcPr>
            <w:tcW w:w="3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71,700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Common shares - diluted </w:t>
            </w:r>
            <w:r>
              <w:rPr>
                <w:rFonts w:ascii="Arial" w:cs="Arial" w:eastAsia="Arial" w:hAnsi="Arial"/>
                <w:sz w:val="18"/>
                <w:szCs w:val="18"/>
                <w:i w:val="1"/>
                <w:iCs w:val="1"/>
                <w:color w:val="auto"/>
              </w:rPr>
              <w:t>(thousands)</w:t>
            </w: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79,215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76,768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73,162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71,820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71,708</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b w:val="1"/>
                <w:bCs w:val="1"/>
                <w:i w:val="1"/>
                <w:iCs w:val="1"/>
                <w:color w:val="auto"/>
              </w:rPr>
              <w:t>($ in millions)</w:t>
            </w: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Loans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8,184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7,736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7,203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7,041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6,965</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2,767</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0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12,264</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11,915</w:t>
            </w:r>
          </w:p>
        </w:tc>
        <w:tc>
          <w:tcPr>
            <w:tcW w:w="3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11,129</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10,837</w:t>
            </w:r>
          </w:p>
        </w:tc>
        <w:tc>
          <w:tcPr>
            <w:tcW w:w="34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10,732</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9,993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9,808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9,127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8,736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8,752</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20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1,357</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1,133</w:t>
            </w:r>
          </w:p>
        </w:tc>
        <w:tc>
          <w:tcPr>
            <w:tcW w:w="34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1,102</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Common shares outstanding </w:t>
            </w:r>
            <w:r>
              <w:rPr>
                <w:rFonts w:ascii="Arial" w:cs="Arial" w:eastAsia="Arial" w:hAnsi="Arial"/>
                <w:sz w:val="18"/>
                <w:szCs w:val="18"/>
                <w:i w:val="1"/>
                <w:iCs w:val="1"/>
                <w:color w:val="auto"/>
              </w:rPr>
              <w:t>(thousands)</w:t>
            </w: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79,123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77,580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73,403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70,981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70,973</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00" w:right="100" w:hanging="100"/>
        <w:spacing w:after="0" w:line="262" w:lineRule="auto"/>
        <w:tabs>
          <w:tab w:leader="none" w:pos="183"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 xml:space="preserve">Excludes merger-related and other charges which includes amortization of certain executive change of control benefits, the fourth quarter 2017 impact of remeasurement of United's deferred tax assets following the passage of tax reform legislation and a first quarter 2017 release of disproportionate tax effects lodged in OCI. </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Net income less preferred stock dividends, divided by average realized common equity, which excludes accumulated other comprehensive income (loss). </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Excludes effect of acquisition related intangibles and associated amortization. </w:t>
      </w:r>
      <w:r>
        <w:rPr>
          <w:rFonts w:ascii="Arial" w:cs="Arial" w:eastAsia="Arial" w:hAnsi="Arial"/>
          <w:sz w:val="22"/>
          <w:szCs w:val="22"/>
          <w:color w:val="auto"/>
          <w:vertAlign w:val="superscript"/>
        </w:rPr>
        <w:t>(4)</w:t>
      </w:r>
      <w:r>
        <w:rPr>
          <w:rFonts w:ascii="Arial" w:cs="Arial" w:eastAsia="Arial" w:hAnsi="Arial"/>
          <w:sz w:val="14"/>
          <w:szCs w:val="14"/>
          <w:color w:val="auto"/>
        </w:rPr>
        <w:t xml:space="preserve"> Annualized.</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520"/>
          </w:cols>
          <w:pgMar w:left="140" w:top="125" w:right="239" w:bottom="1440" w:gutter="0" w:footer="0" w:header="0"/>
        </w:sectPr>
      </w:pPr>
    </w:p>
    <w:bookmarkStart w:id="47" w:name="page48"/>
    <w:bookmarkEnd w:id="4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(Continued) - Non-GAAP Performance Measures Reconciliation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900" w:orient="portrait"/>
          <w:cols w:equalWidth="0" w:num="1">
            <w:col w:w="11420"/>
          </w:cols>
          <w:pgMar w:left="240" w:top="90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thousands, except per share data)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Expenses (GAAP)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Merger-related and other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Expenses - operating</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5"/>
        </w:trPr>
        <w:tc>
          <w:tcPr>
            <w:tcW w:w="120" w:type="dxa"/>
            <w:vAlign w:val="bottom"/>
          </w:tcPr>
          <w:p>
            <w:pPr>
              <w:spacing w:after="0"/>
              <w:rPr>
                <w:sz w:val="17"/>
                <w:szCs w:val="17"/>
                <w:color w:val="auto"/>
              </w:rPr>
            </w:pPr>
          </w:p>
        </w:tc>
        <w:tc>
          <w:tcPr>
            <w:tcW w:w="78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7"/>
              </w:rPr>
              <w:t>First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rPr>
              <w:t>Fourth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7"/>
              </w:rPr>
              <w:t>Third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60"/>
              <w:spacing w:after="0" w:line="205" w:lineRule="exact"/>
              <w:rPr>
                <w:sz w:val="20"/>
                <w:szCs w:val="20"/>
                <w:color w:val="auto"/>
              </w:rPr>
            </w:pPr>
            <w:r>
              <w:rPr>
                <w:rFonts w:ascii="Arial" w:cs="Arial" w:eastAsia="Arial" w:hAnsi="Arial"/>
                <w:sz w:val="18"/>
                <w:szCs w:val="18"/>
                <w:b w:val="1"/>
                <w:bCs w:val="1"/>
                <w:color w:val="auto"/>
                <w:w w:val="89"/>
              </w:rPr>
              <w:t>Second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rPr>
              <w:t>First</w:t>
            </w:r>
          </w:p>
        </w:tc>
        <w:tc>
          <w:tcPr>
            <w:tcW w:w="60" w:type="dxa"/>
            <w:vAlign w:val="bottom"/>
            <w:gridSpan w:val="2"/>
          </w:tcPr>
          <w:p>
            <w:pPr>
              <w:spacing w:after="0"/>
              <w:rPr>
                <w:sz w:val="17"/>
                <w:szCs w:val="17"/>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Quarter</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Quarter</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60" w:type="dxa"/>
            <w:vAlign w:val="bottom"/>
            <w:gridSpan w:val="2"/>
          </w:tcPr>
          <w:p>
            <w:pPr>
              <w:spacing w:after="0"/>
              <w:rPr>
                <w:sz w:val="20"/>
                <w:szCs w:val="20"/>
                <w:color w:val="auto"/>
              </w:rPr>
            </w:pPr>
          </w:p>
        </w:tc>
      </w:tr>
      <w:tr>
        <w:trPr>
          <w:trHeight w:val="627"/>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73,475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75,882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65,674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63,229</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62,826</w:t>
            </w:r>
          </w:p>
        </w:tc>
        <w:tc>
          <w:tcPr>
            <w:tcW w:w="40" w:type="dxa"/>
            <w:vAlign w:val="bottom"/>
          </w:tcPr>
          <w:p>
            <w:pPr>
              <w:spacing w:after="0"/>
              <w:rPr>
                <w:sz w:val="24"/>
                <w:szCs w:val="24"/>
                <w:color w:val="auto"/>
              </w:rPr>
            </w:pPr>
          </w:p>
        </w:tc>
      </w:tr>
      <w:tr>
        <w:trPr>
          <w:trHeight w:val="244"/>
        </w:trPr>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(7,358)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(2,054)</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70,829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60,772</w:t>
            </w:r>
          </w:p>
        </w:tc>
        <w:tc>
          <w:tcPr>
            <w:tcW w:w="4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-462280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-179705</wp:posOffset>
            </wp:positionV>
            <wp:extent cx="72466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-745490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4920" w:space="720"/>
            <w:col w:w="5780"/>
          </w:cols>
          <w:pgMar w:left="240" w:top="905" w:right="2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reconciliation</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37,658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(11,916)</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27,946</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28,267</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Merger-related and other charges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2,646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7,358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1,830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benefit of merger-related and other charges</w:t>
            </w:r>
          </w:p>
        </w:tc>
        <w:tc>
          <w:tcPr>
            <w:tcW w:w="2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(1,165)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on remeasurement of deferred tax asset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38,199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 operating</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per common share reconciliation</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(GAAP)</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24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on remeasurement of deferred tax asset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income per common share - operating</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Book value per common share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17.02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16.67</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16.50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15.83</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Tangible book value per common share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Return on tangible common equity reconciliation</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Return on common equity (GAAP)</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24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 on remeasurement of deferred tax asset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11.44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Release of disproportionate tax effects lodged in OCI</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Return on common equity - operating</w:t>
            </w: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240" w:type="dxa"/>
            <w:vAlign w:val="bottom"/>
          </w:tcPr>
          <w:p>
            <w:pPr>
              <w:spacing w:after="0"/>
              <w:rPr>
                <w:sz w:val="19"/>
                <w:szCs w:val="19"/>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Return on tangible common equity - operating</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900" w:orient="portrait"/>
          <w:cols w:equalWidth="0" w:num="1">
            <w:col w:w="11420"/>
          </w:cols>
          <w:pgMar w:left="240" w:top="905"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Return on assets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Return on assets (GAAP)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Merger-related and other charges</w:t>
      </w:r>
    </w:p>
    <w:p>
      <w:pPr>
        <w:spacing w:after="0" w:line="9"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Impact of tax reform on remeasurement of deferred tax asset Release of disproportionate tax effects lodged in OCI</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assets - operating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payout ratio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Dividend payout ratio (GAAP)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Merger-related and other charges</w:t>
      </w:r>
    </w:p>
    <w:p>
      <w:pPr>
        <w:spacing w:after="0" w:line="9"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Impact of tax reform on remeasurement of deferred tax asset Release of disproportionate tax effects lodged in OCI</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 payout ratio - operating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Efficiency ratio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Efficiency ratio (GAAP)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Merger-related and other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Efficiency ratio - operating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equity to assets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Equity to assets (GAAP)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goodwill and other intangibles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1.26%</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(.40)%</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.07</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.08</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1.30</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614"/>
        </w:trPr>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25.53%</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(62.50)%</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26.32%</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23.08%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27.27%</w:t>
            </w:r>
          </w:p>
        </w:tc>
      </w:tr>
      <w:tr>
        <w:trPr>
          <w:trHeight w:val="216"/>
        </w:trPr>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(1.53)</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12.04</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(1.93)</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(1.13)</w:t>
            </w:r>
          </w:p>
        </w:tc>
        <w:tc>
          <w:tcPr>
            <w:tcW w:w="1040" w:type="dxa"/>
            <w:vAlign w:val="bottom"/>
            <w:gridSpan w:val="3"/>
          </w:tcPr>
          <w:p>
            <w:pPr>
              <w:jc w:val="right"/>
              <w:ind w:right="5"/>
              <w:spacing w:after="0"/>
              <w:rPr>
                <w:sz w:val="20"/>
                <w:szCs w:val="20"/>
                <w:color w:val="auto"/>
              </w:rPr>
            </w:pPr>
            <w:r>
              <w:rPr>
                <w:rFonts w:ascii="Arial" w:cs="Arial" w:eastAsia="Arial" w:hAnsi="Arial"/>
                <w:sz w:val="18"/>
                <w:szCs w:val="18"/>
                <w:color w:val="auto"/>
              </w:rPr>
              <w:t>(.98)</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74.27</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44"/>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5"/>
              <w:spacing w:after="0"/>
              <w:rPr>
                <w:sz w:val="20"/>
                <w:szCs w:val="20"/>
                <w:color w:val="auto"/>
              </w:rPr>
            </w:pPr>
            <w:r>
              <w:rPr>
                <w:rFonts w:ascii="Arial" w:cs="Arial" w:eastAsia="Arial" w:hAnsi="Arial"/>
                <w:sz w:val="18"/>
                <w:szCs w:val="18"/>
                <w:color w:val="auto"/>
              </w:rPr>
              <w:t>(3.21)</w:t>
            </w: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23.08</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614"/>
        </w:trPr>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57.83%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63.03%</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59.27%</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57.89%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59.29%</w:t>
            </w:r>
          </w:p>
        </w:tc>
      </w:tr>
      <w:tr>
        <w:trPr>
          <w:trHeight w:val="244"/>
        </w:trPr>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(2.08)</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(6.11)</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(3.09)</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(1.68)</w:t>
            </w:r>
          </w:p>
        </w:tc>
        <w:tc>
          <w:tcPr>
            <w:tcW w:w="1040" w:type="dxa"/>
            <w:vAlign w:val="bottom"/>
            <w:gridSpan w:val="3"/>
          </w:tcPr>
          <w:p>
            <w:pPr>
              <w:jc w:val="right"/>
              <w:ind w:right="5"/>
              <w:spacing w:after="0"/>
              <w:rPr>
                <w:sz w:val="20"/>
                <w:szCs w:val="20"/>
                <w:color w:val="auto"/>
              </w:rPr>
            </w:pPr>
            <w:r>
              <w:rPr>
                <w:rFonts w:ascii="Arial" w:cs="Arial" w:eastAsia="Arial" w:hAnsi="Arial"/>
                <w:sz w:val="18"/>
                <w:szCs w:val="18"/>
                <w:color w:val="auto"/>
              </w:rPr>
              <w:t>(1.94)</w:t>
            </w: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57.35</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614"/>
        </w:trPr>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11.03%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11.21%</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10.86%</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10.49%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10.24%</w:t>
            </w:r>
          </w:p>
        </w:tc>
      </w:tr>
      <w:tr>
        <w:trPr>
          <w:trHeight w:val="242"/>
        </w:trPr>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(2.21)</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(1.69)</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(1.41)</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(1.26)</w:t>
            </w:r>
          </w:p>
        </w:tc>
        <w:tc>
          <w:tcPr>
            <w:tcW w:w="1040" w:type="dxa"/>
            <w:vAlign w:val="bottom"/>
            <w:gridSpan w:val="3"/>
          </w:tcPr>
          <w:p>
            <w:pPr>
              <w:jc w:val="right"/>
              <w:ind w:right="5"/>
              <w:spacing w:after="0"/>
              <w:rPr>
                <w:sz w:val="20"/>
                <w:szCs w:val="20"/>
                <w:color w:val="auto"/>
              </w:rPr>
            </w:pPr>
            <w:r>
              <w:rPr>
                <w:rFonts w:ascii="Arial" w:cs="Arial" w:eastAsia="Arial" w:hAnsi="Arial"/>
                <w:sz w:val="18"/>
                <w:szCs w:val="18"/>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-3179445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-2905125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-2630805</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-2322195</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-2030730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-1756410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-1473200</wp:posOffset>
            </wp:positionV>
            <wp:extent cx="72466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-1155700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-881380</wp:posOffset>
            </wp:positionV>
            <wp:extent cx="72466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-572770</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-281305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900" w:orient="portrait"/>
          <w:cols w:equalWidth="0" w:num="2">
            <w:col w:w="4920" w:space="720"/>
            <w:col w:w="5780"/>
          </w:cols>
          <w:pgMar w:left="240" w:top="905" w:right="239"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620" w:type="dxa"/>
            <w:vAlign w:val="bottom"/>
            <w:shd w:val="clear" w:color="auto" w:fill="CCEEFF"/>
          </w:tcPr>
          <w:p>
            <w:pPr>
              <w:ind w:left="160"/>
              <w:spacing w:after="0" w:line="192" w:lineRule="exact"/>
              <w:rPr>
                <w:sz w:val="20"/>
                <w:szCs w:val="20"/>
                <w:color w:val="auto"/>
              </w:rPr>
            </w:pPr>
            <w:r>
              <w:rPr>
                <w:rFonts w:ascii="Arial" w:cs="Arial" w:eastAsia="Arial" w:hAnsi="Arial"/>
                <w:sz w:val="18"/>
                <w:szCs w:val="18"/>
                <w:color w:val="auto"/>
              </w:rPr>
              <w:t>Tangible equity to assets</w:t>
            </w:r>
          </w:p>
        </w:tc>
        <w:tc>
          <w:tcPr>
            <w:tcW w:w="9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8.82</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9.52</w:t>
            </w: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90"/>
              <w:spacing w:after="0" w:line="192" w:lineRule="exact"/>
              <w:rPr>
                <w:sz w:val="20"/>
                <w:szCs w:val="20"/>
                <w:color w:val="auto"/>
              </w:rPr>
            </w:pPr>
            <w:r>
              <w:rPr>
                <w:rFonts w:ascii="Arial" w:cs="Arial" w:eastAsia="Arial" w:hAnsi="Arial"/>
                <w:sz w:val="18"/>
                <w:szCs w:val="18"/>
                <w:color w:val="auto"/>
              </w:rPr>
              <w:t>9.45</w:t>
            </w:r>
          </w:p>
        </w:tc>
        <w:tc>
          <w:tcPr>
            <w:tcW w:w="1180" w:type="dxa"/>
            <w:vAlign w:val="bottom"/>
            <w:gridSpan w:val="2"/>
            <w:shd w:val="clear" w:color="auto" w:fill="CCEEFF"/>
          </w:tcPr>
          <w:p>
            <w:pPr>
              <w:jc w:val="right"/>
              <w:ind w:right="190"/>
              <w:spacing w:after="0" w:line="192" w:lineRule="exact"/>
              <w:rPr>
                <w:sz w:val="20"/>
                <w:szCs w:val="20"/>
                <w:color w:val="auto"/>
              </w:rPr>
            </w:pPr>
            <w:r>
              <w:rPr>
                <w:rFonts w:ascii="Arial" w:cs="Arial" w:eastAsia="Arial" w:hAnsi="Arial"/>
                <w:sz w:val="18"/>
                <w:szCs w:val="18"/>
                <w:color w:val="auto"/>
              </w:rPr>
              <w:t>9.23</w:t>
            </w:r>
          </w:p>
        </w:tc>
        <w:tc>
          <w:tcPr>
            <w:tcW w:w="1060" w:type="dxa"/>
            <w:vAlign w:val="bottom"/>
            <w:gridSpan w:val="2"/>
            <w:shd w:val="clear" w:color="auto" w:fill="CCEEFF"/>
          </w:tcPr>
          <w:p>
            <w:pPr>
              <w:jc w:val="right"/>
              <w:ind w:right="70"/>
              <w:spacing w:after="0" w:line="192"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Tangible common equity to assets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Tangible common equity to risk-weighted assets reconciliation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Tier 1 capital ratio (Regulatory)</w:t>
            </w:r>
          </w:p>
        </w:tc>
        <w:tc>
          <w:tcPr>
            <w:tcW w:w="11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11.68%</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12.24%</w:t>
            </w:r>
          </w:p>
        </w:tc>
        <w:tc>
          <w:tcPr>
            <w:tcW w:w="11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12.27%</w:t>
            </w:r>
          </w:p>
        </w:tc>
        <w:tc>
          <w:tcPr>
            <w:tcW w:w="118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11.91%</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bl>
    <w:p>
      <w:pPr>
        <w:sectPr>
          <w:pgSz w:w="11900" w:h="16900" w:orient="portrait"/>
          <w:cols w:equalWidth="0" w:num="1">
            <w:col w:w="11420"/>
          </w:cols>
          <w:pgMar w:left="240" w:top="905" w:right="239" w:bottom="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Effect of other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 of deferred tax limitation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trust preferred</w:t>
      </w:r>
    </w:p>
    <w:p>
      <w:pPr>
        <w:spacing w:after="0" w:line="9" w:lineRule="exact"/>
        <w:rPr>
          <w:sz w:val="20"/>
          <w:szCs w:val="20"/>
          <w:color w:val="auto"/>
        </w:rPr>
      </w:pPr>
    </w:p>
    <w:p>
      <w:pPr>
        <w:ind w:left="180" w:right="1220" w:hanging="161"/>
        <w:spacing w:after="0" w:line="341" w:lineRule="auto"/>
        <w:rPr>
          <w:sz w:val="20"/>
          <w:szCs w:val="20"/>
          <w:color w:val="auto"/>
        </w:rPr>
      </w:pPr>
      <w:r>
        <w:rPr>
          <w:rFonts w:ascii="Arial" w:cs="Arial" w:eastAsia="Arial" w:hAnsi="Arial"/>
          <w:sz w:val="16"/>
          <w:szCs w:val="16"/>
          <w:color w:val="auto"/>
        </w:rPr>
        <w:t>Basel III intangibles transition adjustment Tangible common equity to risk-weighted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.43</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.51</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.94</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.95</w:t>
            </w: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r>
      <w:tr>
        <w:trPr>
          <w:trHeight w:val="216"/>
        </w:trPr>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(.36)</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44"/>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-736600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-462280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-179705</wp:posOffset>
            </wp:positionV>
            <wp:extent cx="72466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880" w:space="720"/>
            <w:col w:w="5800"/>
          </w:cols>
          <w:pgMar w:left="240" w:top="12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Net Interest Revenue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Management seeks to optimize this revenue while balancing interest rate, credit and liquidity risks. Net interest revenue for the first quarter of 2018 was $103 million, compared to $83.6 million for the first quarter of 2017. Taxable equivalent net interest revenue for the first quarter of 2018 was $104 million, which represents an increase of $19.8 million from the same period in 2017. The combination of the larger earning asset base from the acquisitions of NLFC, FOFN and HCSB, growth in the loan portfolio and a wider net interest margin were responsible for the increase in net interest revenue.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loans increased $1.09 billion, or 16%, from the first quarter of last year, while the yield on loans increased 62 basis points, reflecting the effect of rising interest rates on the floating rate loans in the portfolio and the acquisition of higher yielding loans from NLFC and FOFN.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Average interest-earning assets for the first quarter of 2018 increased $1.20 billion, or 12%, from the first quarter of 2017, which was due primarily to the increase in loans, including the acquisition of NLFC, FOFN and HCSB loans. Average investment securities for the first quarter of 2018 increased $47.7 million from a year ago, partially due to the Acquisitions. The average yield on the taxable investment portfolio increased three basis points from a year ago, primarily due to the impact of higher short-term interest rates on the floating rate portion of the securities portfolio.</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interest-bearing liabilities of $7.53 billion for the first quarter of 2018 increased $705 million from the first quarter of 2017. Average non-interest-bearing deposits increased $452 million from the first quarter of 2017 to $3.10 billion for the first quarter of 2018. The average cost of interest-bearing liabilities for the first quarter of 2018 was .65% compared to .44% for the same period in 2017, reflecting higher average rates on interest-bearing deposits and short-term borrowings. Although the fed funds rate has increased 75 basis points since March 31, 2017, United’s cost of interest-bearing deposits has increased only 17 basis points over that same time period, which has contributed to margin expansion and increase in net interest revenue.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first quarters of 2018 and 2017, the net interest spread was 3.58% and 3.30%, respectively, while the net interest margin was 3.80% and 3.45%, respectively. The increase in the net interest margin reflects the impact of higher short-term interest rates on floating-rate loans and securities while the pricing on interest-bearing liabilities increased slightly from the prior year. Additionally, United was able to improve its overall yield on interest-earning assets through growth in the loan portfolio, which had a positive impact on the composition of interest-earning assets, and higher yields on fixed rate investments.</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The following tables show the relationship between interest revenue and expense, and the average amounts of interest-earning assets and interest-bearing liabilities for the periods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ind w:left="200"/>
              <w:spacing w:after="0" w:line="205" w:lineRule="exact"/>
              <w:rPr>
                <w:sz w:val="20"/>
                <w:szCs w:val="20"/>
                <w:color w:val="auto"/>
              </w:rPr>
            </w:pPr>
            <w:r>
              <w:rPr>
                <w:rFonts w:ascii="Arial" w:cs="Arial" w:eastAsia="Arial" w:hAnsi="Arial"/>
                <w:sz w:val="18"/>
                <w:szCs w:val="18"/>
                <w:b w:val="1"/>
                <w:bCs w:val="1"/>
                <w:color w:val="auto"/>
              </w:rPr>
              <w:t>Avg.</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ind w:right="460"/>
              <w:spacing w:after="0" w:line="205" w:lineRule="exact"/>
              <w:rPr>
                <w:sz w:val="20"/>
                <w:szCs w:val="20"/>
                <w:color w:val="auto"/>
              </w:rPr>
            </w:pPr>
            <w:r>
              <w:rPr>
                <w:rFonts w:ascii="Arial" w:cs="Arial" w:eastAsia="Arial" w:hAnsi="Arial"/>
                <w:sz w:val="18"/>
                <w:szCs w:val="18"/>
                <w:b w:val="1"/>
                <w:bCs w:val="1"/>
                <w:color w:val="auto"/>
              </w:rPr>
              <w:t>Average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ind w:left="220"/>
              <w:spacing w:after="0" w:line="205"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(dollars in thousands, fully taxable equivalent (FTE))</w:t>
            </w: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960" w:type="dxa"/>
            <w:vAlign w:val="bottom"/>
            <w:gridSpan w:val="2"/>
          </w:tcPr>
          <w:p>
            <w:pPr>
              <w:ind w:left="20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Balance</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Rate</w:t>
            </w:r>
          </w:p>
        </w:tc>
      </w:tr>
      <w:tr>
        <w:trPr>
          <w:trHeight w:val="210"/>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9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Loans, net of unearned income (FTE) </w:t>
            </w:r>
            <w:r>
              <w:rPr>
                <w:rFonts w:ascii="Arial" w:cs="Arial" w:eastAsia="Arial" w:hAnsi="Arial"/>
                <w:sz w:val="29"/>
                <w:szCs w:val="29"/>
                <w:color w:val="auto"/>
                <w:vertAlign w:val="superscript"/>
              </w:rPr>
              <w:t>(1)(2)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$ 7,993,339</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96,389</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4.89%</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$ 6,903,860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72,741</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4.27%</w:t>
            </w:r>
          </w:p>
        </w:tc>
      </w:tr>
      <w:tr>
        <w:trPr>
          <w:trHeight w:val="257"/>
        </w:trPr>
        <w:tc>
          <w:tcPr>
            <w:tcW w:w="49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2,722,977</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17,323</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2.54</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2,779,625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17,433</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2.51</w:t>
            </w:r>
          </w:p>
        </w:tc>
      </w:tr>
      <w:tr>
        <w:trPr>
          <w:trHeight w:val="257"/>
        </w:trPr>
        <w:tc>
          <w:tcPr>
            <w:tcW w:w="49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Tax-exempt securities (FTE) </w:t>
            </w:r>
            <w:r>
              <w:rPr>
                <w:rFonts w:ascii="Arial" w:cs="Arial" w:eastAsia="Arial" w:hAnsi="Arial"/>
                <w:sz w:val="29"/>
                <w:szCs w:val="29"/>
                <w:color w:val="auto"/>
                <w:vertAlign w:val="superscript"/>
              </w:rPr>
              <w:t>(1)(3)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146,531</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3.57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42,180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4.33</w:t>
            </w: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Federal funds sold and other interest-earning assets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213,055</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698</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1.31</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146,027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1.82</w:t>
            </w:r>
          </w:p>
        </w:tc>
      </w:tr>
      <w:tr>
        <w:trPr>
          <w:trHeight w:val="210"/>
        </w:trPr>
        <w:tc>
          <w:tcPr>
            <w:tcW w:w="4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9" w:right="239" w:bottom="1440" w:gutter="0" w:footer="0" w:header="0"/>
        </w:sectPr>
      </w:pPr>
    </w:p>
    <w:p>
      <w:pPr>
        <w:ind w:left="340"/>
        <w:spacing w:after="0"/>
        <w:rPr>
          <w:sz w:val="20"/>
          <w:szCs w:val="20"/>
          <w:color w:val="auto"/>
        </w:rPr>
      </w:pPr>
      <w:r>
        <w:rPr>
          <w:rFonts w:ascii="Arial" w:cs="Arial" w:eastAsia="Arial" w:hAnsi="Arial"/>
          <w:sz w:val="16"/>
          <w:szCs w:val="16"/>
          <w:b w:val="1"/>
          <w:bCs w:val="1"/>
          <w:color w:val="auto"/>
        </w:rPr>
        <w:t>Total interest-earning assets (FTE)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Non-interest-earning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loan losses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due from banks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Premises and equipment</w:t>
      </w:r>
    </w:p>
    <w:p>
      <w:pPr>
        <w:jc w:val="right"/>
        <w:ind w:right="3000"/>
        <w:spacing w:after="0" w:line="209" w:lineRule="auto"/>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(3)</w:t>
      </w:r>
    </w:p>
    <w:p>
      <w:pPr>
        <w:jc w:val="right"/>
        <w:ind w:right="30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w w:val="99"/>
              </w:rPr>
              <w:t>11,075,902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115,719</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4.23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9,871,692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91,295</w:t>
            </w:r>
          </w:p>
        </w:tc>
        <w:tc>
          <w:tcPr>
            <w:tcW w:w="66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(59,144)</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gridSpan w:val="5"/>
          </w:tcPr>
          <w:p>
            <w:pPr>
              <w:jc w:val="right"/>
              <w:ind w:right="260"/>
              <w:spacing w:after="0"/>
              <w:rPr>
                <w:sz w:val="20"/>
                <w:szCs w:val="20"/>
                <w:color w:val="auto"/>
              </w:rPr>
            </w:pPr>
            <w:r>
              <w:rPr>
                <w:rFonts w:ascii="Arial" w:cs="Arial" w:eastAsia="Arial" w:hAnsi="Arial"/>
                <w:sz w:val="18"/>
                <w:szCs w:val="18"/>
                <w:color w:val="auto"/>
              </w:rPr>
              <w:t>(61,668)</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160,486</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99,253</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216,723</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190,096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717,385</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577,168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$ 12,111,352</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10,676,541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-908685</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-625475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-351155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60" w:space="720"/>
            <w:col w:w="6440"/>
          </w:cols>
          <w:pgMar w:left="240" w:top="909"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2,083,703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1,959,678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2,230,620</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2,175</w:t>
            </w: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2,065,449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655,746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560,634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Time</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1,535,216</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2,241</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1,263,946</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Brokered time deposits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158,358</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98,340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6,663,643</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5,948,047</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Federal funds purchased and other borrowings</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78,732</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19,031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511,727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681,117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274,480</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3,288</w:t>
            </w:r>
          </w:p>
        </w:tc>
        <w:tc>
          <w:tcPr>
            <w:tcW w:w="76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175,142</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864,939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875,290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7,528,582</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6,823,337</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Non-interest-bearing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3,095,405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2,643,630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150,955</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116,752</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10,774,942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9,583,719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1,336,410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1,092,822</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12,111,352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10,676,541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revenue (FTE)</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103,714</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83,891</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 (FTE)</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line="20" w:lineRule="exact"/>
              <w:rPr>
                <w:sz w:val="1"/>
                <w:szCs w:val="1"/>
                <w:color w:val="auto"/>
              </w:rPr>
            </w:pPr>
          </w:p>
        </w:tc>
      </w:tr>
      <w:tr>
        <w:trPr>
          <w:trHeight w:val="264"/>
        </w:trPr>
        <w:tc>
          <w:tcPr>
            <w:tcW w:w="49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5"/>
                <w:szCs w:val="15"/>
                <w:b w:val="1"/>
                <w:bCs w:val="1"/>
                <w:color w:val="auto"/>
              </w:rPr>
              <w:t xml:space="preserve">Net interest margin (FTE) </w:t>
            </w:r>
            <w:r>
              <w:rPr>
                <w:rFonts w:ascii="Arial" w:cs="Arial" w:eastAsia="Arial" w:hAnsi="Arial"/>
                <w:sz w:val="23"/>
                <w:szCs w:val="23"/>
                <w:b w:val="1"/>
                <w:bCs w:val="1"/>
                <w:color w:val="auto"/>
                <w:vertAlign w:val="superscript"/>
              </w:rPr>
              <w:t>(4)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bottom w:val="single" w:sz="8" w:color="auto"/>
            </w:tcBorders>
          </w:tcPr>
          <w:p>
            <w:pPr>
              <w:jc w:val="right"/>
              <w:spacing w:after="0" w:line="81" w:lineRule="exact"/>
              <w:rPr>
                <w:sz w:val="20"/>
                <w:szCs w:val="20"/>
                <w:color w:val="auto"/>
              </w:rPr>
            </w:pPr>
            <w:r>
              <w:rPr>
                <w:rFonts w:ascii="Arial" w:cs="Arial" w:eastAsia="Arial" w:hAnsi="Arial"/>
                <w:sz w:val="9"/>
                <w:szCs w:val="9"/>
                <w:color w:val="auto"/>
              </w:rPr>
              <w:t>3.45</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07"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Interest revenue on tax-exempt securities and loans has been increased to reflect comparable interest on taxable securities and loans. The rate used was 26% in 2018 and 39% in 2017, reflecting the statutory federal income tax rate and the federal tax adjusted state income tax rate.</w:t>
      </w:r>
    </w:p>
    <w:p>
      <w:pPr>
        <w:ind w:left="340" w:hanging="332"/>
        <w:spacing w:after="0" w:line="180"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right="400" w:hanging="332"/>
        <w:spacing w:after="0" w:line="187"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losses of $28.3 million in 2018 and $5.38 million in 2017 are included in other assets for purposes of this presentation.</w:t>
      </w:r>
    </w:p>
    <w:p>
      <w:pPr>
        <w:ind w:left="340" w:hanging="332"/>
        <w:spacing w:after="0" w:line="180"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left="980" w:right="4240"/>
        <w:spacing w:after="0" w:line="282"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2"/>
              </w:rPr>
              <w:t>Three Months Ended March 31,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89"/>
              </w:rPr>
              <w:t>Compared to 2017</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88"/>
              </w:rPr>
              <w:t>Increase (decrease)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8"/>
              </w:rPr>
              <w:t>Due to Changes in</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Volume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Loans (FTE)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12,345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11,303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Tax-exempt securities (FTE)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interest-earning assets (FTE)</w:t>
            </w:r>
          </w:p>
        </w:tc>
        <w:tc>
          <w:tcPr>
            <w:tcW w:w="10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11,240</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Time deposits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interest-bearing deposits</w:t>
            </w:r>
          </w:p>
        </w:tc>
        <w:tc>
          <w:tcPr>
            <w:tcW w:w="10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borrowed funds</w:t>
            </w:r>
          </w:p>
        </w:tc>
        <w:tc>
          <w:tcPr>
            <w:tcW w:w="10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interest-bearing liabilities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Increase in net interest revenue (FTE)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credit losses is based on management’s evaluation of probable incurred losses in the loan portfolio and corresponding analysis of the allowance for credit losses at quarter-end. Provision for credit losses was $3.80 million for the first quarter of 2018, compared to $800,000 in the first quarter of 2017. The amount of provision recorded in each period was the amount required such that the total allowance for loan losses reflected the appropriate balance, in the estimation of management, sufficient to cover incurred losses in the loan portfolio. In accordance with the accounting guidance for business combinations, there was no allowance for loan losses brought forward on loans acquired from NLFC on February 1, 2018. At March 31, 2018, United included the performing non-impaired loans acquired from NLFC in its general allowance calculation in order to reflect the necessary allowance for incurred losses, which accounted for a majority of the increase in the provision expense. For the three months ended March 31, 2018, net loan charge-offs as an annualized percentage of average outstanding loans were .08% compared to .10% for the same period in 2017.</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section of this report on page 54.</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 revenue for the three months ended March 31, 2018 was $22.4 million, an increase of $322,000, or 1%, compared to the first quarter of 2017. The following table presents the components of fee revenue for the periods indicated.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6"/>
              </w:rPr>
              <w:t>Change</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Percent</w:t>
            </w:r>
          </w:p>
        </w:tc>
        <w:tc>
          <w:tcPr>
            <w:tcW w:w="100" w:type="dxa"/>
            <w:vAlign w:val="bottom"/>
          </w:tcPr>
          <w:p>
            <w:pPr>
              <w:spacing w:after="0"/>
              <w:rPr>
                <w:sz w:val="19"/>
                <w:szCs w:val="19"/>
                <w:color w:val="auto"/>
              </w:rPr>
            </w:pPr>
          </w:p>
        </w:tc>
      </w:tr>
      <w:tr>
        <w:trPr>
          <w:trHeight w:val="210"/>
        </w:trPr>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Overdraft fees</w:t>
            </w:r>
          </w:p>
        </w:tc>
        <w:tc>
          <w:tcPr>
            <w:tcW w:w="1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3,271</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(2,117)</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0"/>
        </w:trPr>
        <w:tc>
          <w:tcPr>
            <w:tcW w:w="396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1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Brokerage fees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SBA/USDA loans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Customer derivatives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Securities losses, net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5,630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2,429</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23"/>
        </w:trPr>
        <w:tc>
          <w:tcPr>
            <w:tcW w:w="3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fee revenue</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charges and fees of $8.93 million for the first quarter of 2018 were down $1.68 million, or 16%, from the first quarter of 2017. The decrease is primarily due to the effect of the Durbin Amendment, which took effect for United in the third quarter of 2017 and limited the amount of interchange fees earned on debit card transactions.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loan and related fees for the first quarter of 2018 were up $935,000, or 21%, from the same period in 2017. The increase reflects United’s focus on growing the mortgage business by recruiting new mortgage lenders in key metropolitan markets and an increase in purchase and refinancing activity. In the first quarter of 2018, United closed 799 loans totaling $191 million compared with 697 loans totaling $151 million in the first quarter of 2017. United had $104 million in home purchase mortgage originations in the first quarter, which accounted for 56% of production volume, compared with $93.4 million, or 62% of production volume, for the same period a year ago.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Brokerage fees in the first quarter of 2018 decreased 38% compared to the first quarter of 2017, reflecting downtime associated with transitioning to a new third-party broker dealer.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2018, United realized $1.78 million in gains from the sales of the guaranteed portion of Small Business Administration (“SBA”) and United States Department of Agriculture (“USDA”) loans, compared to $1.96 million in the same period of 2017. United’s SBA/USDA lending strategy includes selling a portion of the loan production each quarter. United retains the servicing rights on the sold loans and earns a fee for servicing the loans. In the first quarter of 2017, United sold the guaranteed portion of loans in the amount of $22.2 million, compared to $23.4 million for the same period a year ago.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Customer derivative fees were up $294,000 from the first quarter of 2017 due to higher demand for this product in the current rate environment.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 recognized net securities losses of $940,000 in the first quarter of 2018. The securities losses were part of a larger balance sheet management strategy that included the cancellation of $289 million notional in interest rate caps as well as the partial cancellation of other hedging instruments. The derivative cancellations resulted in gains of $1.16 million, which are included in other fee revenue. The securities losses and gains from derivative activities are mostly offsetting. The remaining increase in other fee revenue reflects volume driven increases in earnings on bank owned life insurance, increases in miscellaneous banking fees and increases in the value of equity investments held by United as well as approximately $800,000 in fees from the equipment finance business which came through the acquisition of NLFC on February 1, 2018.</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periods indicated.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b w:val="1"/>
                <w:bCs w:val="1"/>
                <w:color w:val="auto"/>
                <w:w w:val="96"/>
              </w:rPr>
              <w:t>Change</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Percent</w:t>
            </w:r>
          </w:p>
        </w:tc>
        <w:tc>
          <w:tcPr>
            <w:tcW w:w="100" w:type="dxa"/>
            <w:vAlign w:val="bottom"/>
          </w:tcPr>
          <w:p>
            <w:pPr>
              <w:spacing w:after="0"/>
              <w:rPr>
                <w:sz w:val="19"/>
                <w:szCs w:val="19"/>
                <w:color w:val="auto"/>
              </w:rPr>
            </w:pPr>
          </w:p>
        </w:tc>
      </w:tr>
      <w:tr>
        <w:trPr>
          <w:trHeight w:val="210"/>
        </w:trPr>
        <w:tc>
          <w:tcPr>
            <w:tcW w:w="4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42,875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4,632</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5,613</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1,515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Professional fees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4,044</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FDIC assessments and other regulatory charges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2,476</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1,898</w:t>
            </w: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6,731</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4500" w:type="dxa"/>
            <w:vAlign w:val="bottom"/>
          </w:tcPr>
          <w:p>
            <w:pPr>
              <w:ind w:left="160"/>
              <w:spacing w:after="0"/>
              <w:rPr>
                <w:sz w:val="20"/>
                <w:szCs w:val="20"/>
                <w:color w:val="auto"/>
              </w:rPr>
            </w:pPr>
            <w:r>
              <w:rPr>
                <w:rFonts w:ascii="Arial" w:cs="Arial" w:eastAsia="Arial" w:hAnsi="Arial"/>
                <w:sz w:val="18"/>
                <w:szCs w:val="18"/>
                <w:color w:val="auto"/>
              </w:rPr>
              <w:t>Total excluding merger-related and other charges</w:t>
            </w:r>
          </w:p>
        </w:tc>
        <w:tc>
          <w:tcPr>
            <w:tcW w:w="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71,421</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60,772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and other charges</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50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73,475</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0"/>
        </w:trPr>
        <w:tc>
          <w:tcPr>
            <w:tcW w:w="4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for the first quarter of 2018 totaled $73.5 million, up $10.6 million, or 17%, from the first quarter of 2017. The increase reflects the inclusion of the operating expenses of Acquisitions.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Salaries and employee benefits for the first quarter of 2018 were $42.9 million, up $6.18 million, or 17%, from the first quarter of 2017. The increase was due to a number of factors including investments in additional staff and new teams to expand Commercial Banking Solutions and other key areas and additional staff resulting from the Acquisitions. Full time equivalent headcount totaled 2,288 at March 31, 2018, up from 1,915 at March 31, 2017.</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Occupancy expenses increased primarily due to higher depreciation and lease rental charges for the expanded branch network resulting from the Acquisitions. Professional fees for the first quarter of 2018 of $4.04 million were up $1.0 million, or 33%, from the first quarter of 2017. The increase was due primarily to the Acquisitions and increased legal fees associated with loan growth.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of $1.90 million in the first quarter of 2018 increased relative to the same period in 2017 due to the additional amortization resulting from intangibles related to the HCSB and FOFN acquisitions.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2018, merger-related and other charges of $2.05 million consisted primarily of severance, conversion costs, branch closure costs and legal and professional fees. In the first quarter of 2017, merger-related and other charges of $2.05 million consisted primarily of severance, branch closure costs and technology equipment write offs.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income tax provision for the three months ended March 31, 2018 and 2017 was $10.7 million and $18.5 million, respectively, which represents an effective tax rate of 22.2% and 44.0%, respectively, for each period. The effective tax rate for the first quarter of 2018 reflects the lower federal income tax rate enacted following the passage of the Tax Act in the fourth quarter of 2017. The effective tax rate in the first quarter of 2017 was affected by the release of disproportionate tax effects.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increased the effective tax rate.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2018 and December 31, 2017, United maintained a valuation allowance on its net deferred tax asset of $4.57 million and $4.41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all evidence considered as of March 31, 2018, management concluded that it is more likely than not that nearly all of its net deferred tax asset will be realized based upon future taxable income. The remaining valuation allowance of $4.57 million is related to specific state income tax credits that have short carryforward periods and are expected to expire unused.</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The valuation allowance could fluctuate in future periods based on the assessment of the positive and negative evidence. Management’s conclusion at March 31, 2018 that it was more likely than not that the net deferred tax asset of $86.5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2014. Although it is not possible to know the ultimate outcome of future examinations, management believes that the liability recorded for uncertain tax positions is appropriate.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2017.</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March 31, 2018 and December 31, 2017 were $12.3 billion and $11.9 billion, respectively. Average total assets for the first quarter of 2018 were $12.1 billion, up from $10.7 billion in the first quarter of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40" w:type="dxa"/>
            <w:vAlign w:val="bottom"/>
            <w:gridSpan w:val="2"/>
          </w:tcPr>
          <w:p>
            <w:pPr>
              <w:ind w:left="780"/>
              <w:spacing w:after="0"/>
              <w:rPr>
                <w:sz w:val="20"/>
                <w:szCs w:val="20"/>
                <w:color w:val="auto"/>
              </w:rPr>
            </w:pPr>
            <w:r>
              <w:rPr>
                <w:rFonts w:ascii="Arial" w:cs="Arial" w:eastAsia="Arial" w:hAnsi="Arial"/>
                <w:sz w:val="18"/>
                <w:szCs w:val="18"/>
                <w:b w:val="1"/>
                <w:bCs w:val="1"/>
                <w:color w:val="auto"/>
              </w:rPr>
              <w:t>Table 6 - Loans Outstanding</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78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36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1,897,826</w:t>
            </w:r>
          </w:p>
        </w:tc>
        <w:tc>
          <w:tcPr>
            <w:tcW w:w="20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1,923,993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1,595,174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1,142,428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1,130,990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422,532</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commercial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5,830,616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5,362,093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Residential mortgage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992,111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973,544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712,275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Consumer direct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auto</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315,848</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358,185</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loans</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8,184,249</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7,735,572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loans: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Equipment financing</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commercial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direct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Indirect auto</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North Georgia</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1,004,362</w:t>
            </w:r>
          </w:p>
        </w:tc>
        <w:tc>
          <w:tcPr>
            <w:tcW w:w="20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1,018,945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1,513,098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North Carolina</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1,036,674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Gainesville MSA</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230,587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473,368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South Carolina</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1,537,124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1,485,632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 Solutions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1,437,761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auto</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315,848</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358,185</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loans</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8,184,249</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7,735,572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or are generated by the Commercial Banking Solutions division that focuses on specific commercial loan businesses, such as SBA and franchise lending. More than 75% of the loans were secured by real estate. Total loans averaged $7.99 billion in the first quarter of 2018, compared with $6.90 billion in the first quarter of 2017, an increase of 16% which includes the Acquisitions. At March 31, 2018, total loans were $8.18 billion, an increase of $449 million from December 31, 2017, of which $359 million came through the acquisition of NLFC.</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March 31, 2018 and December 31, 2017, the funded portion of home equity lines totaled $712 million and $731 million, respectively. Approximately 3% of the home equity lines at March 31, 2018 were amortizing. Of the $712 million in balances outstanding at March 31, 2018, $394 million, or 55%, were secured by first liens. At March 31, 2018, 54% of the total available home equity lines were drawn upon.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management reviews current valuations to determine if any charge-offs are warranted and whether it is in United’s best interest to pay off the first lien creditor.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2017.</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loan is in bankruptcy.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Performing Classified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42,096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41,467</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37,147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34,427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24,984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11,879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commercial</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14,824</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15,323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Consumer direct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Market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North Georgia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26,243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30,952</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30,049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34,638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12,145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North Carolina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27,186</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30,670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Gainesville MSA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12,402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10,953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South Carolina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26,800</w:t>
            </w:r>
          </w:p>
        </w:tc>
        <w:tc>
          <w:tcPr>
            <w:tcW w:w="1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27,212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 Solutions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performing classified loans totaled $111 million and decreased $5.78 million from the prior quarter-end, and increased $2.54 million from a year ago.</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8 - Allowance for Credit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69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and lease losses at beginning of period</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61,422</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Charge-offs: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financing</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direct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r>
      <w:tr>
        <w:trPr>
          <w:trHeight w:val="230"/>
        </w:trPr>
        <w:tc>
          <w:tcPr>
            <w:tcW w:w="698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r>
      <w:tr>
        <w:trPr>
          <w:trHeight w:val="210"/>
        </w:trPr>
        <w:tc>
          <w:tcPr>
            <w:tcW w:w="6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 charged-off</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Recoveries: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572</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financing</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direct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r>
      <w:tr>
        <w:trPr>
          <w:trHeight w:val="230"/>
        </w:trPr>
        <w:tc>
          <w:tcPr>
            <w:tcW w:w="698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r>
      <w:tr>
        <w:trPr>
          <w:trHeight w:val="210"/>
        </w:trPr>
        <w:tc>
          <w:tcPr>
            <w:tcW w:w="6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recoveries</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charge-offs</w:t>
            </w: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6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and lease losses</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and lease losses at end of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61,085</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60,543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r>
      <w:tr>
        <w:trPr>
          <w:trHeight w:val="230"/>
        </w:trPr>
        <w:tc>
          <w:tcPr>
            <w:tcW w:w="6980" w:type="dxa"/>
            <w:vAlign w:val="bottom"/>
          </w:tcPr>
          <w:p>
            <w:pPr>
              <w:ind w:left="160"/>
              <w:spacing w:after="0"/>
              <w:rPr>
                <w:sz w:val="20"/>
                <w:szCs w:val="20"/>
                <w:color w:val="auto"/>
              </w:rPr>
            </w:pPr>
            <w:r>
              <w:rPr>
                <w:rFonts w:ascii="Arial" w:cs="Arial" w:eastAsia="Arial" w:hAnsi="Arial"/>
                <w:sz w:val="18"/>
                <w:szCs w:val="18"/>
                <w:color w:val="auto"/>
              </w:rPr>
              <w:t>Provision for losses on unfunded commitments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unfunded commitments at end of period</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Borders>
              <w:top w:val="single" w:sz="8" w:color="CCEEFF"/>
            </w:tcBorders>
            <w:shd w:val="clear" w:color="auto" w:fill="CCEEFF"/>
          </w:tcPr>
          <w:p>
            <w:pPr>
              <w:spacing w:after="0"/>
              <w:rPr>
                <w:sz w:val="18"/>
                <w:szCs w:val="18"/>
                <w:color w:val="auto"/>
              </w:rPr>
            </w:pPr>
          </w:p>
        </w:tc>
      </w:tr>
      <w:tr>
        <w:trPr>
          <w:trHeight w:val="26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credit losses</w:t>
            </w:r>
          </w:p>
        </w:tc>
        <w:tc>
          <w:tcPr>
            <w:tcW w:w="10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63,525</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62,545</w:t>
            </w:r>
          </w:p>
        </w:tc>
        <w:tc>
          <w:tcPr>
            <w:tcW w:w="160" w:type="dxa"/>
            <w:vAlign w:val="bottom"/>
            <w:tcBorders>
              <w:bottom w:val="single" w:sz="8" w:color="CCEEFF"/>
            </w:tcBorders>
          </w:tcPr>
          <w:p>
            <w:pPr>
              <w:spacing w:after="0"/>
              <w:rPr>
                <w:sz w:val="22"/>
                <w:szCs w:val="22"/>
                <w:color w:val="auto"/>
              </w:rPr>
            </w:pPr>
          </w:p>
        </w:tc>
      </w:tr>
      <w:tr>
        <w:trPr>
          <w:trHeight w:val="197"/>
        </w:trPr>
        <w:tc>
          <w:tcPr>
            <w:tcW w:w="6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Total loans and leases: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period-end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8,184,249</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6,964,990</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Average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7,993,339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6,903,860</w:t>
            </w:r>
          </w:p>
        </w:tc>
      </w:tr>
      <w:tr>
        <w:trPr>
          <w:trHeight w:val="216"/>
        </w:trPr>
        <w:tc>
          <w:tcPr>
            <w:tcW w:w="6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Allowance for loan and lease losses as a percentage of period-end loans and leases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As a percentage of average loans (annualized):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charge-offs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30"/>
        </w:trPr>
        <w:tc>
          <w:tcPr>
            <w:tcW w:w="6980" w:type="dxa"/>
            <w:vAlign w:val="bottom"/>
          </w:tcPr>
          <w:p>
            <w:pPr>
              <w:ind w:left="160"/>
              <w:spacing w:after="0"/>
              <w:rPr>
                <w:sz w:val="20"/>
                <w:szCs w:val="20"/>
                <w:color w:val="auto"/>
              </w:rPr>
            </w:pPr>
            <w:r>
              <w:rPr>
                <w:rFonts w:ascii="Arial" w:cs="Arial" w:eastAsia="Arial" w:hAnsi="Arial"/>
                <w:sz w:val="18"/>
                <w:szCs w:val="18"/>
                <w:color w:val="auto"/>
              </w:rPr>
              <w:t>Provision for loan and lease losses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$63.5 million at March 31, 2018, compared with $61.2 million at December 31, 2017. At March 31, 2018, the allowance for loan losses was $61.1 million, or .75% of loans, compared with $58.9 million, or ..76% of total loans, at December 31,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credit losses at March 31, 2018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The table below summarizes nonperforming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6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9 - Nonperforming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66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Foreclosed properties/other real estate owned (OREO)</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Total nonperforming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28,954</w:t>
            </w: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26,892</w:t>
            </w: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7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Nonperforming loans as a percentage of total loans and leases</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nonperforming loans were $26.4 million compared to $23.7 million at December 31, 2017. Nonperforming assets, which include nonperforming loans and foreclosed real estate, totaled $29.0 million at March 31, 2018 and $26.9 million at December 31, 2017.</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March 31, 2018 or December 31, 2017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summarizes nonperforming assets by category and market as of the dates indicated.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Nonperforming Assets by Category and Market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3"/>
              </w:rPr>
              <w:t>March 31, 2018</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7"/>
          </w:tcPr>
          <w:p>
            <w:pPr>
              <w:jc w:val="center"/>
              <w:ind w:left="510"/>
              <w:spacing w:after="0"/>
              <w:rPr>
                <w:sz w:val="20"/>
                <w:szCs w:val="20"/>
                <w:color w:val="auto"/>
              </w:rPr>
            </w:pPr>
            <w:r>
              <w:rPr>
                <w:rFonts w:ascii="Arial" w:cs="Arial" w:eastAsia="Arial" w:hAnsi="Arial"/>
                <w:sz w:val="18"/>
                <w:szCs w:val="18"/>
                <w:b w:val="1"/>
                <w:bCs w:val="1"/>
                <w:color w:val="auto"/>
                <w:w w:val="88"/>
              </w:rPr>
              <w:t>December 31, 2017</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3"/>
          </w:tcPr>
          <w:p>
            <w:pPr>
              <w:jc w:val="center"/>
              <w:ind w:right="40"/>
              <w:spacing w:after="0" w:line="205" w:lineRule="exact"/>
              <w:rPr>
                <w:sz w:val="20"/>
                <w:szCs w:val="20"/>
                <w:color w:val="auto"/>
              </w:rPr>
            </w:pPr>
            <w:r>
              <w:rPr>
                <w:rFonts w:ascii="Arial" w:cs="Arial" w:eastAsia="Arial" w:hAnsi="Arial"/>
                <w:sz w:val="18"/>
                <w:szCs w:val="18"/>
                <w:b w:val="1"/>
                <w:bCs w:val="1"/>
                <w:color w:val="auto"/>
                <w:w w:val="91"/>
              </w:rPr>
              <w:t>Nonaccrual</w:t>
            </w:r>
          </w:p>
        </w:tc>
        <w:tc>
          <w:tcPr>
            <w:tcW w:w="160" w:type="dxa"/>
            <w:vAlign w:val="bottom"/>
          </w:tcPr>
          <w:p>
            <w:pPr>
              <w:spacing w:after="0"/>
              <w:rPr>
                <w:sz w:val="17"/>
                <w:szCs w:val="17"/>
                <w:color w:val="auto"/>
              </w:rPr>
            </w:pPr>
          </w:p>
        </w:tc>
        <w:tc>
          <w:tcPr>
            <w:tcW w:w="1220" w:type="dxa"/>
            <w:vAlign w:val="bottom"/>
            <w:tcBorders>
              <w:right w:val="single" w:sz="8" w:color="auto"/>
            </w:tcBorders>
            <w:gridSpan w:val="3"/>
          </w:tcPr>
          <w:p>
            <w:pPr>
              <w:jc w:val="center"/>
              <w:ind w:right="240"/>
              <w:spacing w:after="0" w:line="205" w:lineRule="exact"/>
              <w:rPr>
                <w:sz w:val="20"/>
                <w:szCs w:val="20"/>
                <w:color w:val="auto"/>
              </w:rPr>
            </w:pPr>
            <w:r>
              <w:rPr>
                <w:rFonts w:ascii="Arial" w:cs="Arial" w:eastAsia="Arial" w:hAnsi="Arial"/>
                <w:sz w:val="18"/>
                <w:szCs w:val="18"/>
                <w:b w:val="1"/>
                <w:bCs w:val="1"/>
                <w:color w:val="auto"/>
                <w:w w:val="85"/>
              </w:rPr>
              <w:t>Foreclosed</w:t>
            </w: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ind w:right="210"/>
              <w:spacing w:after="0" w:line="205"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7"/>
                <w:szCs w:val="17"/>
                <w:color w:val="auto"/>
              </w:rPr>
            </w:pPr>
          </w:p>
        </w:tc>
        <w:tc>
          <w:tcPr>
            <w:tcW w:w="1080" w:type="dxa"/>
            <w:vAlign w:val="bottom"/>
            <w:gridSpan w:val="3"/>
          </w:tcPr>
          <w:p>
            <w:pPr>
              <w:jc w:val="center"/>
              <w:ind w:right="100"/>
              <w:spacing w:after="0" w:line="205" w:lineRule="exact"/>
              <w:rPr>
                <w:sz w:val="20"/>
                <w:szCs w:val="20"/>
                <w:color w:val="auto"/>
              </w:rPr>
            </w:pPr>
            <w:r>
              <w:rPr>
                <w:rFonts w:ascii="Arial" w:cs="Arial" w:eastAsia="Arial" w:hAnsi="Arial"/>
                <w:sz w:val="18"/>
                <w:szCs w:val="18"/>
                <w:b w:val="1"/>
                <w:bCs w:val="1"/>
                <w:color w:val="auto"/>
                <w:w w:val="91"/>
              </w:rPr>
              <w:t>Nonaccrual</w:t>
            </w:r>
          </w:p>
        </w:tc>
        <w:tc>
          <w:tcPr>
            <w:tcW w:w="120" w:type="dxa"/>
            <w:vAlign w:val="bottom"/>
          </w:tcPr>
          <w:p>
            <w:pPr>
              <w:spacing w:after="0"/>
              <w:rPr>
                <w:sz w:val="17"/>
                <w:szCs w:val="17"/>
                <w:color w:val="auto"/>
              </w:rPr>
            </w:pPr>
          </w:p>
        </w:tc>
        <w:tc>
          <w:tcPr>
            <w:tcW w:w="1200" w:type="dxa"/>
            <w:vAlign w:val="bottom"/>
            <w:tcBorders>
              <w:right w:val="single" w:sz="8" w:color="auto"/>
            </w:tcBorders>
            <w:gridSpan w:val="3"/>
          </w:tcPr>
          <w:p>
            <w:pPr>
              <w:jc w:val="center"/>
              <w:ind w:right="240"/>
              <w:spacing w:after="0" w:line="205" w:lineRule="exact"/>
              <w:rPr>
                <w:sz w:val="20"/>
                <w:szCs w:val="20"/>
                <w:color w:val="auto"/>
              </w:rPr>
            </w:pPr>
            <w:r>
              <w:rPr>
                <w:rFonts w:ascii="Arial" w:cs="Arial" w:eastAsia="Arial" w:hAnsi="Arial"/>
                <w:sz w:val="18"/>
                <w:szCs w:val="18"/>
                <w:b w:val="1"/>
                <w:bCs w:val="1"/>
                <w:color w:val="auto"/>
                <w:w w:val="87"/>
              </w:rPr>
              <w:t>Foreclosed</w:t>
            </w:r>
          </w:p>
        </w:tc>
        <w:tc>
          <w:tcPr>
            <w:tcW w:w="180" w:type="dxa"/>
            <w:vAlign w:val="bottom"/>
          </w:tcPr>
          <w:p>
            <w:pPr>
              <w:spacing w:after="0"/>
              <w:rPr>
                <w:sz w:val="17"/>
                <w:szCs w:val="17"/>
                <w:color w:val="auto"/>
              </w:rPr>
            </w:pPr>
          </w:p>
        </w:tc>
        <w:tc>
          <w:tcPr>
            <w:tcW w:w="800" w:type="dxa"/>
            <w:vAlign w:val="bottom"/>
            <w:tcBorders>
              <w:right w:val="single" w:sz="8" w:color="auto"/>
            </w:tcBorders>
          </w:tcPr>
          <w:p>
            <w:pPr>
              <w:jc w:val="right"/>
              <w:ind w:right="210"/>
              <w:spacing w:after="0" w:line="205"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Loans</w:t>
            </w:r>
          </w:p>
        </w:tc>
        <w:tc>
          <w:tcPr>
            <w:tcW w:w="160" w:type="dxa"/>
            <w:vAlign w:val="bottom"/>
          </w:tcPr>
          <w:p>
            <w:pPr>
              <w:spacing w:after="0"/>
              <w:rPr>
                <w:sz w:val="20"/>
                <w:szCs w:val="20"/>
                <w:color w:val="auto"/>
              </w:rPr>
            </w:pPr>
          </w:p>
        </w:tc>
        <w:tc>
          <w:tcPr>
            <w:tcW w:w="12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9"/>
              </w:rPr>
              <w:t>Properties</w:t>
            </w: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NPAs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Properties</w:t>
            </w:r>
          </w:p>
        </w:tc>
        <w:tc>
          <w:tcPr>
            <w:tcW w:w="180" w:type="dxa"/>
            <w:vAlign w:val="bottom"/>
          </w:tcPr>
          <w:p>
            <w:pPr>
              <w:spacing w:after="0"/>
              <w:rPr>
                <w:sz w:val="20"/>
                <w:szCs w:val="20"/>
                <w:color w:val="auto"/>
              </w:rPr>
            </w:pPr>
          </w:p>
        </w:tc>
        <w:tc>
          <w:tcPr>
            <w:tcW w:w="8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NPAs</w:t>
            </w:r>
          </w:p>
        </w:tc>
        <w:tc>
          <w:tcPr>
            <w:tcW w:w="80" w:type="dxa"/>
            <w:vAlign w:val="bottom"/>
          </w:tcPr>
          <w:p>
            <w:pPr>
              <w:spacing w:after="0"/>
              <w:rPr>
                <w:sz w:val="20"/>
                <w:szCs w:val="20"/>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6,757</w:t>
            </w:r>
          </w:p>
        </w:tc>
        <w:tc>
          <w:tcPr>
            <w:tcW w:w="40" w:type="dxa"/>
            <w:vAlign w:val="bottom"/>
          </w:tcPr>
          <w:p>
            <w:pPr>
              <w:spacing w:after="0"/>
              <w:rPr>
                <w:sz w:val="18"/>
                <w:szCs w:val="18"/>
                <w:color w:val="auto"/>
              </w:rPr>
            </w:pP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1,121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1,955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Equipment financing</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3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Residential mortgage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8,912</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Consumer direct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Indirect auto</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9"/>
                <w:szCs w:val="19"/>
                <w:color w:val="auto"/>
              </w:rPr>
            </w:pPr>
          </w:p>
        </w:tc>
      </w:tr>
      <w:tr>
        <w:trPr>
          <w:trHeight w:val="223"/>
        </w:trPr>
        <w:tc>
          <w:tcPr>
            <w:tcW w:w="33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NPAs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MARKET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North Georgia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8,519</w:t>
            </w:r>
          </w:p>
        </w:tc>
        <w:tc>
          <w:tcPr>
            <w:tcW w:w="40" w:type="dxa"/>
            <w:vAlign w:val="bottom"/>
          </w:tcPr>
          <w:p>
            <w:pPr>
              <w:spacing w:after="0"/>
              <w:rPr>
                <w:sz w:val="18"/>
                <w:szCs w:val="18"/>
                <w:color w:val="auto"/>
              </w:rPr>
            </w:pP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right w:val="single" w:sz="8" w:color="auto"/>
            </w:tcBorders>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right w:val="single" w:sz="8" w:color="auto"/>
            </w:tcBorders>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North Carolina</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5,756</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Gainesville MSA</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South Carolina</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1,059</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 Solutions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Indirect auto</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9"/>
                <w:szCs w:val="19"/>
                <w:color w:val="auto"/>
              </w:rPr>
            </w:pPr>
          </w:p>
        </w:tc>
      </w:tr>
      <w:tr>
        <w:trPr>
          <w:trHeight w:val="223"/>
        </w:trPr>
        <w:tc>
          <w:tcPr>
            <w:tcW w:w="33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NPAs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2018 and December 31, 2017, United had $60.4 million and $58.1 million, respectively, in loans with terms that have been modified in TDRs. Included therein were $7.44 million and $5.50 million, respectively, of TDRs that were classified as nonaccrual and were included in nonperforming loans. The remaining TDRs with an aggregate balance of $53.0 million and $52.6 million, respectively, were performing according to their modified terms and are therefore not considered to be nonperforming assets.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2018 and December 31, 2017, there were $65.3 million and $62.3 million, respectively, of loans classified as impaired under the definition outlined in the Accounting Standards Codification, including TDRs which are by definition considered impaired. Included in impaired loans at March 31, 2018 and December 31, 2017 was $17.9 million and $9.37 million, respectively, that did not require specific reserves or had previously been charged down to net realizable value. The balance of impaired loans at March 31, 2018 and December 31, 2017 of $47.4 million and $52.9 million, respectively, had specific reserves that totaled $3.89 million and $3.26 million, respectively. The average recorded investment in impaired loans for the first quarters of 2018 and 2017 was $66.2 million and $81.9 million, respectively. For the three months ended March 31, 2018, United recognized $746,000 in interest revenue on impaired loans compared to $957,000 for the same period of the prior year.</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table below summarizes activity in nonperforming assets for the periods indicated.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11 - Activity in Nonperforming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3"/>
              </w:rPr>
              <w:t>First Quarter 2018</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3"/>
              </w:rPr>
              <w:t>First Quarter 2017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5"/>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line="205" w:lineRule="exact"/>
              <w:rPr>
                <w:sz w:val="20"/>
                <w:szCs w:val="20"/>
                <w:color w:val="auto"/>
              </w:rPr>
            </w:pPr>
            <w:r>
              <w:rPr>
                <w:rFonts w:ascii="Arial" w:cs="Arial" w:eastAsia="Arial" w:hAnsi="Arial"/>
                <w:sz w:val="18"/>
                <w:szCs w:val="18"/>
                <w:b w:val="1"/>
                <w:bCs w:val="1"/>
                <w:color w:val="auto"/>
                <w:w w:val="91"/>
              </w:rPr>
              <w:t>Nonaccrual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right w:val="single" w:sz="8" w:color="auto"/>
            </w:tcBorders>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7"/>
              </w:rPr>
              <w:t>Foreclosed</w:t>
            </w:r>
          </w:p>
        </w:tc>
        <w:tc>
          <w:tcPr>
            <w:tcW w:w="22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500"/>
              <w:spacing w:after="0" w:line="205"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line="205" w:lineRule="exact"/>
              <w:rPr>
                <w:sz w:val="20"/>
                <w:szCs w:val="20"/>
                <w:color w:val="auto"/>
              </w:rPr>
            </w:pPr>
            <w:r>
              <w:rPr>
                <w:rFonts w:ascii="Arial" w:cs="Arial" w:eastAsia="Arial" w:hAnsi="Arial"/>
                <w:sz w:val="18"/>
                <w:szCs w:val="18"/>
                <w:b w:val="1"/>
                <w:bCs w:val="1"/>
                <w:color w:val="auto"/>
                <w:w w:val="91"/>
              </w:rPr>
              <w:t>Nonaccrual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5"/>
              </w:rPr>
              <w:t>Foreclosed</w:t>
            </w:r>
          </w:p>
        </w:tc>
        <w:tc>
          <w:tcPr>
            <w:tcW w:w="240" w:type="dxa"/>
            <w:vAlign w:val="bottom"/>
          </w:tcPr>
          <w:p>
            <w:pPr>
              <w:spacing w:after="0"/>
              <w:rPr>
                <w:sz w:val="17"/>
                <w:szCs w:val="17"/>
                <w:color w:val="auto"/>
              </w:rPr>
            </w:pPr>
          </w:p>
        </w:tc>
        <w:tc>
          <w:tcPr>
            <w:tcW w:w="1060" w:type="dxa"/>
            <w:vAlign w:val="bottom"/>
            <w:tcBorders>
              <w:right w:val="single" w:sz="8" w:color="auto"/>
            </w:tcBorders>
            <w:gridSpan w:val="3"/>
          </w:tcPr>
          <w:p>
            <w:pPr>
              <w:jc w:val="right"/>
              <w:ind w:right="520"/>
              <w:spacing w:after="0" w:line="205" w:lineRule="exact"/>
              <w:rPr>
                <w:sz w:val="20"/>
                <w:szCs w:val="20"/>
                <w:color w:val="auto"/>
              </w:rPr>
            </w:pPr>
            <w:r>
              <w:rPr>
                <w:rFonts w:ascii="Arial" w:cs="Arial" w:eastAsia="Arial" w:hAnsi="Arial"/>
                <w:sz w:val="18"/>
                <w:szCs w:val="18"/>
                <w:b w:val="1"/>
                <w:bCs w:val="1"/>
                <w:color w:val="auto"/>
              </w:rPr>
              <w:t>Total</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Loans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Properties</w:t>
            </w: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Loans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Properties</w:t>
            </w:r>
          </w:p>
        </w:tc>
        <w:tc>
          <w:tcPr>
            <w:tcW w:w="240" w:type="dxa"/>
            <w:vAlign w:val="bottom"/>
          </w:tcPr>
          <w:p>
            <w:pPr>
              <w:spacing w:after="0"/>
              <w:rPr>
                <w:sz w:val="20"/>
                <w:szCs w:val="20"/>
                <w:color w:val="auto"/>
              </w:rPr>
            </w:pPr>
          </w:p>
        </w:tc>
        <w:tc>
          <w:tcPr>
            <w:tcW w:w="1060" w:type="dxa"/>
            <w:vAlign w:val="bottom"/>
            <w:tcBorders>
              <w:right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rPr>
              <w:t>NPAs</w:t>
            </w:r>
          </w:p>
        </w:tc>
      </w:tr>
      <w:tr>
        <w:trPr>
          <w:trHeight w:val="210"/>
        </w:trPr>
        <w:tc>
          <w:tcPr>
            <w:tcW w:w="2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29,488</w:t>
            </w:r>
          </w:p>
        </w:tc>
        <w:tc>
          <w:tcPr>
            <w:tcW w:w="100" w:type="dxa"/>
            <w:vAlign w:val="bottom"/>
            <w:tcBorders>
              <w:right w:val="single" w:sz="8" w:color="auto"/>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Loans placed on non-accrual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3,172</w:t>
            </w:r>
          </w:p>
        </w:tc>
        <w:tc>
          <w:tcPr>
            <w:tcW w:w="100" w:type="dxa"/>
            <w:vAlign w:val="bottom"/>
            <w:tcBorders>
              <w:right w:val="single" w:sz="8" w:color="auto"/>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Payments received</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(3,046)</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Loan charge-offs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Foreclosures</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Property sales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(3,077)</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(3,077)</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Write downs</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106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(480)</w:t>
            </w: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sales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100" w:type="dxa"/>
            <w:vAlign w:val="bottom"/>
            <w:tcBorders>
              <w:right w:val="single" w:sz="8" w:color="auto"/>
            </w:tcBorders>
            <w:shd w:val="clear" w:color="auto" w:fill="CCEEFF"/>
          </w:tcPr>
          <w:p>
            <w:pPr>
              <w:spacing w:after="0"/>
              <w:rPr>
                <w:sz w:val="19"/>
                <w:szCs w:val="19"/>
                <w:color w:val="auto"/>
              </w:rPr>
            </w:pPr>
          </w:p>
        </w:tc>
      </w:tr>
      <w:tr>
        <w:trPr>
          <w:trHeight w:val="223"/>
        </w:trPr>
        <w:tc>
          <w:tcPr>
            <w:tcW w:w="2500" w:type="dxa"/>
            <w:vAlign w:val="bottom"/>
          </w:tcPr>
          <w:p>
            <w:pPr>
              <w:ind w:left="220"/>
              <w:spacing w:after="0"/>
              <w:rPr>
                <w:sz w:val="20"/>
                <w:szCs w:val="20"/>
                <w:color w:val="auto"/>
              </w:rPr>
            </w:pPr>
            <w:r>
              <w:rPr>
                <w:rFonts w:ascii="Arial" w:cs="Arial" w:eastAsia="Arial" w:hAnsi="Arial"/>
                <w:sz w:val="18"/>
                <w:szCs w:val="18"/>
                <w:b w:val="1"/>
                <w:bCs w:val="1"/>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24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220" w:type="dxa"/>
            <w:vAlign w:val="bottom"/>
            <w:tcBorders>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24,872</w:t>
            </w:r>
          </w:p>
        </w:tc>
        <w:tc>
          <w:tcPr>
            <w:tcW w:w="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For the first quarter of 2018, United transferred $625,000 of loans into foreclosed property through foreclosures. During the same period, proceeds from sales of foreclosed property were $957,000.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and December 31, 2017, United had securities held-to-maturity with a carrying amount of $312 million and $321 million, respectively, and securities available-for-sale totaling $2.42 billion and $2.62 billion, respectively. At March 31, 2018 and December 31, 2017, the securities portfolio represented approximately 22% and 25%, respectively, of total assets.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March 31, 2018 primarily reflect the effect of changes in interest rates. United did not recognize any other than temporary impairment losses on its investment securities during the first quarter of 2018 or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and December 31, 2017, 14% and 15%, respectively, of the securities portfolio was invested in floating-rate securities or fixed-rate securities that were swapped to floating rates in order to manage exposure to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t>Core deposit intangibles, representing the value of acquired deposit relationships, and noncompete agreements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customer deposits, excluding brokered deposits, as of March 31, 2018 were $9.58 billion, compared to $9.44 billion at December 31, 2017. Total core transaction deposits (demand, NOW, money market and savings deposits, excluding public funds deposits) of $6.91 billion at March 31, 2018 increased $139 million since December 31, 2017. United’s high level of service, as evidenced by its strong customer satisfaction scores, has been instrumental in attracting and retaining core transaction deposit accounts.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time deposits, excluding brokered deposits, as of March 31, 2018 were $1.52 billion, down $27.5 million from December 31, 2017. United has allowed some attrition of certificates of deposit, as funding needs have been met with lower cost transaction account deposits.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Brokered deposits totaled $411 million as of March 31, 2018, an increase of $39.7 million from December 31, 2017 due to an increase in the balance of lower-cost brokered NOW deposits and brokered time deposits which are generally swapped to LIBOR.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$435 million and $505 million, respectively, as of March 31, 2018 and December 31, 2017. United anticipates continued use of this short and long-term source of funds. Additional information regarding FHLB advances is provided in Note 13 to the consolidated financial statements included in United’s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14 to the consolidated financial statements for additional information on 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profitability, primarily in United’s core community banking activities of extending loans and accepting deposits.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twelve-month time frame, longer time horizons are also modeled.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The following table presents United’s interest sensitivity position at the dates indicated.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Table 12 - Interest Sensitivity</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6"/>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8"/>
          </w:tcPr>
          <w:p>
            <w:pPr>
              <w:ind w:left="280"/>
              <w:spacing w:after="0"/>
              <w:rPr>
                <w:sz w:val="20"/>
                <w:szCs w:val="20"/>
                <w:color w:val="auto"/>
              </w:rPr>
            </w:pPr>
            <w:r>
              <w:rPr>
                <w:rFonts w:ascii="Arial" w:cs="Arial" w:eastAsia="Arial" w:hAnsi="Arial"/>
                <w:sz w:val="18"/>
                <w:szCs w:val="18"/>
                <w:b w:val="1"/>
                <w:bCs w:val="1"/>
                <w:color w:val="auto"/>
                <w:w w:val="97"/>
              </w:rPr>
              <w:t>Increase (Decrease) in Net Interest Revenue from Base Scenario at</w:t>
            </w:r>
          </w:p>
        </w:tc>
      </w:tr>
      <w:tr>
        <w:trPr>
          <w:trHeight w:val="223"/>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Borders>
              <w:top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March 31, 2018</w:t>
            </w:r>
          </w:p>
        </w:tc>
        <w:tc>
          <w:tcPr>
            <w:tcW w:w="2640" w:type="dxa"/>
            <w:vAlign w:val="bottom"/>
            <w:tcBorders>
              <w:top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19"/>
                <w:szCs w:val="19"/>
                <w:color w:val="auto"/>
              </w:rPr>
            </w:pPr>
          </w:p>
        </w:tc>
      </w:tr>
      <w:tr>
        <w:trPr>
          <w:trHeight w:val="223"/>
        </w:trPr>
        <w:tc>
          <w:tcPr>
            <w:tcW w:w="482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Change in Rates</w:t>
            </w:r>
          </w:p>
        </w:tc>
        <w:tc>
          <w:tcPr>
            <w:tcW w:w="12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Shock</w:t>
            </w:r>
          </w:p>
        </w:tc>
        <w:tc>
          <w:tcPr>
            <w:tcW w:w="3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Ramp</w:t>
            </w:r>
          </w:p>
        </w:tc>
        <w:tc>
          <w:tcPr>
            <w:tcW w:w="32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Shock</w:t>
            </w:r>
          </w:p>
        </w:tc>
        <w:tc>
          <w:tcPr>
            <w:tcW w:w="28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Ramp</w:t>
            </w:r>
          </w:p>
        </w:tc>
        <w:tc>
          <w:tcPr>
            <w:tcW w:w="220" w:type="dxa"/>
            <w:vAlign w:val="bottom"/>
            <w:tcBorders>
              <w:bottom w:val="single" w:sz="8" w:color="CCEEFF"/>
            </w:tcBorders>
          </w:tcPr>
          <w:p>
            <w:pPr>
              <w:spacing w:after="0"/>
              <w:rPr>
                <w:sz w:val="19"/>
                <w:szCs w:val="19"/>
                <w:color w:val="auto"/>
              </w:rPr>
            </w:pPr>
          </w:p>
        </w:tc>
      </w:tr>
      <w:tr>
        <w:trPr>
          <w:trHeight w:val="21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 basis point increase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(0.1)%</w:t>
            </w: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0"/>
              </w:rPr>
              <w:t>(0.3)%</w:t>
            </w:r>
          </w:p>
        </w:tc>
      </w:tr>
      <w:tr>
        <w:trPr>
          <w:trHeight w:val="230"/>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100 basis point decrease</w:t>
            </w:r>
          </w:p>
        </w:tc>
        <w:tc>
          <w:tcPr>
            <w:tcW w:w="1500" w:type="dxa"/>
            <w:vAlign w:val="bottom"/>
            <w:gridSpan w:val="2"/>
          </w:tcPr>
          <w:p>
            <w:pPr>
              <w:ind w:left="900"/>
              <w:spacing w:after="0"/>
              <w:rPr>
                <w:sz w:val="20"/>
                <w:szCs w:val="20"/>
                <w:color w:val="auto"/>
              </w:rPr>
            </w:pPr>
            <w:r>
              <w:rPr>
                <w:rFonts w:ascii="Arial" w:cs="Arial" w:eastAsia="Arial" w:hAnsi="Arial"/>
                <w:sz w:val="18"/>
                <w:szCs w:val="18"/>
                <w:color w:val="auto"/>
              </w:rPr>
              <w:t>(6.4)</w:t>
            </w:r>
          </w:p>
        </w:tc>
        <w:tc>
          <w:tcPr>
            <w:tcW w:w="1520" w:type="dxa"/>
            <w:vAlign w:val="bottom"/>
            <w:gridSpan w:val="2"/>
          </w:tcPr>
          <w:p>
            <w:pPr>
              <w:ind w:left="920"/>
              <w:spacing w:after="0"/>
              <w:rPr>
                <w:sz w:val="20"/>
                <w:szCs w:val="20"/>
                <w:color w:val="auto"/>
              </w:rPr>
            </w:pPr>
            <w:r>
              <w:rPr>
                <w:rFonts w:ascii="Arial" w:cs="Arial" w:eastAsia="Arial" w:hAnsi="Arial"/>
                <w:sz w:val="18"/>
                <w:szCs w:val="18"/>
                <w:color w:val="auto"/>
              </w:rPr>
              <w:t>(4.9)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(6.2)</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manage interest rate sensitivity, management uses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 In addition to derivative instruments, management uses a variety of balance sheet instruments to manage interest rate risk such as investment securities, wholesale funding, and bank-issued deposits.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$454,000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under normal conditions for at least a 12-month period and under severely adverse liquidity conditions for a minimum of 30 days.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 The Bank also maintains excess funds in short-term interest-bearing assets that provide additional liquidity.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2018, United had cash and cash equivalent balances of $352 million and had sufficient qualifying collateral to increase FHLB advances by $863 million and Federal Reserve discount window borrowing capacity of $1.27 billion. United also has the ability to raise substantial funds through brokered deposits. In addition to these wholesale sources, United has the ability to attract retail deposits by competing more aggressively on pricing.</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the consolidated statement of cash flows, net cash provided by operating activities was $72.5 million for the three months ended March 31, 2018. Net income of $37.7 million for the three-month period included non-cash expenses for the following: deferred income tax expense of $10.2 million, depreciation, amortization and accretion of $10.5 million, provision expense of $3.80 million and stock-based compensation expense of $1.15 million. Other sources of cash from operating activities included an increase in accrued expenses and other liabilities of $1.37 million and a decrease in loans held for sale of $8.83 million. Net cash provided by investing activities of $37.0 million consisted primarily of $13.8 million in proceeds from maturities and calls of investment securities held-to-maturity, $114 million in proceeds from the sale of investment securities available-for-sale and $85.3 million in proceeds from maturities and calls of investment securities available-for-sale. These sources of cash were partially offset by a $79.4 million net increase in loans, purchases of investment securities available-for-sale totaling $30.2 million and cash paid for acquisitions of $56.8 million. Net cash used in financing activities of $71.5 million consisted primarily of a net decrease in short-term borrowings of $265 million and a net decrease in FHLB advances of $70.0 million, partially offset by a net increase in deposits of $186 million and issuance of subordinated debt of $98.2 million. In the opinion of management, United’s liquidity position at March 31, 2018, was sufficient to meet its expected cash flow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March 31, 2018 was $1.36 billion, an increase of $53.4 million from December 31, 2017 due to shares issued for the NLFC acquisition plus year-to-date earnings less dividends declared and a decrease in the value of available-for-sale securities.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United’s capital ratios, as calculated under applicable regulatory guidelines, at March 31, 2018 and December 31, 2017. As of March 31, 2018, capital levels remained characterized as “well-capitalized” under the Basel III Capital Rules in effect at the time.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Table 13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United Community Banks, Inc.</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Basel III Guidelines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United Community Bank</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350"/>
              <w:spacing w:after="0" w:line="205" w:lineRule="exact"/>
              <w:rPr>
                <w:sz w:val="20"/>
                <w:szCs w:val="20"/>
                <w:color w:val="auto"/>
              </w:rPr>
            </w:pPr>
            <w:r>
              <w:rPr>
                <w:rFonts w:ascii="Arial" w:cs="Arial" w:eastAsia="Arial" w:hAnsi="Arial"/>
                <w:sz w:val="18"/>
                <w:szCs w:val="18"/>
                <w:b w:val="1"/>
                <w:bCs w:val="1"/>
                <w:color w:val="auto"/>
              </w:rPr>
              <w:t>Well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rPr>
              <w:t>March 31,</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March 31,</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Arial" w:cs="Arial" w:eastAsia="Arial" w:hAnsi="Arial"/>
                <w:sz w:val="18"/>
                <w:szCs w:val="18"/>
                <w:b w:val="1"/>
                <w:bCs w:val="1"/>
                <w:color w:val="auto"/>
                <w:w w:val="96"/>
              </w:rPr>
              <w:t>Minimum</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Capitalized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Risk-based ratios: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60"/>
              <w:spacing w:after="0"/>
              <w:rPr>
                <w:sz w:val="20"/>
                <w:szCs w:val="20"/>
                <w:color w:val="auto"/>
              </w:rPr>
            </w:pPr>
            <w:r>
              <w:rPr>
                <w:rFonts w:ascii="Arial" w:cs="Arial" w:eastAsia="Arial" w:hAnsi="Arial"/>
                <w:sz w:val="18"/>
                <w:szCs w:val="18"/>
                <w:color w:val="auto"/>
              </w:rPr>
              <w:t>Common equity tier 1 capital</w:t>
            </w:r>
          </w:p>
        </w:tc>
        <w:tc>
          <w:tcPr>
            <w:tcW w:w="380" w:type="dxa"/>
            <w:vAlign w:val="bottom"/>
            <w:gridSpan w:val="2"/>
          </w:tcPr>
          <w:p>
            <w:pPr>
              <w:spacing w:after="0"/>
              <w:rPr>
                <w:sz w:val="20"/>
                <w:szCs w:val="20"/>
                <w:color w:val="auto"/>
              </w:rPr>
            </w:pPr>
            <w:r>
              <w:rPr>
                <w:rFonts w:ascii="Arial" w:cs="Arial" w:eastAsia="Arial" w:hAnsi="Arial"/>
                <w:sz w:val="18"/>
                <w:szCs w:val="18"/>
                <w:color w:val="auto"/>
                <w:w w:val="87"/>
              </w:rPr>
              <w:t>4.5%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Tier I capital</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60"/>
              <w:spacing w:after="0"/>
              <w:rPr>
                <w:sz w:val="20"/>
                <w:szCs w:val="20"/>
                <w:color w:val="auto"/>
              </w:rPr>
            </w:pPr>
            <w:r>
              <w:rPr>
                <w:rFonts w:ascii="Arial" w:cs="Arial" w:eastAsia="Arial" w:hAnsi="Arial"/>
                <w:sz w:val="18"/>
                <w:szCs w:val="18"/>
                <w:color w:val="auto"/>
              </w:rPr>
              <w:t>Total capital</w:t>
            </w:r>
          </w:p>
        </w:tc>
        <w:tc>
          <w:tcPr>
            <w:tcW w:w="380" w:type="dxa"/>
            <w:vAlign w:val="bottom"/>
            <w:gridSpan w:val="2"/>
          </w:tcPr>
          <w:p>
            <w:pPr>
              <w:spacing w:after="0"/>
              <w:rPr>
                <w:sz w:val="20"/>
                <w:szCs w:val="20"/>
                <w:color w:val="auto"/>
              </w:rPr>
            </w:pPr>
            <w:r>
              <w:rPr>
                <w:rFonts w:ascii="Arial" w:cs="Arial" w:eastAsia="Arial" w:hAnsi="Arial"/>
                <w:sz w:val="18"/>
                <w:szCs w:val="18"/>
                <w:color w:val="auto"/>
              </w:rPr>
              <w:t>8.0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equity tier 1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1,053,983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1,226,544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Tier I capital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1,068,286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1,226,544</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1,135,728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1,290,069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Risk-weighted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9,146,981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9,129,882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8,781,177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Average total assets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11,745,243</w:t>
            </w: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11,403,248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11,713,088</w:t>
            </w:r>
          </w:p>
        </w:tc>
        <w:tc>
          <w:tcPr>
            <w:tcW w:w="2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11,385,716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Stock Price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Avg Daily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Avg Daily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529,613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28.57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25.39</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27.80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25.76</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28.14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365,725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material changes in United’s market risk as of March 31, 2018 from that presented in the Annual Report on Form 10-K for the year ended December 31, 2017. The interest rate sensitivity position at March 31, 2018 is included in management’s discussion and analysis on page 60 of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March 31, 2018.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2017.</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for shares repurchased during the first quarter of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Total Number of</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Shares Purchased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20" w:type="dxa"/>
            <w:vAlign w:val="bottom"/>
          </w:tcPr>
          <w:p>
            <w:pPr>
              <w:spacing w:after="0"/>
              <w:rPr>
                <w:sz w:val="18"/>
                <w:szCs w:val="18"/>
                <w:color w:val="auto"/>
              </w:rPr>
            </w:pPr>
          </w:p>
        </w:tc>
        <w:tc>
          <w:tcPr>
            <w:tcW w:w="21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Value) of Shares that May</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 except for per share</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 Plans</w:t>
            </w:r>
          </w:p>
        </w:tc>
        <w:tc>
          <w:tcPr>
            <w:tcW w:w="20" w:type="dxa"/>
            <w:vAlign w:val="bottom"/>
          </w:tcPr>
          <w:p>
            <w:pPr>
              <w:spacing w:after="0"/>
              <w:rPr>
                <w:sz w:val="18"/>
                <w:szCs w:val="18"/>
                <w:color w:val="auto"/>
              </w:rPr>
            </w:pPr>
          </w:p>
        </w:tc>
        <w:tc>
          <w:tcPr>
            <w:tcW w:w="21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Yet Be Purchased Under</w:t>
            </w: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amounts)</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Programs</w:t>
            </w:r>
          </w:p>
        </w:tc>
        <w:tc>
          <w:tcPr>
            <w:tcW w:w="20" w:type="dxa"/>
            <w:vAlign w:val="bottom"/>
          </w:tcPr>
          <w:p>
            <w:pPr>
              <w:spacing w:after="0"/>
              <w:rPr>
                <w:sz w:val="23"/>
                <w:szCs w:val="23"/>
                <w:color w:val="auto"/>
              </w:rPr>
            </w:pPr>
          </w:p>
        </w:tc>
        <w:tc>
          <w:tcPr>
            <w:tcW w:w="2120" w:type="dxa"/>
            <w:vAlign w:val="bottom"/>
            <w:gridSpan w:val="4"/>
          </w:tcPr>
          <w:p>
            <w:pPr>
              <w:jc w:val="center"/>
              <w:ind w:right="140"/>
              <w:spacing w:after="0" w:line="269" w:lineRule="exact"/>
              <w:rPr>
                <w:sz w:val="20"/>
                <w:szCs w:val="20"/>
                <w:color w:val="auto"/>
              </w:rPr>
            </w:pPr>
            <w:r>
              <w:rPr>
                <w:rFonts w:ascii="Arial" w:cs="Arial" w:eastAsia="Arial" w:hAnsi="Arial"/>
                <w:sz w:val="18"/>
                <w:szCs w:val="18"/>
                <w:b w:val="1"/>
                <w:bCs w:val="1"/>
                <w:color w:val="auto"/>
                <w:w w:val="87"/>
              </w:rPr>
              <w:t xml:space="preserve">the Plans or Programs </w:t>
            </w:r>
            <w:r>
              <w:rPr>
                <w:rFonts w:ascii="Arial" w:cs="Arial" w:eastAsia="Arial" w:hAnsi="Arial"/>
                <w:sz w:val="30"/>
                <w:szCs w:val="30"/>
                <w:b w:val="1"/>
                <w:bCs w:val="1"/>
                <w:color w:val="auto"/>
                <w:w w:val="87"/>
                <w:vertAlign w:val="superscript"/>
              </w:rPr>
              <w:t>(1)</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2018 - January 31, 2018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February 1, 2018 - February 28, 2018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36,342</w:t>
            </w:r>
          </w:p>
        </w:tc>
        <w:tc>
          <w:tcPr>
            <w:tcW w:w="80" w:type="dxa"/>
            <w:vAlign w:val="bottom"/>
          </w:tcPr>
          <w:p>
            <w:pPr>
              <w:spacing w:after="0"/>
              <w:rPr>
                <w:sz w:val="18"/>
                <w:szCs w:val="18"/>
                <w:color w:val="auto"/>
              </w:rPr>
            </w:pPr>
          </w:p>
        </w:tc>
      </w:tr>
      <w:tr>
        <w:trPr>
          <w:trHeight w:val="23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2018 - March 31, 2018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36,342</w:t>
            </w:r>
          </w:p>
        </w:tc>
        <w:tc>
          <w:tcPr>
            <w:tcW w:w="80" w:type="dxa"/>
            <w:vAlign w:val="bottom"/>
            <w:shd w:val="clear" w:color="auto" w:fill="CCEEFF"/>
          </w:tcPr>
          <w:p>
            <w:pPr>
              <w:spacing w:after="0"/>
              <w:rPr>
                <w:sz w:val="19"/>
                <w:szCs w:val="19"/>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42" w:lineRule="auto"/>
        <w:tabs>
          <w:tab w:leader="none" w:pos="242"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On March 22, 2016, United announced that its Board of Directors had authorized a program to repurchase up to $50 million of United’s outstanding common stock through December 31, 2017. In November of 2017, the Board of Directors extended this program through December 31, 2018.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As of March 31, 2018, the remaining authorization was $36.3 million.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4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5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4"/>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540" w:type="dxa"/>
            <w:vAlign w:val="bottom"/>
          </w:tcPr>
          <w:p>
            <w:pPr>
              <w:spacing w:after="0"/>
              <w:rPr>
                <w:sz w:val="24"/>
                <w:szCs w:val="24"/>
                <w:color w:val="auto"/>
              </w:rPr>
            </w:pPr>
          </w:p>
        </w:tc>
        <w:tc>
          <w:tcPr>
            <w:tcW w:w="960" w:type="dxa"/>
            <w:vAlign w:val="bottom"/>
            <w:gridSpan w:val="4"/>
          </w:tcPr>
          <w:p>
            <w:pPr>
              <w:jc w:val="right"/>
              <w:ind w:right="340"/>
              <w:spacing w:after="0"/>
              <w:rPr>
                <w:rFonts w:ascii="Arial" w:cs="Arial" w:eastAsia="Arial" w:hAnsi="Arial"/>
                <w:sz w:val="18"/>
                <w:szCs w:val="18"/>
                <w:color w:val="0000EE"/>
              </w:rPr>
            </w:pPr>
            <w:hyperlink w:anchor="page6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9920" w:type="dxa"/>
            <w:vAlign w:val="bottom"/>
            <w:gridSpan w:val="4"/>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Certification by Jimmy C. Tallent, Chairman and Chief Executive Officer of United Community Banks, Inc., pursuant to Exchange Act</w:t>
              </w:r>
            </w:hyperlink>
          </w:p>
        </w:tc>
      </w:tr>
      <w:tr>
        <w:trPr>
          <w:trHeight w:val="196"/>
        </w:trPr>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Rules 13a-14(a) and 15d-14(a), as adopted pursuant to Section 302 of the Sarbanes-Oxley Act of 2002.</w:t>
              </w:r>
            </w:hyperlink>
          </w:p>
        </w:tc>
      </w:tr>
      <w:tr>
        <w:trPr>
          <w:trHeight w:val="20"/>
        </w:trPr>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960" w:type="dxa"/>
            <w:vAlign w:val="bottom"/>
            <w:gridSpan w:val="4"/>
          </w:tcPr>
          <w:p>
            <w:pPr>
              <w:jc w:val="right"/>
              <w:ind w:right="340"/>
              <w:spacing w:after="0"/>
              <w:rPr>
                <w:rFonts w:ascii="Arial" w:cs="Arial" w:eastAsia="Arial" w:hAnsi="Arial"/>
                <w:sz w:val="18"/>
                <w:szCs w:val="18"/>
                <w:color w:val="0000EE"/>
              </w:rPr>
            </w:pPr>
            <w:hyperlink w:anchor="page7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9920" w:type="dxa"/>
            <w:vAlign w:val="bottom"/>
            <w:gridSpan w:val="4"/>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Certification by Jefferson L. Harralson, Executive Vice President and Chief Financial Officer of United Community Banks, Inc.,</w:t>
              </w:r>
            </w:hyperlink>
          </w:p>
        </w:tc>
      </w:tr>
      <w:tr>
        <w:trPr>
          <w:trHeight w:val="196"/>
        </w:trPr>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pursuant to Exchange Act Rules 13a-14(a) and 15d-14(a), as adopted pursuant to Section 302 of the Sarbanes-Oxley Act of 2002.</w:t>
              </w:r>
            </w:hyperlink>
          </w:p>
        </w:tc>
        <w:tc>
          <w:tcPr>
            <w:tcW w:w="580" w:type="dxa"/>
            <w:vAlign w:val="bottom"/>
            <w:tcBorders>
              <w:top w:val="single" w:sz="8" w:color="0000EE"/>
            </w:tcBorders>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32</w:t>
              </w:r>
            </w:hyperlink>
          </w:p>
        </w:tc>
        <w:tc>
          <w:tcPr>
            <w:tcW w:w="340" w:type="dxa"/>
            <w:vAlign w:val="bottom"/>
          </w:tcPr>
          <w:p>
            <w:pPr>
              <w:spacing w:after="0"/>
              <w:rPr>
                <w:sz w:val="24"/>
                <w:szCs w:val="24"/>
                <w:color w:val="auto"/>
              </w:rPr>
            </w:pPr>
          </w:p>
        </w:tc>
        <w:tc>
          <w:tcPr>
            <w:tcW w:w="9920" w:type="dxa"/>
            <w:vAlign w:val="bottom"/>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2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53"/>
        </w:trPr>
        <w:tc>
          <w:tcPr>
            <w:tcW w:w="54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101.INS</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500" w:type="dxa"/>
            <w:vAlign w:val="bottom"/>
            <w:gridSpan w:val="5"/>
          </w:tcPr>
          <w:p>
            <w:pPr>
              <w:jc w:val="right"/>
              <w:ind w:right="340"/>
              <w:spacing w:after="0"/>
              <w:rPr>
                <w:sz w:val="20"/>
                <w:szCs w:val="20"/>
                <w:color w:val="auto"/>
              </w:rPr>
            </w:pPr>
            <w:r>
              <w:rPr>
                <w:rFonts w:ascii="Arial" w:cs="Arial" w:eastAsia="Arial" w:hAnsi="Arial"/>
                <w:sz w:val="18"/>
                <w:szCs w:val="18"/>
                <w:color w:val="auto"/>
              </w:rPr>
              <w:t>101.SCH</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00" w:type="dxa"/>
            <w:vAlign w:val="bottom"/>
            <w:gridSpan w:val="5"/>
          </w:tcPr>
          <w:p>
            <w:pPr>
              <w:jc w:val="right"/>
              <w:ind w:right="340"/>
              <w:spacing w:after="0"/>
              <w:rPr>
                <w:sz w:val="20"/>
                <w:szCs w:val="20"/>
                <w:color w:val="auto"/>
              </w:rPr>
            </w:pPr>
            <w:r>
              <w:rPr>
                <w:rFonts w:ascii="Arial" w:cs="Arial" w:eastAsia="Arial" w:hAnsi="Arial"/>
                <w:sz w:val="18"/>
                <w:szCs w:val="18"/>
                <w:color w:val="auto"/>
              </w:rPr>
              <w:t>101.CAL</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00" w:type="dxa"/>
            <w:vAlign w:val="bottom"/>
            <w:gridSpan w:val="5"/>
          </w:tcPr>
          <w:p>
            <w:pPr>
              <w:jc w:val="right"/>
              <w:ind w:right="340"/>
              <w:spacing w:after="0"/>
              <w:rPr>
                <w:sz w:val="20"/>
                <w:szCs w:val="20"/>
                <w:color w:val="auto"/>
              </w:rPr>
            </w:pPr>
            <w:r>
              <w:rPr>
                <w:rFonts w:ascii="Arial" w:cs="Arial" w:eastAsia="Arial" w:hAnsi="Arial"/>
                <w:sz w:val="18"/>
                <w:szCs w:val="18"/>
                <w:color w:val="auto"/>
              </w:rPr>
              <w:t>101.DEF</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00" w:type="dxa"/>
            <w:vAlign w:val="bottom"/>
            <w:gridSpan w:val="5"/>
          </w:tcPr>
          <w:p>
            <w:pPr>
              <w:jc w:val="right"/>
              <w:ind w:right="340"/>
              <w:spacing w:after="0"/>
              <w:rPr>
                <w:sz w:val="20"/>
                <w:szCs w:val="20"/>
                <w:color w:val="auto"/>
              </w:rPr>
            </w:pPr>
            <w:r>
              <w:rPr>
                <w:rFonts w:ascii="Arial" w:cs="Arial" w:eastAsia="Arial" w:hAnsi="Arial"/>
                <w:sz w:val="18"/>
                <w:szCs w:val="18"/>
                <w:color w:val="auto"/>
              </w:rPr>
              <w:t>101.LAB</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00" w:type="dxa"/>
            <w:vAlign w:val="bottom"/>
            <w:gridSpan w:val="5"/>
          </w:tcPr>
          <w:p>
            <w:pPr>
              <w:jc w:val="right"/>
              <w:ind w:right="340"/>
              <w:spacing w:after="0"/>
              <w:rPr>
                <w:sz w:val="20"/>
                <w:szCs w:val="20"/>
                <w:color w:val="auto"/>
              </w:rPr>
            </w:pPr>
            <w:r>
              <w:rPr>
                <w:rFonts w:ascii="Arial" w:cs="Arial" w:eastAsia="Arial" w:hAnsi="Arial"/>
                <w:sz w:val="18"/>
                <w:szCs w:val="18"/>
                <w:color w:val="auto"/>
              </w:rPr>
              <w:t>101.PRE</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4100"/>
              <w:spacing w:after="0"/>
              <w:rPr>
                <w:sz w:val="20"/>
                <w:szCs w:val="20"/>
                <w:color w:val="auto"/>
              </w:rPr>
            </w:pPr>
            <w:r>
              <w:rPr>
                <w:rFonts w:ascii="Arial" w:cs="Arial" w:eastAsia="Arial" w:hAnsi="Arial"/>
                <w:sz w:val="18"/>
                <w:szCs w:val="18"/>
                <w:color w:val="auto"/>
              </w:rPr>
              <w:t>64</w:t>
            </w: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Jefferson L. Harralson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Alan H. Kumler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8, 2018</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Jimmy C. Tallent</w:t>
            </w:r>
          </w:p>
        </w:tc>
      </w:tr>
      <w:tr>
        <w:trPr>
          <w:trHeight w:val="195"/>
        </w:trPr>
        <w:tc>
          <w:tcPr>
            <w:tcW w:w="56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Jimmy C. Tallent</w:t>
            </w:r>
          </w:p>
        </w:tc>
      </w:tr>
      <w:tr>
        <w:trPr>
          <w:trHeight w:val="230"/>
        </w:trPr>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Chairman and Chief Executive Officer of the Registrant</w:t>
            </w:r>
          </w:p>
        </w:tc>
      </w:tr>
    </w:tbl>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 May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Jefferson L. Harralson</w:t>
            </w:r>
          </w:p>
        </w:tc>
      </w:tr>
      <w:tr>
        <w:trPr>
          <w:trHeight w:val="195"/>
        </w:trPr>
        <w:tc>
          <w:tcPr>
            <w:tcW w:w="56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Jefferson L. Harralson</w:t>
            </w:r>
          </w:p>
        </w:tc>
      </w:tr>
      <w:tr>
        <w:trPr>
          <w:trHeight w:val="216"/>
        </w:trPr>
        <w:tc>
          <w:tcPr>
            <w:tcW w:w="5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of the Registrant</w:t>
            </w:r>
          </w:p>
        </w:tc>
      </w:tr>
    </w:tbl>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 May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2018 filed with the Securities and Exchange Commission on the date hereof (the “Report”), I, Jimmy C. Tallent, Chairman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Jimmy C. Tallent</w:t>
            </w:r>
          </w:p>
        </w:tc>
      </w:tr>
      <w:tr>
        <w:trPr>
          <w:trHeight w:val="195"/>
        </w:trPr>
        <w:tc>
          <w:tcPr>
            <w:tcW w:w="56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Jimmy C. Tallent</w:t>
            </w:r>
          </w:p>
        </w:tc>
      </w:tr>
      <w:tr>
        <w:trPr>
          <w:trHeight w:val="230"/>
        </w:trPr>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Jefferson L. Harralson</w:t>
            </w:r>
          </w:p>
        </w:tc>
      </w:tr>
      <w:tr>
        <w:trPr>
          <w:trHeight w:val="195"/>
        </w:trPr>
        <w:tc>
          <w:tcPr>
            <w:tcW w:w="56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Jefferson L. Harralson</w:t>
            </w:r>
          </w:p>
        </w:tc>
      </w:tr>
      <w:tr>
        <w:trPr>
          <w:trHeight w:val="230"/>
        </w:trPr>
        <w:tc>
          <w:tcPr>
            <w:tcW w:w="5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 May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2019-12-28T22:36:25Z</dcterms:created>
  <dcterms:modified xsi:type="dcterms:W3CDTF">2019-12-28T22:36:25Z</dcterms:modified>
</cp:coreProperties>
</file>