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May 13, 2026</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COMMUNITY BANKS,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37"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7"/>
          <w:szCs w:val="17"/>
          <w:color w:val="auto"/>
        </w:rPr>
        <w:t>Georgia</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color w:val="auto"/>
        </w:rPr>
        <w:t>001-35095</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58-1807304</w:t>
      </w:r>
    </w:p>
    <w:p>
      <w:pPr>
        <w:spacing w:after="0" w:line="27" w:lineRule="exact"/>
        <w:rPr>
          <w:sz w:val="24"/>
          <w:szCs w:val="24"/>
          <w:color w:val="auto"/>
        </w:rPr>
      </w:pPr>
    </w:p>
    <w:p>
      <w:pPr>
        <w:sectPr>
          <w:pgSz w:w="11900" w:h="16838" w:orient="portrait"/>
          <w:cols w:equalWidth="0" w:num="3">
            <w:col w:w="4480" w:space="720"/>
            <w:col w:w="2960" w:space="720"/>
            <w:col w:w="2360"/>
          </w:cols>
          <w:pgMar w:left="320" w:top="1440" w:right="33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20" w:space="720"/>
            <w:col w:w="2740" w:space="720"/>
            <w:col w:w="3040"/>
          </w:cols>
          <w:pgMar w:left="320" w:top="1440" w:right="339" w:bottom="1440" w:gutter="0" w:footer="0" w:header="0"/>
          <w:type w:val="continuous"/>
        </w:sectPr>
      </w:pP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 East Camperdown Way</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Greenville, South Carolina 29601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(800) 822-2651</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4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600" w:hanging="345"/>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345"/>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345"/>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345"/>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97"/>
        </w:trPr>
        <w:tc>
          <w:tcPr>
            <w:tcW w:w="15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1580" w:type="dxa"/>
            <w:vAlign w:val="bottom"/>
          </w:tcPr>
          <w:p>
            <w:pPr>
              <w:spacing w:after="0"/>
              <w:rPr>
                <w:sz w:val="24"/>
                <w:szCs w:val="24"/>
                <w:color w:val="auto"/>
              </w:rPr>
            </w:pPr>
          </w:p>
        </w:tc>
        <w:tc>
          <w:tcPr>
            <w:tcW w:w="272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5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0"/>
        </w:trPr>
        <w:tc>
          <w:tcPr>
            <w:tcW w:w="45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Common stock, par value $1.00 per share</w:t>
            </w:r>
          </w:p>
        </w:tc>
        <w:tc>
          <w:tcPr>
            <w:tcW w:w="380" w:type="dxa"/>
            <w:vAlign w:val="bottom"/>
          </w:tcPr>
          <w:p>
            <w:pPr>
              <w:spacing w:after="0"/>
              <w:rPr>
                <w:sz w:val="20"/>
                <w:szCs w:val="20"/>
                <w:color w:val="auto"/>
              </w:rPr>
            </w:pPr>
          </w:p>
        </w:tc>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6"/>
                <w:szCs w:val="16"/>
                <w:color w:val="auto"/>
                <w:w w:val="97"/>
              </w:rPr>
              <w:t>UCB</w:t>
            </w: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3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2026 annual meeting of shareholders of United Community Banks, Inc., a Georgia corporation (the “Company”), was held on May 13, 2026 (the “Annual Meeting”). As of March 16, 2026, the record date of the Annual Meeting, 119,684,031 shares of the Company’s common stock were outstanding and entitled to vote at the Annual Meeting. A total of 106,268,386 shares of United Community’s common stock, constituting a quorum, were represented in person or by proxy at the Annual Meeting.</w:t>
      </w:r>
    </w:p>
    <w:p>
      <w:pPr>
        <w:spacing w:after="0" w:line="2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shareholders voted on three proposals at the Annual Meeting. The final results of the votes, including the votes cast for, against or withheld, as well as the number of abstentions and broker non-votes, relating to each matter are as follows:</w:t>
      </w:r>
    </w:p>
    <w:p>
      <w:pPr>
        <w:spacing w:after="0" w:line="18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Each director nominee was elected to serve until the 2027 annual meeting of shareholders and until their successors are elected and qualified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following tabulation:</w:t>
      </w:r>
    </w:p>
    <w:p>
      <w:pPr>
        <w:spacing w:after="0" w:line="253"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6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Withheld</w:t>
            </w:r>
          </w:p>
        </w:tc>
      </w:tr>
      <w:tr>
        <w:trPr>
          <w:trHeight w:val="34"/>
        </w:trPr>
        <w:tc>
          <w:tcPr>
            <w:tcW w:w="4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Jennifer M. Bazante</w:t>
            </w:r>
          </w:p>
        </w:tc>
        <w:tc>
          <w:tcPr>
            <w:tcW w:w="164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95,302,576</w:t>
            </w:r>
          </w:p>
        </w:tc>
        <w:tc>
          <w:tcPr>
            <w:tcW w:w="320" w:type="dxa"/>
            <w:vAlign w:val="bottom"/>
            <w:shd w:val="clear" w:color="auto" w:fill="CCEEFF"/>
          </w:tcPr>
          <w:p>
            <w:pPr>
              <w:spacing w:after="0"/>
              <w:rPr>
                <w:sz w:val="19"/>
                <w:szCs w:val="19"/>
                <w:color w:val="auto"/>
              </w:rPr>
            </w:pPr>
          </w:p>
        </w:tc>
        <w:tc>
          <w:tcPr>
            <w:tcW w:w="1660" w:type="dxa"/>
            <w:vAlign w:val="bottom"/>
            <w:tcBorders>
              <w:bottom w:val="single" w:sz="8" w:color="auto"/>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2,550,021</w:t>
            </w:r>
          </w:p>
        </w:tc>
      </w:tr>
      <w:tr>
        <w:trPr>
          <w:trHeight w:val="22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George B. Bell</w:t>
            </w:r>
          </w:p>
        </w:tc>
        <w:tc>
          <w:tcPr>
            <w:tcW w:w="1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97,450,714</w:t>
            </w:r>
          </w:p>
        </w:tc>
        <w:tc>
          <w:tcPr>
            <w:tcW w:w="3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9"/>
              </w:rPr>
              <w:t>401,883</w:t>
            </w:r>
          </w:p>
        </w:tc>
        <w:tc>
          <w:tcPr>
            <w:tcW w:w="480" w:type="dxa"/>
            <w:vAlign w:val="bottom"/>
            <w:tcBorders>
              <w:bottom w:val="single" w:sz="8" w:color="auto"/>
            </w:tcBorders>
          </w:tcPr>
          <w:p>
            <w:pPr>
              <w:spacing w:after="0"/>
              <w:rPr>
                <w:sz w:val="19"/>
                <w:szCs w:val="19"/>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P. Clements</w:t>
            </w:r>
          </w:p>
        </w:tc>
        <w:tc>
          <w:tcPr>
            <w:tcW w:w="164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95,239,490</w:t>
            </w:r>
          </w:p>
        </w:tc>
        <w:tc>
          <w:tcPr>
            <w:tcW w:w="320" w:type="dxa"/>
            <w:vAlign w:val="bottom"/>
            <w:shd w:val="clear" w:color="auto" w:fill="CCEEFF"/>
          </w:tcPr>
          <w:p>
            <w:pPr>
              <w:spacing w:after="0"/>
              <w:rPr>
                <w:sz w:val="19"/>
                <w:szCs w:val="19"/>
                <w:color w:val="auto"/>
              </w:rPr>
            </w:pPr>
          </w:p>
        </w:tc>
        <w:tc>
          <w:tcPr>
            <w:tcW w:w="1660" w:type="dxa"/>
            <w:vAlign w:val="bottom"/>
            <w:tcBorders>
              <w:bottom w:val="single" w:sz="8" w:color="auto"/>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2,613,107</w:t>
            </w:r>
          </w:p>
        </w:tc>
      </w:tr>
      <w:tr>
        <w:trPr>
          <w:trHeight w:val="22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Kenneth L. Daniels</w:t>
            </w:r>
          </w:p>
        </w:tc>
        <w:tc>
          <w:tcPr>
            <w:tcW w:w="1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97,067,786</w:t>
            </w:r>
          </w:p>
        </w:tc>
        <w:tc>
          <w:tcPr>
            <w:tcW w:w="3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9"/>
              </w:rPr>
              <w:t>784,811</w:t>
            </w:r>
          </w:p>
        </w:tc>
        <w:tc>
          <w:tcPr>
            <w:tcW w:w="480" w:type="dxa"/>
            <w:vAlign w:val="bottom"/>
            <w:tcBorders>
              <w:bottom w:val="single" w:sz="8" w:color="auto"/>
            </w:tcBorders>
          </w:tcPr>
          <w:p>
            <w:pPr>
              <w:spacing w:after="0"/>
              <w:rPr>
                <w:sz w:val="19"/>
                <w:szCs w:val="19"/>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Sally Pope Davis</w:t>
            </w:r>
          </w:p>
        </w:tc>
        <w:tc>
          <w:tcPr>
            <w:tcW w:w="164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95,417,134</w:t>
            </w:r>
          </w:p>
        </w:tc>
        <w:tc>
          <w:tcPr>
            <w:tcW w:w="320" w:type="dxa"/>
            <w:vAlign w:val="bottom"/>
            <w:shd w:val="clear" w:color="auto" w:fill="CCEEFF"/>
          </w:tcPr>
          <w:p>
            <w:pPr>
              <w:spacing w:after="0"/>
              <w:rPr>
                <w:sz w:val="19"/>
                <w:szCs w:val="19"/>
                <w:color w:val="auto"/>
              </w:rPr>
            </w:pPr>
          </w:p>
        </w:tc>
        <w:tc>
          <w:tcPr>
            <w:tcW w:w="1660" w:type="dxa"/>
            <w:vAlign w:val="bottom"/>
            <w:tcBorders>
              <w:bottom w:val="single" w:sz="8" w:color="auto"/>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2,435,463</w:t>
            </w:r>
          </w:p>
        </w:tc>
      </w:tr>
      <w:tr>
        <w:trPr>
          <w:trHeight w:val="22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Lance F. Drummond</w:t>
            </w:r>
          </w:p>
        </w:tc>
        <w:tc>
          <w:tcPr>
            <w:tcW w:w="1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91,777,730</w:t>
            </w:r>
          </w:p>
        </w:tc>
        <w:tc>
          <w:tcPr>
            <w:tcW w:w="3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6,074,867</w:t>
            </w: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 Lynn Harton</w:t>
            </w:r>
          </w:p>
        </w:tc>
        <w:tc>
          <w:tcPr>
            <w:tcW w:w="164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95,308,066</w:t>
            </w:r>
          </w:p>
        </w:tc>
        <w:tc>
          <w:tcPr>
            <w:tcW w:w="320" w:type="dxa"/>
            <w:vAlign w:val="bottom"/>
            <w:shd w:val="clear" w:color="auto" w:fill="CCEEFF"/>
          </w:tcPr>
          <w:p>
            <w:pPr>
              <w:spacing w:after="0"/>
              <w:rPr>
                <w:sz w:val="19"/>
                <w:szCs w:val="19"/>
                <w:color w:val="auto"/>
              </w:rPr>
            </w:pPr>
          </w:p>
        </w:tc>
        <w:tc>
          <w:tcPr>
            <w:tcW w:w="1660" w:type="dxa"/>
            <w:vAlign w:val="bottom"/>
            <w:tcBorders>
              <w:bottom w:val="single" w:sz="8" w:color="auto"/>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2,544,531</w:t>
            </w:r>
          </w:p>
        </w:tc>
      </w:tr>
      <w:tr>
        <w:trPr>
          <w:trHeight w:val="22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John M. James</w:t>
            </w:r>
          </w:p>
        </w:tc>
        <w:tc>
          <w:tcPr>
            <w:tcW w:w="1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97,410,559</w:t>
            </w:r>
          </w:p>
        </w:tc>
        <w:tc>
          <w:tcPr>
            <w:tcW w:w="3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9"/>
              </w:rPr>
              <w:t>442,038</w:t>
            </w:r>
          </w:p>
        </w:tc>
        <w:tc>
          <w:tcPr>
            <w:tcW w:w="480" w:type="dxa"/>
            <w:vAlign w:val="bottom"/>
            <w:tcBorders>
              <w:bottom w:val="single" w:sz="8" w:color="auto"/>
            </w:tcBorders>
          </w:tcPr>
          <w:p>
            <w:pPr>
              <w:spacing w:after="0"/>
              <w:rPr>
                <w:sz w:val="19"/>
                <w:szCs w:val="19"/>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Jennifer K. Mann</w:t>
            </w:r>
          </w:p>
        </w:tc>
        <w:tc>
          <w:tcPr>
            <w:tcW w:w="164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96,837,619</w:t>
            </w:r>
          </w:p>
        </w:tc>
        <w:tc>
          <w:tcPr>
            <w:tcW w:w="320" w:type="dxa"/>
            <w:vAlign w:val="bottom"/>
            <w:shd w:val="clear" w:color="auto" w:fill="CCEEFF"/>
          </w:tcPr>
          <w:p>
            <w:pPr>
              <w:spacing w:after="0"/>
              <w:rPr>
                <w:sz w:val="19"/>
                <w:szCs w:val="19"/>
                <w:color w:val="auto"/>
              </w:rPr>
            </w:pPr>
          </w:p>
        </w:tc>
        <w:tc>
          <w:tcPr>
            <w:tcW w:w="1660" w:type="dxa"/>
            <w:vAlign w:val="bottom"/>
            <w:tcBorders>
              <w:bottom w:val="single" w:sz="8" w:color="auto"/>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1,014,978</w:t>
            </w:r>
          </w:p>
        </w:tc>
      </w:tr>
      <w:tr>
        <w:trPr>
          <w:trHeight w:val="22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Thomas A. Richlovsky</w:t>
            </w:r>
          </w:p>
        </w:tc>
        <w:tc>
          <w:tcPr>
            <w:tcW w:w="1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93,926,826</w:t>
            </w:r>
          </w:p>
        </w:tc>
        <w:tc>
          <w:tcPr>
            <w:tcW w:w="3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3,925,771</w:t>
            </w: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 R. Wallis</w:t>
            </w:r>
          </w:p>
        </w:tc>
        <w:tc>
          <w:tcPr>
            <w:tcW w:w="164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95,820,522</w:t>
            </w:r>
          </w:p>
        </w:tc>
        <w:tc>
          <w:tcPr>
            <w:tcW w:w="320" w:type="dxa"/>
            <w:vAlign w:val="bottom"/>
            <w:shd w:val="clear" w:color="auto" w:fill="CCEEFF"/>
          </w:tcPr>
          <w:p>
            <w:pPr>
              <w:spacing w:after="0"/>
              <w:rPr>
                <w:sz w:val="19"/>
                <w:szCs w:val="19"/>
                <w:color w:val="auto"/>
              </w:rPr>
            </w:pPr>
          </w:p>
        </w:tc>
        <w:tc>
          <w:tcPr>
            <w:tcW w:w="1660" w:type="dxa"/>
            <w:vAlign w:val="bottom"/>
            <w:tcBorders>
              <w:bottom w:val="single" w:sz="8" w:color="auto"/>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2,032,075</w:t>
            </w: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H. Wilkins</w:t>
            </w:r>
          </w:p>
        </w:tc>
        <w:tc>
          <w:tcPr>
            <w:tcW w:w="1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90,022,278</w:t>
            </w:r>
          </w:p>
        </w:tc>
        <w:tc>
          <w:tcPr>
            <w:tcW w:w="320" w:type="dxa"/>
            <w:vAlign w:val="bottom"/>
          </w:tcPr>
          <w:p>
            <w:pPr>
              <w:spacing w:after="0"/>
              <w:rPr>
                <w:sz w:val="19"/>
                <w:szCs w:val="19"/>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7,830,319</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8,415,789 broker non-votes for each director on this proposal.</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The non-binding, advisory vote on the compensation of the Company’s Named Executive Officers was approved by the following tabulation: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00" w:type="dxa"/>
            <w:vAlign w:val="bottom"/>
          </w:tcPr>
          <w:p>
            <w:pPr>
              <w:spacing w:after="0"/>
              <w:rPr>
                <w:sz w:val="19"/>
                <w:szCs w:val="19"/>
                <w:color w:val="auto"/>
              </w:rPr>
            </w:pPr>
          </w:p>
        </w:tc>
        <w:tc>
          <w:tcPr>
            <w:tcW w:w="162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60" w:type="dxa"/>
            <w:vAlign w:val="bottom"/>
          </w:tcPr>
          <w:p>
            <w:pPr>
              <w:spacing w:after="0"/>
              <w:rPr>
                <w:sz w:val="19"/>
                <w:szCs w:val="19"/>
                <w:color w:val="auto"/>
              </w:rPr>
            </w:pPr>
          </w:p>
        </w:tc>
        <w:tc>
          <w:tcPr>
            <w:tcW w:w="178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20" w:type="dxa"/>
            <w:vAlign w:val="bottom"/>
            <w:gridSpan w:val="4"/>
          </w:tcPr>
          <w:p>
            <w:pPr>
              <w:ind w:left="10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660" w:type="dxa"/>
            <w:vAlign w:val="bottom"/>
          </w:tcPr>
          <w:p>
            <w:pPr>
              <w:spacing w:after="0"/>
              <w:rPr>
                <w:sz w:val="19"/>
                <w:szCs w:val="19"/>
                <w:color w:val="auto"/>
              </w:rPr>
            </w:pPr>
          </w:p>
        </w:tc>
        <w:tc>
          <w:tcPr>
            <w:tcW w:w="204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12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64"/>
        </w:trPr>
        <w:tc>
          <w:tcPr>
            <w:tcW w:w="2680" w:type="dxa"/>
            <w:vAlign w:val="bottom"/>
            <w:tcBorders>
              <w:bottom w:val="single" w:sz="8" w:color="auto"/>
            </w:tcBorders>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93,772,437</w:t>
            </w:r>
          </w:p>
        </w:tc>
        <w:tc>
          <w:tcPr>
            <w:tcW w:w="140" w:type="dxa"/>
            <w:vAlign w:val="bottom"/>
            <w:shd w:val="clear" w:color="auto" w:fill="CCEEFF"/>
          </w:tcPr>
          <w:p>
            <w:pPr>
              <w:spacing w:after="0"/>
              <w:rPr>
                <w:sz w:val="22"/>
                <w:szCs w:val="22"/>
                <w:color w:val="auto"/>
              </w:rPr>
            </w:pPr>
          </w:p>
        </w:tc>
        <w:tc>
          <w:tcPr>
            <w:tcW w:w="2700" w:type="dxa"/>
            <w:vAlign w:val="bottom"/>
            <w:tcBorders>
              <w:bottom w:val="single" w:sz="8" w:color="auto"/>
            </w:tcBorders>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3,966,076</w:t>
            </w:r>
          </w:p>
        </w:tc>
        <w:tc>
          <w:tcPr>
            <w:tcW w:w="140" w:type="dxa"/>
            <w:vAlign w:val="bottom"/>
            <w:shd w:val="clear" w:color="auto" w:fill="CCEEFF"/>
          </w:tcPr>
          <w:p>
            <w:pPr>
              <w:spacing w:after="0"/>
              <w:rPr>
                <w:sz w:val="22"/>
                <w:szCs w:val="22"/>
                <w:color w:val="auto"/>
              </w:rPr>
            </w:pPr>
          </w:p>
        </w:tc>
        <w:tc>
          <w:tcPr>
            <w:tcW w:w="1640" w:type="dxa"/>
            <w:vAlign w:val="bottom"/>
            <w:tcBorders>
              <w:bottom w:val="single" w:sz="8" w:color="auto"/>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95"/>
              </w:rPr>
              <w:t>114,084</w:t>
            </w:r>
          </w:p>
        </w:tc>
        <w:tc>
          <w:tcPr>
            <w:tcW w:w="10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40" w:type="dxa"/>
            <w:vAlign w:val="bottom"/>
            <w:tcBorders>
              <w:bottom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8,415,789</w:t>
            </w:r>
          </w:p>
        </w:tc>
        <w:tc>
          <w:tcPr>
            <w:tcW w:w="660" w:type="dxa"/>
            <w:vAlign w:val="bottom"/>
            <w:tcBorders>
              <w:bottom w:val="single" w:sz="8" w:color="auto"/>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345"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The ratification of the appointment of PricewaterhouseCoopers LLP as the independent registered public accounting firm for the Company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year ending December 31, 2026 was approved by the following tabulation: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4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40" w:type="dxa"/>
            <w:vAlign w:val="bottom"/>
          </w:tcPr>
          <w:p>
            <w:pPr>
              <w:spacing w:after="0"/>
              <w:rPr>
                <w:sz w:val="19"/>
                <w:szCs w:val="19"/>
                <w:color w:val="auto"/>
              </w:rPr>
            </w:pPr>
          </w:p>
        </w:tc>
        <w:tc>
          <w:tcPr>
            <w:tcW w:w="180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412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0"/>
        </w:trPr>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64"/>
        </w:trPr>
        <w:tc>
          <w:tcPr>
            <w:tcW w:w="1460" w:type="dxa"/>
            <w:vAlign w:val="bottom"/>
          </w:tcPr>
          <w:p>
            <w:pPr>
              <w:spacing w:after="0"/>
              <w:rPr>
                <w:sz w:val="22"/>
                <w:szCs w:val="22"/>
                <w:color w:val="auto"/>
              </w:rPr>
            </w:pPr>
          </w:p>
        </w:tc>
        <w:tc>
          <w:tcPr>
            <w:tcW w:w="2680" w:type="dxa"/>
            <w:vAlign w:val="bottom"/>
            <w:tcBorders>
              <w:bottom w:val="single" w:sz="8" w:color="auto"/>
            </w:tcBorders>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104,796,700</w:t>
            </w:r>
          </w:p>
        </w:tc>
        <w:tc>
          <w:tcPr>
            <w:tcW w:w="140" w:type="dxa"/>
            <w:vAlign w:val="bottom"/>
            <w:shd w:val="clear" w:color="auto" w:fill="CCEEFF"/>
          </w:tcPr>
          <w:p>
            <w:pPr>
              <w:spacing w:after="0"/>
              <w:rPr>
                <w:sz w:val="22"/>
                <w:szCs w:val="22"/>
                <w:color w:val="auto"/>
              </w:rPr>
            </w:pPr>
          </w:p>
        </w:tc>
        <w:tc>
          <w:tcPr>
            <w:tcW w:w="2700" w:type="dxa"/>
            <w:vAlign w:val="bottom"/>
            <w:tcBorders>
              <w:bottom w:val="single" w:sz="8" w:color="auto"/>
            </w:tcBorders>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1,376,095</w:t>
            </w:r>
          </w:p>
        </w:tc>
        <w:tc>
          <w:tcPr>
            <w:tcW w:w="140" w:type="dxa"/>
            <w:vAlign w:val="bottom"/>
            <w:shd w:val="clear" w:color="auto" w:fill="CCEEFF"/>
          </w:tcPr>
          <w:p>
            <w:pPr>
              <w:spacing w:after="0"/>
              <w:rPr>
                <w:sz w:val="22"/>
                <w:szCs w:val="22"/>
                <w:color w:val="auto"/>
              </w:rPr>
            </w:pPr>
          </w:p>
        </w:tc>
        <w:tc>
          <w:tcPr>
            <w:tcW w:w="16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95,591</w:t>
            </w:r>
          </w:p>
        </w:tc>
        <w:tc>
          <w:tcPr>
            <w:tcW w:w="1040" w:type="dxa"/>
            <w:vAlign w:val="bottom"/>
            <w:tcBorders>
              <w:bottom w:val="single" w:sz="8" w:color="auto"/>
            </w:tcBorders>
            <w:shd w:val="clear" w:color="auto" w:fill="CCEEFF"/>
          </w:tcPr>
          <w:p>
            <w:pPr>
              <w:spacing w:after="0"/>
              <w:rPr>
                <w:sz w:val="22"/>
                <w:szCs w:val="22"/>
                <w:color w:val="auto"/>
              </w:rPr>
            </w:pPr>
          </w:p>
        </w:tc>
        <w:tc>
          <w:tcPr>
            <w:tcW w:w="1440" w:type="dxa"/>
            <w:vAlign w:val="bottom"/>
          </w:tcPr>
          <w:p>
            <w:pPr>
              <w:spacing w:after="0"/>
              <w:rPr>
                <w:sz w:val="22"/>
                <w:szCs w:val="22"/>
                <w:color w:val="auto"/>
              </w:rPr>
            </w:pPr>
          </w:p>
        </w:tc>
      </w:tr>
      <w:tr>
        <w:trPr>
          <w:trHeight w:val="1222"/>
        </w:trPr>
        <w:tc>
          <w:tcPr>
            <w:tcW w:w="14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9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00" w:lineRule="exact"/>
        <w:rPr>
          <w:sz w:val="20"/>
          <w:szCs w:val="20"/>
          <w:color w:val="auto"/>
        </w:rPr>
      </w:pPr>
    </w:p>
    <w:p>
      <w:pPr>
        <w:spacing w:after="0" w:line="282" w:lineRule="exact"/>
        <w:rPr>
          <w:sz w:val="20"/>
          <w:szCs w:val="20"/>
          <w:color w:val="auto"/>
        </w:rPr>
      </w:pPr>
    </w:p>
    <w:p>
      <w:pPr>
        <w:ind w:left="3540"/>
        <w:spacing w:after="0"/>
        <w:tabs>
          <w:tab w:leader="none" w:pos="4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Melinda Davis Lux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19685</wp:posOffset>
            </wp:positionV>
            <wp:extent cx="4448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pacing w:after="0" w:line="20" w:lineRule="exact"/>
        <w:rPr>
          <w:sz w:val="20"/>
          <w:szCs w:val="20"/>
          <w:color w:val="auto"/>
        </w:rPr>
      </w:pPr>
    </w:p>
    <w:p>
      <w:pPr>
        <w:ind w:left="3540"/>
        <w:spacing w:after="0"/>
        <w:tabs>
          <w:tab w:leader="none" w:pos="4240" w:val="left"/>
        </w:tabs>
        <w:rPr>
          <w:sz w:val="20"/>
          <w:szCs w:val="20"/>
          <w:color w:val="auto"/>
        </w:rPr>
      </w:pPr>
      <w:r>
        <w:rPr>
          <w:rFonts w:ascii="Times New Roman" w:cs="Times New Roman" w:eastAsia="Times New Roman" w:hAnsi="Times New Roman"/>
          <w:sz w:val="18"/>
          <w:szCs w:val="18"/>
          <w:color w:val="auto"/>
        </w:rPr>
        <w:t>Name:</w:t>
        <w:tab/>
        <w:t>Melinda Davis Lux</w:t>
      </w:r>
    </w:p>
    <w:p>
      <w:pPr>
        <w:spacing w:after="0" w:line="1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Executive Vice President, Chief Administrative Officer, General Counsel, and Corporate</w:t>
      </w:r>
    </w:p>
    <w:p>
      <w:pPr>
        <w:ind w:left="3540"/>
        <w:spacing w:after="0"/>
        <w:tabs>
          <w:tab w:leader="none" w:pos="42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15,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2026-05-15T09:35:31Z</dcterms:created>
  <dcterms:modified xsi:type="dcterms:W3CDTF">2026-05-15T09:35:31Z</dcterms:modified>
</cp:coreProperties>
</file>