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60" w:hanging="381"/>
        <w:spacing w:after="0"/>
        <w:tabs>
          <w:tab w:leader="none" w:pos="3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8"/>
        <w:spacing w:after="0"/>
        <w:tabs>
          <w:tab w:leader="none" w:pos="3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1316990</wp:posOffset>
            </wp:positionH>
            <wp:positionV relativeFrom="paragraph">
              <wp:posOffset>24130</wp:posOffset>
            </wp:positionV>
            <wp:extent cx="46310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5460" w:type="dxa"/>
            <w:vAlign w:val="bottom"/>
            <w:gridSpan w:val="4"/>
          </w:tcPr>
          <w:p>
            <w:pPr>
              <w:jc w:val="right"/>
              <w:ind w:right="129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3660" w:type="dxa"/>
            <w:vAlign w:val="bottom"/>
          </w:tcPr>
          <w:p>
            <w:pPr>
              <w:ind w:left="1020"/>
              <w:spacing w:after="0"/>
              <w:rPr>
                <w:sz w:val="20"/>
                <w:szCs w:val="20"/>
                <w:color w:val="auto"/>
              </w:rPr>
            </w:pPr>
            <w:r>
              <w:rPr>
                <w:rFonts w:ascii="Arial" w:cs="Arial" w:eastAsia="Arial" w:hAnsi="Arial"/>
                <w:sz w:val="18"/>
                <w:szCs w:val="18"/>
                <w:b w:val="1"/>
                <w:bCs w:val="1"/>
                <w:color w:val="auto"/>
              </w:rPr>
              <w:t>125 Highway 515 East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5460" w:type="dxa"/>
            <w:vAlign w:val="bottom"/>
            <w:gridSpan w:val="4"/>
          </w:tcPr>
          <w:p>
            <w:pPr>
              <w:jc w:val="right"/>
              <w:ind w:right="1510"/>
              <w:spacing w:after="0"/>
              <w:rPr>
                <w:sz w:val="20"/>
                <w:szCs w:val="20"/>
                <w:color w:val="auto"/>
              </w:rPr>
            </w:pPr>
            <w:r>
              <w:rPr>
                <w:rFonts w:ascii="Arial" w:cs="Arial" w:eastAsia="Arial" w:hAnsi="Arial"/>
                <w:sz w:val="18"/>
                <w:szCs w:val="18"/>
                <w:b w:val="1"/>
                <w:bCs w:val="1"/>
                <w:color w:val="auto"/>
              </w:rPr>
              <w:t>30512</w:t>
            </w:r>
          </w:p>
        </w:tc>
      </w:tr>
      <w:tr>
        <w:trPr>
          <w:trHeight w:val="198"/>
        </w:trPr>
        <w:tc>
          <w:tcPr>
            <w:tcW w:w="36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(706) 781-2265</w:t>
            </w: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0" w:type="dxa"/>
            <w:vAlign w:val="bottom"/>
            <w:gridSpan w:val="2"/>
          </w:tcPr>
          <w:p>
            <w:pPr>
              <w:spacing w:after="0"/>
              <w:rPr>
                <w:sz w:val="2"/>
                <w:szCs w:val="2"/>
                <w:color w:val="auto"/>
              </w:rPr>
            </w:pPr>
          </w:p>
        </w:tc>
      </w:tr>
      <w:tr>
        <w:trPr>
          <w:trHeight w:val="234"/>
        </w:trPr>
        <w:tc>
          <w:tcPr>
            <w:tcW w:w="3660" w:type="dxa"/>
            <w:vAlign w:val="bottom"/>
          </w:tcPr>
          <w:p>
            <w:pPr>
              <w:spacing w:after="0"/>
              <w:rPr>
                <w:sz w:val="20"/>
                <w:szCs w:val="20"/>
                <w:color w:val="auto"/>
              </w:rPr>
            </w:pPr>
          </w:p>
        </w:tc>
        <w:tc>
          <w:tcPr>
            <w:tcW w:w="5460" w:type="dxa"/>
            <w:vAlign w:val="bottom"/>
            <w:gridSpan w:val="4"/>
          </w:tcPr>
          <w:p>
            <w:pPr>
              <w:jc w:val="center"/>
              <w:ind w:right="359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067" w:right="239" w:bottom="1440" w:gutter="0" w:footer="0" w:header="0"/>
        </w:sectPr>
      </w:pPr>
    </w:p>
    <w:p>
      <w:pPr>
        <w:spacing w:after="0" w:line="11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1067"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280" w:space="720"/>
            <w:col w:w="2420"/>
          </w:cols>
          <w:pgMar w:left="240" w:top="1067"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ectPr>
          <w:pgSz w:w="11900" w:h="16838" w:orient="portrait"/>
          <w:cols w:equalWidth="0" w:num="1">
            <w:col w:w="11420"/>
          </w:cols>
          <w:pgMar w:left="240" w:top="1067" w:right="239" w:bottom="1440" w:gutter="0" w:footer="0" w:header="0"/>
          <w:type w:val="continuous"/>
        </w:sectPr>
      </w:pPr>
    </w:p>
    <w:p>
      <w:pPr>
        <w:spacing w:after="0" w:line="220" w:lineRule="exact"/>
        <w:rPr>
          <w:sz w:val="24"/>
          <w:szCs w:val="24"/>
          <w:color w:val="auto"/>
        </w:rPr>
      </w:pPr>
    </w:p>
    <w:p>
      <w:pPr>
        <w:ind w:left="5120"/>
        <w:spacing w:after="0" w:line="196" w:lineRule="exact"/>
        <w:rPr>
          <w:sz w:val="20"/>
          <w:szCs w:val="20"/>
          <w:color w:val="auto"/>
        </w:rPr>
      </w:pPr>
      <w:r>
        <w:rPr>
          <w:rFonts w:ascii="Arial" w:cs="Arial" w:eastAsia="Arial" w:hAnsi="Arial"/>
          <w:sz w:val="17"/>
          <w:szCs w:val="17"/>
          <w:b w:val="1"/>
          <w:bCs w:val="1"/>
          <w:color w:val="auto"/>
        </w:rPr>
        <w:t xml:space="preserve">YES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96" w:lineRule="exact"/>
        <w:rPr>
          <w:sz w:val="20"/>
          <w:szCs w:val="20"/>
          <w:color w:val="auto"/>
        </w:rPr>
      </w:pP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highlight w:val="black"/>
        </w:rPr>
        <w:t>☒</w:t>
      </w:r>
    </w:p>
    <w:p>
      <w:pPr>
        <w:spacing w:after="0" w:line="200" w:lineRule="exact"/>
        <w:rPr>
          <w:sz w:val="24"/>
          <w:szCs w:val="24"/>
          <w:color w:val="auto"/>
        </w:rPr>
      </w:pPr>
    </w:p>
    <w:p>
      <w:pPr>
        <w:sectPr>
          <w:pgSz w:w="11900" w:h="16838" w:orient="portrait"/>
          <w:cols w:equalWidth="0" w:num="2">
            <w:col w:w="5680" w:space="140"/>
            <w:col w:w="5600"/>
          </w:cols>
          <w:pgMar w:left="240" w:top="1067" w:right="2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70,305,168 shares voting and 1,258,792 shares non-voting outstanding as of May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2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900" w:type="dxa"/>
            <w:vAlign w:val="bottom"/>
            <w:gridSpan w:val="13"/>
          </w:tcPr>
          <w:p>
            <w:pPr>
              <w:spacing w:after="0"/>
              <w:rPr>
                <w:sz w:val="20"/>
                <w:szCs w:val="20"/>
                <w:color w:val="auto"/>
              </w:rPr>
            </w:pPr>
            <w:r>
              <w:rPr>
                <w:rFonts w:ascii="Arial" w:cs="Arial" w:eastAsia="Arial" w:hAnsi="Arial"/>
                <w:sz w:val="18"/>
                <w:szCs w:val="18"/>
                <w:b w:val="1"/>
                <w:bCs w:val="1"/>
                <w:color w:val="auto"/>
              </w:rPr>
              <w:t>Financial Statements.</w:t>
            </w:r>
          </w:p>
        </w:tc>
        <w:tc>
          <w:tcPr>
            <w:tcW w:w="44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Statement of Income (unaudited) for the Three Months Ended March 31, 2016 and 2015</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Consolidated Statement of Comprehensive Income (unaudited) for the Three Months Ended March 31, 2016 and</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84"/>
              </w:rPr>
            </w:pPr>
            <w:hyperlink w:anchor="page4">
              <w:r>
                <w:rPr>
                  <w:rFonts w:ascii="Arial" w:cs="Arial" w:eastAsia="Arial" w:hAnsi="Arial"/>
                  <w:sz w:val="18"/>
                  <w:szCs w:val="18"/>
                  <w:b w:val="1"/>
                  <w:bCs w:val="1"/>
                  <w:color w:val="0000EE"/>
                  <w:w w:val="84"/>
                </w:rPr>
                <w:t>2015</w:t>
              </w:r>
            </w:hyperlink>
          </w:p>
        </w:tc>
        <w:tc>
          <w:tcPr>
            <w:tcW w:w="7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Balance Sheet (unaudited) at March 31, 2016 and December 31, 2015</w:t>
              </w:r>
            </w:hyperlink>
          </w:p>
        </w:tc>
        <w:tc>
          <w:tcPr>
            <w:tcW w:w="256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900" w:type="dxa"/>
            <w:vAlign w:val="bottom"/>
            <w:gridSpan w:val="13"/>
          </w:tcPr>
          <w:p>
            <w:pPr>
              <w:spacing w:after="0"/>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Consolidated Statement of Changes in Shareholders’ Equity (unaudited) for the Three Months Ended March 31,</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98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2016 and 2015</w:t>
              </w:r>
            </w:hyperlink>
          </w:p>
        </w:tc>
        <w:tc>
          <w:tcPr>
            <w:tcW w:w="2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2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 of Cash Flows (unaudited) for the Three Months Ended March 31, 2016 and 2015</w:t>
              </w:r>
            </w:hyperlink>
          </w:p>
        </w:tc>
        <w:tc>
          <w:tcPr>
            <w:tcW w:w="7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Notes to Consolidated Financial Statements</w:t>
              </w:r>
            </w:hyperlink>
          </w:p>
        </w:tc>
        <w:tc>
          <w:tcPr>
            <w:tcW w:w="556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040" w:type="dxa"/>
            <w:vAlign w:val="bottom"/>
            <w:gridSpan w:val="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w:t>
              </w:r>
            </w:hyperlink>
          </w:p>
        </w:tc>
        <w:tc>
          <w:tcPr>
            <w:tcW w:w="8900" w:type="dxa"/>
            <w:vAlign w:val="bottom"/>
            <w:gridSpan w:val="1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Item 3.</w:t>
              </w:r>
            </w:hyperlink>
          </w:p>
        </w:tc>
        <w:tc>
          <w:tcPr>
            <w:tcW w:w="8900" w:type="dxa"/>
            <w:vAlign w:val="bottom"/>
            <w:gridSpan w:val="13"/>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4.</w:t>
              </w:r>
            </w:hyperlink>
          </w:p>
        </w:tc>
        <w:tc>
          <w:tcPr>
            <w:tcW w:w="8900" w:type="dxa"/>
            <w:vAlign w:val="bottom"/>
            <w:gridSpan w:val="13"/>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 -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1040" w:type="dxa"/>
            <w:vAlign w:val="bottom"/>
            <w:gridSpan w:val="3"/>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1.</w:t>
              </w:r>
            </w:hyperlink>
          </w:p>
        </w:tc>
        <w:tc>
          <w:tcPr>
            <w:tcW w:w="6880" w:type="dxa"/>
            <w:vAlign w:val="bottom"/>
            <w:gridSpan w:val="8"/>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Legal Proceedings.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59">
              <w:r>
                <w:rPr>
                  <w:rFonts w:ascii="Arial" w:cs="Arial" w:eastAsia="Arial" w:hAnsi="Arial"/>
                  <w:sz w:val="18"/>
                  <w:szCs w:val="18"/>
                  <w:b w:val="1"/>
                  <w:bCs w:val="1"/>
                  <w:color w:val="0000EE"/>
                  <w:w w:val="94"/>
                </w:rPr>
                <w:t>Item 1A.</w:t>
              </w:r>
            </w:hyperlink>
          </w:p>
        </w:tc>
        <w:tc>
          <w:tcPr>
            <w:tcW w:w="360" w:type="dxa"/>
            <w:vAlign w:val="bottom"/>
          </w:tcPr>
          <w:p>
            <w:pPr>
              <w:spacing w:after="0"/>
              <w:rPr>
                <w:sz w:val="17"/>
                <w:szCs w:val="17"/>
                <w:color w:val="auto"/>
              </w:rPr>
            </w:pPr>
          </w:p>
        </w:tc>
        <w:tc>
          <w:tcPr>
            <w:tcW w:w="10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59">
              <w:r>
                <w:rPr>
                  <w:rFonts w:ascii="Arial" w:cs="Arial" w:eastAsia="Arial" w:hAnsi="Arial"/>
                  <w:sz w:val="18"/>
                  <w:szCs w:val="18"/>
                  <w:b w:val="1"/>
                  <w:bCs w:val="1"/>
                  <w:color w:val="0000EE"/>
                  <w:w w:val="88"/>
                </w:rPr>
                <w:t>Risk Factors.</w:t>
              </w:r>
            </w:hyperlink>
          </w:p>
        </w:tc>
        <w:tc>
          <w:tcPr>
            <w:tcW w:w="586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04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2.</w:t>
              </w:r>
            </w:hyperlink>
          </w:p>
        </w:tc>
        <w:tc>
          <w:tcPr>
            <w:tcW w:w="6880" w:type="dxa"/>
            <w:vAlign w:val="bottom"/>
            <w:gridSpan w:val="8"/>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Unregistered Sales of Equity Securities and 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3.</w:t>
              </w:r>
            </w:hyperlink>
          </w:p>
        </w:tc>
        <w:tc>
          <w:tcPr>
            <w:tcW w:w="6880" w:type="dxa"/>
            <w:vAlign w:val="bottom"/>
            <w:gridSpan w:val="8"/>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Defaults Upon Senior Securities.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4.</w:t>
              </w:r>
            </w:hyperlink>
          </w:p>
        </w:tc>
        <w:tc>
          <w:tcPr>
            <w:tcW w:w="6880" w:type="dxa"/>
            <w:vAlign w:val="bottom"/>
            <w:gridSpan w:val="8"/>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Mine Safety Disclosures.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5.</w:t>
              </w:r>
            </w:hyperlink>
          </w:p>
        </w:tc>
        <w:tc>
          <w:tcPr>
            <w:tcW w:w="6880" w:type="dxa"/>
            <w:vAlign w:val="bottom"/>
            <w:gridSpan w:val="8"/>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Information.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Item 6.</w:t>
              </w:r>
            </w:hyperlink>
          </w:p>
        </w:tc>
        <w:tc>
          <w:tcPr>
            <w:tcW w:w="6880" w:type="dxa"/>
            <w:vAlign w:val="bottom"/>
            <w:gridSpan w:val="8"/>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Exhibits.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669"/>
        </w:trPr>
        <w:tc>
          <w:tcPr>
            <w:tcW w:w="1040" w:type="dxa"/>
            <w:vAlign w:val="bottom"/>
            <w:tcBorders>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680" w:type="dxa"/>
            <w:vAlign w:val="bottom"/>
            <w:tcBorders>
              <w:top w:val="single" w:sz="8" w:color="0000EE"/>
              <w:bottom w:val="single" w:sz="8" w:color="DCDCDC"/>
            </w:tcBorders>
          </w:tcPr>
          <w:p>
            <w:pPr>
              <w:spacing w:after="0"/>
              <w:rPr>
                <w:sz w:val="24"/>
                <w:szCs w:val="24"/>
                <w:color w:val="auto"/>
              </w:rPr>
            </w:pPr>
          </w:p>
        </w:tc>
        <w:tc>
          <w:tcPr>
            <w:tcW w:w="3920" w:type="dxa"/>
            <w:vAlign w:val="bottom"/>
            <w:tcBorders>
              <w:bottom w:val="single" w:sz="8" w:color="DCDCDC"/>
            </w:tcBorders>
            <w:gridSpan w:val="6"/>
          </w:tcPr>
          <w:p>
            <w:pPr>
              <w:jc w:val="right"/>
              <w:ind w:right="920"/>
              <w:spacing w:after="0"/>
              <w:rPr>
                <w:sz w:val="20"/>
                <w:szCs w:val="20"/>
                <w:color w:val="auto"/>
              </w:rPr>
            </w:pPr>
            <w:r>
              <w:rPr>
                <w:rFonts w:ascii="Arial" w:cs="Arial" w:eastAsia="Arial" w:hAnsi="Arial"/>
                <w:sz w:val="18"/>
                <w:szCs w:val="18"/>
                <w:color w:val="auto"/>
              </w:rPr>
              <w:t>2</w:t>
            </w:r>
          </w:p>
        </w:tc>
        <w:tc>
          <w:tcPr>
            <w:tcW w:w="2280" w:type="dxa"/>
            <w:vAlign w:val="bottom"/>
            <w:tcBorders>
              <w:bottom w:val="single" w:sz="8" w:color="DCDCDC"/>
            </w:tcBorders>
          </w:tcPr>
          <w:p>
            <w:pPr>
              <w:spacing w:after="0"/>
              <w:rPr>
                <w:sz w:val="24"/>
                <w:szCs w:val="24"/>
                <w:color w:val="auto"/>
              </w:rPr>
            </w:pPr>
          </w:p>
        </w:tc>
        <w:tc>
          <w:tcPr>
            <w:tcW w:w="24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Loans, including fees</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63,976</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Investment securities, including tax exempt of $166 and $158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15,788</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Deposits in banks and short-term investments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F0FFFF"/>
              <w:bottom w:val="single" w:sz="8" w:color="F0FFFF"/>
            </w:tcBorders>
            <w:shd w:val="clear" w:color="auto" w:fill="F0FFFF"/>
          </w:tcPr>
          <w:p>
            <w:pPr>
              <w:ind w:left="460"/>
              <w:spacing w:after="0"/>
              <w:rPr>
                <w:sz w:val="20"/>
                <w:szCs w:val="20"/>
                <w:color w:val="auto"/>
              </w:rPr>
            </w:pPr>
            <w:r>
              <w:rPr>
                <w:rFonts w:ascii="Arial" w:cs="Arial" w:eastAsia="Arial" w:hAnsi="Arial"/>
                <w:sz w:val="18"/>
                <w:szCs w:val="18"/>
                <w:color w:val="auto"/>
              </w:rPr>
              <w:t>Total interest revenue</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4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80,721</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62,534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0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F0FFFF"/>
            </w:tcBorders>
            <w:shd w:val="clear" w:color="auto" w:fill="F0FFFF"/>
          </w:tcPr>
          <w:p>
            <w:pPr>
              <w:ind w:left="460"/>
              <w:spacing w:after="0"/>
              <w:rPr>
                <w:sz w:val="20"/>
                <w:szCs w:val="20"/>
                <w:color w:val="auto"/>
              </w:rPr>
            </w:pPr>
            <w:r>
              <w:rPr>
                <w:rFonts w:ascii="Arial" w:cs="Arial" w:eastAsia="Arial" w:hAnsi="Arial"/>
                <w:sz w:val="18"/>
                <w:szCs w:val="18"/>
                <w:color w:val="auto"/>
              </w:rPr>
              <w:t>Total deposit interest expense</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5,769</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34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300"/>
              <w:spacing w:after="0" w:line="203" w:lineRule="exact"/>
              <w:rPr>
                <w:sz w:val="20"/>
                <w:szCs w:val="20"/>
                <w:color w:val="auto"/>
              </w:rPr>
            </w:pPr>
            <w:r>
              <w:rPr>
                <w:rFonts w:ascii="Arial" w:cs="Arial" w:eastAsia="Arial" w:hAnsi="Arial"/>
                <w:sz w:val="18"/>
                <w:szCs w:val="18"/>
                <w:color w:val="auto"/>
              </w:rPr>
              <w:t>Net interest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74,952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57,242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(Release of) provision for credit losses</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bottom w:val="single" w:sz="8" w:color="F0FFFF"/>
            </w:tcBorders>
          </w:tcPr>
          <w:p>
            <w:pPr>
              <w:ind w:left="300"/>
              <w:spacing w:after="0" w:line="203" w:lineRule="exact"/>
              <w:rPr>
                <w:sz w:val="20"/>
                <w:szCs w:val="20"/>
                <w:color w:val="auto"/>
              </w:rPr>
            </w:pPr>
            <w:r>
              <w:rPr>
                <w:rFonts w:ascii="Arial" w:cs="Arial" w:eastAsia="Arial" w:hAnsi="Arial"/>
                <w:sz w:val="18"/>
                <w:szCs w:val="18"/>
                <w:color w:val="auto"/>
              </w:rPr>
              <w:t>Net interest revenue after provision for credit losses</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75,152</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55,442</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Fee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Service charges and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10,126</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Brokerage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Gains from sales of government guaranteed loans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Securities gains, net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Loss from prepayment of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2,522</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bottom w:val="single" w:sz="8" w:color="F0FFFF"/>
            </w:tcBorders>
          </w:tcPr>
          <w:p>
            <w:pPr>
              <w:ind w:left="300"/>
              <w:spacing w:after="0" w:line="203" w:lineRule="exact"/>
              <w:rPr>
                <w:sz w:val="20"/>
                <w:szCs w:val="20"/>
                <w:color w:val="auto"/>
              </w:rPr>
            </w:pPr>
            <w:r>
              <w:rPr>
                <w:rFonts w:ascii="Arial" w:cs="Arial" w:eastAsia="Arial" w:hAnsi="Arial"/>
                <w:sz w:val="18"/>
                <w:szCs w:val="18"/>
                <w:color w:val="auto"/>
              </w:rPr>
              <w:t>Total fee revenue</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18,606</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15,682</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93,758</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71,124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33,062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Communications and equipment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864</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Postage, printing and supplies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2,700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Merger-related and other charges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5,779</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bottom w:val="single" w:sz="8" w:color="F0FFFF"/>
            </w:tcBorders>
          </w:tcPr>
          <w:p>
            <w:pPr>
              <w:ind w:left="300"/>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57,885</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43,061</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Net income before income taxes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35,873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28,063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22,295</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17,670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868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Net income available to common shareholders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22,274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17,670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72,162</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72,166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60,909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383"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Tax</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Tax</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Before-tax</w:t>
            </w: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Net of Tax</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Before-tax</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4"/>
              </w:rPr>
              <w:t>Net of Tax</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Benefit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35,873</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(13,578)</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22,295</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28,063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(10,393)</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17,670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F0FFFF"/>
          </w:tcPr>
          <w:p>
            <w:pPr>
              <w:ind w:left="140"/>
              <w:spacing w:after="0" w:line="201" w:lineRule="exact"/>
              <w:rPr>
                <w:sz w:val="20"/>
                <w:szCs w:val="20"/>
                <w:color w:val="auto"/>
              </w:rPr>
            </w:pPr>
            <w:r>
              <w:rPr>
                <w:rFonts w:ascii="Arial" w:cs="Arial" w:eastAsia="Arial" w:hAnsi="Arial"/>
                <w:sz w:val="18"/>
                <w:szCs w:val="18"/>
                <w:color w:val="auto"/>
              </w:rPr>
              <w:t>Unrealized gains on available-for-sale</w:t>
            </w: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Unrealized holding gains arising during</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46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7,242</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13,989</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F0FFFF"/>
          </w:tcPr>
          <w:p>
            <w:pPr>
              <w:ind w:left="300"/>
              <w:spacing w:after="0" w:line="201" w:lineRule="exact"/>
              <w:rPr>
                <w:sz w:val="20"/>
                <w:szCs w:val="20"/>
                <w:color w:val="auto"/>
              </w:rPr>
            </w:pPr>
            <w:r>
              <w:rPr>
                <w:rFonts w:ascii="Arial" w:cs="Arial" w:eastAsia="Arial" w:hAnsi="Arial"/>
                <w:sz w:val="18"/>
                <w:szCs w:val="18"/>
                <w:color w:val="auto"/>
                <w:w w:val="94"/>
              </w:rPr>
              <w:t>Reclassification adjustment for gains included</w:t>
            </w: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shd w:val="clear" w:color="auto" w:fill="F0FFFF"/>
          </w:tcPr>
          <w:p>
            <w:pPr>
              <w:ind w:left="460"/>
              <w:spacing w:after="0"/>
              <w:rPr>
                <w:sz w:val="20"/>
                <w:szCs w:val="20"/>
                <w:color w:val="auto"/>
              </w:rPr>
            </w:pPr>
            <w:r>
              <w:rPr>
                <w:rFonts w:ascii="Arial" w:cs="Arial" w:eastAsia="Arial" w:hAnsi="Arial"/>
                <w:sz w:val="18"/>
                <w:szCs w:val="18"/>
                <w:color w:val="auto"/>
              </w:rPr>
              <w:t>in net income</w:t>
            </w:r>
          </w:p>
        </w:tc>
        <w:tc>
          <w:tcPr>
            <w:tcW w:w="1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598</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top w:val="single" w:sz="8" w:color="F0FFFF"/>
            </w:tcBorders>
            <w:gridSpan w:val="2"/>
          </w:tcPr>
          <w:p>
            <w:pPr>
              <w:ind w:left="300"/>
              <w:spacing w:after="0" w:line="203" w:lineRule="exact"/>
              <w:rPr>
                <w:sz w:val="20"/>
                <w:szCs w:val="20"/>
                <w:color w:val="auto"/>
              </w:rPr>
            </w:pPr>
            <w:r>
              <w:rPr>
                <w:rFonts w:ascii="Arial" w:cs="Arial" w:eastAsia="Arial" w:hAnsi="Arial"/>
                <w:sz w:val="18"/>
                <w:szCs w:val="18"/>
                <w:color w:val="auto"/>
              </w:rPr>
              <w:t>Net unrealized gains</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11,318</w:t>
            </w:r>
          </w:p>
        </w:tc>
        <w:tc>
          <w:tcPr>
            <w:tcW w:w="2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(4,314)</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7,004</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12,450</w:t>
            </w: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(4,707)</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7,743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F0FFFF"/>
          </w:tcPr>
          <w:p>
            <w:pPr>
              <w:ind w:left="140"/>
              <w:spacing w:after="0" w:line="201" w:lineRule="exact"/>
              <w:rPr>
                <w:sz w:val="20"/>
                <w:szCs w:val="20"/>
                <w:color w:val="auto"/>
              </w:rPr>
            </w:pPr>
            <w:r>
              <w:rPr>
                <w:rFonts w:ascii="Arial" w:cs="Arial" w:eastAsia="Arial" w:hAnsi="Arial"/>
                <w:sz w:val="18"/>
                <w:szCs w:val="18"/>
                <w:color w:val="auto"/>
                <w:w w:val="99"/>
              </w:rPr>
              <w:t>Amortization of losses included in net income</w:t>
            </w: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w w:val="96"/>
              </w:rPr>
              <w:t>on available-for-sale securities transferred to</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held-to-maturity</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9"/>
              </w:rPr>
              <w:t>Amortization of losses included in net income</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00"/>
              <w:spacing w:after="0"/>
              <w:rPr>
                <w:sz w:val="20"/>
                <w:szCs w:val="20"/>
                <w:color w:val="auto"/>
              </w:rPr>
            </w:pPr>
            <w:r>
              <w:rPr>
                <w:rFonts w:ascii="Arial" w:cs="Arial" w:eastAsia="Arial" w:hAnsi="Arial"/>
                <w:sz w:val="18"/>
                <w:szCs w:val="18"/>
                <w:color w:val="auto"/>
                <w:w w:val="95"/>
              </w:rPr>
              <w:t>on terminated derivative financial instruments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300"/>
              <w:spacing w:after="0"/>
              <w:rPr>
                <w:sz w:val="20"/>
                <w:szCs w:val="20"/>
                <w:color w:val="auto"/>
              </w:rPr>
            </w:pPr>
            <w:r>
              <w:rPr>
                <w:rFonts w:ascii="Arial" w:cs="Arial" w:eastAsia="Arial" w:hAnsi="Arial"/>
                <w:sz w:val="18"/>
                <w:szCs w:val="18"/>
                <w:color w:val="auto"/>
              </w:rPr>
              <w:t>that were previously accounted for as cash</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300"/>
              <w:spacing w:after="0"/>
              <w:rPr>
                <w:sz w:val="20"/>
                <w:szCs w:val="20"/>
                <w:color w:val="auto"/>
              </w:rPr>
            </w:pPr>
            <w:r>
              <w:rPr>
                <w:rFonts w:ascii="Arial" w:cs="Arial" w:eastAsia="Arial" w:hAnsi="Arial"/>
                <w:sz w:val="18"/>
                <w:szCs w:val="18"/>
                <w:color w:val="auto"/>
              </w:rPr>
              <w:t>flow hedges</w:t>
            </w:r>
          </w:p>
        </w:tc>
        <w:tc>
          <w:tcPr>
            <w:tcW w:w="1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F0FFFF"/>
          </w:tcPr>
          <w:p>
            <w:pPr>
              <w:ind w:left="140"/>
              <w:spacing w:after="0" w:line="201" w:lineRule="exact"/>
              <w:rPr>
                <w:sz w:val="20"/>
                <w:szCs w:val="20"/>
                <w:color w:val="auto"/>
              </w:rPr>
            </w:pPr>
            <w:r>
              <w:rPr>
                <w:rFonts w:ascii="Arial" w:cs="Arial" w:eastAsia="Arial" w:hAnsi="Arial"/>
                <w:sz w:val="18"/>
                <w:szCs w:val="18"/>
                <w:color w:val="auto"/>
              </w:rPr>
              <w:t>Unrealized losses on derivative financial</w:t>
            </w: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instruments accounted for as cash flow</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hedges</w:t>
            </w:r>
          </w:p>
        </w:tc>
        <w:tc>
          <w:tcPr>
            <w:tcW w:w="120" w:type="dxa"/>
            <w:vAlign w:val="bottom"/>
            <w:shd w:val="clear" w:color="auto" w:fill="F0FFFF"/>
          </w:tcPr>
          <w:p>
            <w:pPr>
              <w:spacing w:after="0"/>
              <w:rPr>
                <w:sz w:val="22"/>
                <w:szCs w:val="22"/>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top w:val="single" w:sz="8" w:color="F0FFFF"/>
            </w:tcBorders>
            <w:gridSpan w:val="2"/>
          </w:tcPr>
          <w:p>
            <w:pPr>
              <w:ind w:left="480"/>
              <w:spacing w:after="0" w:line="203" w:lineRule="exact"/>
              <w:rPr>
                <w:sz w:val="20"/>
                <w:szCs w:val="20"/>
                <w:color w:val="auto"/>
              </w:rPr>
            </w:pPr>
            <w:r>
              <w:rPr>
                <w:rFonts w:ascii="Arial" w:cs="Arial" w:eastAsia="Arial" w:hAnsi="Arial"/>
                <w:sz w:val="18"/>
                <w:szCs w:val="18"/>
                <w:color w:val="auto"/>
              </w:rPr>
              <w:t>Net cash flow hedge activity</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w:t>
            </w:r>
          </w:p>
        </w:tc>
        <w:tc>
          <w:tcPr>
            <w:tcW w:w="2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(195)</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tcBorders>
              <w:top w:val="single" w:sz="8" w:color="F0FF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F0FFFF"/>
          </w:tcPr>
          <w:p>
            <w:pPr>
              <w:ind w:left="140"/>
              <w:spacing w:after="0" w:line="201" w:lineRule="exact"/>
              <w:rPr>
                <w:sz w:val="20"/>
                <w:szCs w:val="20"/>
                <w:color w:val="auto"/>
              </w:rPr>
            </w:pPr>
            <w:r>
              <w:rPr>
                <w:rFonts w:ascii="Arial" w:cs="Arial" w:eastAsia="Arial" w:hAnsi="Arial"/>
                <w:sz w:val="18"/>
                <w:szCs w:val="18"/>
                <w:color w:val="auto"/>
                <w:w w:val="97"/>
              </w:rPr>
              <w:t>Amortization of prior service cost and actuarial</w:t>
            </w: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w w:val="99"/>
              </w:rPr>
              <w:t>losses included in net periodic pension cost</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for defined benefit pension plan</w:t>
            </w:r>
          </w:p>
        </w:tc>
        <w:tc>
          <w:tcPr>
            <w:tcW w:w="1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F0FFFF"/>
          </w:tcPr>
          <w:p>
            <w:pPr>
              <w:spacing w:after="0"/>
              <w:rPr>
                <w:sz w:val="22"/>
                <w:szCs w:val="22"/>
                <w:color w:val="auto"/>
              </w:rPr>
            </w:pP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F0FFFF"/>
              <w:bottom w:val="single" w:sz="8" w:color="F0FFFF"/>
            </w:tcBorders>
            <w:gridSpan w:val="2"/>
          </w:tcPr>
          <w:p>
            <w:pPr>
              <w:ind w:left="480"/>
              <w:spacing w:after="0" w:line="203" w:lineRule="exact"/>
              <w:rPr>
                <w:sz w:val="20"/>
                <w:szCs w:val="20"/>
                <w:color w:val="auto"/>
              </w:rPr>
            </w:pPr>
            <w:r>
              <w:rPr>
                <w:rFonts w:ascii="Arial" w:cs="Arial" w:eastAsia="Arial" w:hAnsi="Arial"/>
                <w:sz w:val="18"/>
                <w:szCs w:val="18"/>
                <w:color w:val="auto"/>
              </w:rPr>
              <w:t>Net defined benefit pension plan activity</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2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140" w:type="dxa"/>
            <w:vAlign w:val="bottom"/>
            <w:tcBorders>
              <w:top w:val="single" w:sz="8" w:color="F0FFFF"/>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2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Borders>
              <w:bottom w:val="single" w:sz="8" w:color="F0FFFF"/>
            </w:tcBorders>
            <w:gridSpan w:val="2"/>
            <w:shd w:val="clear" w:color="auto" w:fill="F0FFFF"/>
          </w:tcPr>
          <w:p>
            <w:pPr>
              <w:ind w:left="80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12,449</w:t>
            </w:r>
          </w:p>
        </w:tc>
        <w:tc>
          <w:tcPr>
            <w:tcW w:w="2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(4,755</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7,694</w:t>
            </w: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13,047</w:t>
            </w:r>
          </w:p>
        </w:tc>
        <w:tc>
          <w:tcPr>
            <w:tcW w:w="2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(4,933</w:t>
            </w:r>
          </w:p>
        </w:tc>
        <w:tc>
          <w:tcPr>
            <w:tcW w:w="220" w:type="dxa"/>
            <w:vAlign w:val="bottom"/>
            <w:tcBorders>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8,114</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tcPr>
          <w:p>
            <w:pPr>
              <w:ind w:left="80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48,322</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4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93,821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88,995</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153,451</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Borders>
              <w:top w:val="single" w:sz="8" w:color="F0FFFF"/>
            </w:tcBorders>
          </w:tcPr>
          <w:p>
            <w:pPr>
              <w:ind w:left="300"/>
              <w:spacing w:after="0" w:line="203" w:lineRule="exact"/>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182,816</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240,363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2,405,467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2,291,511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Securities held to maturity (fair value $363,092 and $371,658)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351,700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364,696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26,578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24,231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6,106,189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5,995,441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(66,310)</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2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(68,448)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Borders>
              <w:top w:val="single" w:sz="8" w:color="F0FFFF"/>
            </w:tcBorders>
          </w:tcPr>
          <w:p>
            <w:pPr>
              <w:ind w:left="460"/>
              <w:spacing w:after="0" w:line="203" w:lineRule="exact"/>
              <w:rPr>
                <w:sz w:val="20"/>
                <w:szCs w:val="20"/>
                <w:color w:val="auto"/>
              </w:rPr>
            </w:pPr>
            <w:r>
              <w:rPr>
                <w:rFonts w:ascii="Arial" w:cs="Arial" w:eastAsia="Arial" w:hAnsi="Arial"/>
                <w:sz w:val="18"/>
                <w:szCs w:val="18"/>
                <w:color w:val="auto"/>
              </w:rPr>
              <w:t>Loans, net</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6,039,879</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5,926,993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180,690</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178,165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105,803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25,893</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25,786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180,371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197,613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23,488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20,082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146,409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147,420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112,237</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94,075</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tcBorders>
              <w:top w:val="single" w:sz="8" w:color="F0FFFF"/>
            </w:tcBorders>
          </w:tcPr>
          <w:p>
            <w:pPr>
              <w:ind w:left="3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9,781,331</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9,616,428</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Demand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2,370,842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2,204,755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1,794,241</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1,975,884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1,630,565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1,599,637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491,542</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471,129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1,233,647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1,282,803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Brokered</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439,486</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338,985</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Borders>
              <w:top w:val="single" w:sz="8" w:color="F0FFFF"/>
            </w:tcBorders>
          </w:tcPr>
          <w:p>
            <w:pPr>
              <w:ind w:left="760"/>
              <w:spacing w:after="0" w:line="203" w:lineRule="exact"/>
              <w:rPr>
                <w:sz w:val="20"/>
                <w:szCs w:val="20"/>
                <w:color w:val="auto"/>
              </w:rPr>
            </w:pPr>
            <w:r>
              <w:rPr>
                <w:rFonts w:ascii="Arial" w:cs="Arial" w:eastAsia="Arial" w:hAnsi="Arial"/>
                <w:sz w:val="18"/>
                <w:szCs w:val="18"/>
                <w:color w:val="auto"/>
              </w:rPr>
              <w:t>Total deposits</w:t>
            </w:r>
          </w:p>
        </w:tc>
        <w:tc>
          <w:tcPr>
            <w:tcW w:w="1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7,960,323</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7,873,193</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16,640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510,125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163,955</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163,836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31,374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28,825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81,829</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85,524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ind w:left="300"/>
              <w:spacing w:after="0" w:line="203"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F0FFFF"/>
              <w:bottom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8,747,606</w:t>
            </w:r>
          </w:p>
        </w:tc>
        <w:tc>
          <w:tcPr>
            <w:tcW w:w="20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8,598,143</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40"/>
              <w:spacing w:after="0" w:line="201" w:lineRule="exact"/>
              <w:rPr>
                <w:sz w:val="20"/>
                <w:szCs w:val="20"/>
                <w:color w:val="auto"/>
              </w:rPr>
            </w:pPr>
            <w:r>
              <w:rPr>
                <w:rFonts w:ascii="Arial" w:cs="Arial" w:eastAsia="Arial" w:hAnsi="Arial"/>
                <w:sz w:val="18"/>
                <w:szCs w:val="18"/>
                <w:color w:val="auto"/>
                <w:w w:val="93"/>
              </w:rPr>
              <w:t>Preferred stock, $1 par value; 10,000,000 shares authorized; Series H; $1,000 stated value; 0 and 9,992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issued and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w w:val="95"/>
              </w:rPr>
              <w:t>Common stock, $1 par value; 100,000,000 shares authorized; 66,258,777 and 66,198,477 shares issued and</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66,259</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66,198</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40"/>
              <w:spacing w:after="0" w:line="201" w:lineRule="exact"/>
              <w:rPr>
                <w:sz w:val="20"/>
                <w:szCs w:val="20"/>
                <w:color w:val="auto"/>
              </w:rPr>
            </w:pPr>
            <w:r>
              <w:rPr>
                <w:rFonts w:ascii="Arial" w:cs="Arial" w:eastAsia="Arial" w:hAnsi="Arial"/>
                <w:sz w:val="18"/>
                <w:szCs w:val="18"/>
                <w:color w:val="auto"/>
                <w:w w:val="92"/>
              </w:rPr>
              <w:t>Common stock, non-voting, $1 par value; 26,000,000 shares authorized; 5,285,516 and 5,285,516 shares issued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and 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Common stock issuable; 496,515 and 458,953 shares</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6,700</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6,779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1,286,884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1,286,361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(313,646)</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(330,879)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(17,758)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4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1,033,725</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1,018,285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9,781,331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9,616,428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2"/>
              </w:rPr>
              <w:t>Preferred</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Non-Voting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3"/>
          </w:tcPr>
          <w:p>
            <w:pPr>
              <w:spacing w:after="0"/>
              <w:rPr>
                <w:sz w:val="20"/>
                <w:szCs w:val="20"/>
                <w:color w:val="auto"/>
              </w:rPr>
            </w:pPr>
            <w:r>
              <w:rPr>
                <w:rFonts w:ascii="Arial" w:cs="Arial" w:eastAsia="Arial" w:hAnsi="Arial"/>
                <w:sz w:val="18"/>
                <w:szCs w:val="18"/>
                <w:i w:val="1"/>
                <w:iCs w:val="1"/>
                <w:color w:val="auto"/>
                <w:w w:val="97"/>
              </w:rPr>
              <w:t>(in thousands, except share and per</w:t>
            </w:r>
          </w:p>
        </w:tc>
        <w:tc>
          <w:tcPr>
            <w:tcW w:w="1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Series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Capital</w:t>
            </w:r>
          </w:p>
        </w:tc>
        <w:tc>
          <w:tcPr>
            <w:tcW w:w="242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Accumulated Comprehensive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20" w:type="dxa"/>
            <w:vAlign w:val="bottom"/>
            <w:gridSpan w:val="3"/>
          </w:tcPr>
          <w:p>
            <w:pPr>
              <w:spacing w:after="0"/>
              <w:rPr>
                <w:sz w:val="20"/>
                <w:szCs w:val="20"/>
                <w:color w:val="auto"/>
              </w:rPr>
            </w:pPr>
            <w:r>
              <w:rPr>
                <w:rFonts w:ascii="Arial" w:cs="Arial" w:eastAsia="Arial" w:hAnsi="Arial"/>
                <w:sz w:val="18"/>
                <w:szCs w:val="18"/>
                <w:i w:val="1"/>
                <w:iCs w:val="1"/>
                <w:color w:val="auto"/>
              </w:rPr>
              <w:t>share data)</w:t>
            </w:r>
          </w:p>
        </w:tc>
        <w:tc>
          <w:tcPr>
            <w:tcW w:w="16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H</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Issuable</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Surplus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Balance, December 31, 2014</w:t>
            </w:r>
          </w:p>
        </w:tc>
        <w:tc>
          <w:tcPr>
            <w:tcW w:w="160" w:type="dxa"/>
            <w:vAlign w:val="bottom"/>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50,178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10,081</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5,168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4"/>
              </w:rPr>
              <w:t>1,080,508</w:t>
            </w:r>
          </w:p>
        </w:tc>
        <w:tc>
          <w:tcPr>
            <w:tcW w:w="20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(387,568)</w:t>
            </w:r>
          </w:p>
        </w:tc>
        <w:tc>
          <w:tcPr>
            <w:tcW w:w="220" w:type="dxa"/>
            <w:vAlign w:val="bottom"/>
            <w:shd w:val="clear" w:color="auto" w:fill="F0FFFF"/>
          </w:tcPr>
          <w:p>
            <w:pPr>
              <w:jc w:val="right"/>
              <w:ind w:right="6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(18,790)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17,670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8,114</w:t>
            </w: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reinvestment plan and employee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benefit plans (3,689 shares)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Amortization of stock option and</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restricted stock awards</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991</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Vesting of restricted stock, net of</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w w:val="93"/>
              </w:rPr>
              <w:t>shares surrendered to cover payroll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w w:val="90"/>
              </w:rPr>
              <w:t>taxes (31,718 shares issued, 51,326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shares deferred)</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Deferred compensation plan, net,</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including dividend equivalents</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Shares issued from deferred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w w:val="93"/>
              </w:rPr>
              <w:t>compensation plan (14,063 shares)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9"/>
              </w:rPr>
              <w:t>Common stock dividends ($.05 per</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(3,035)</w:t>
            </w: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Tax on restricted stock vesting</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80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b w:val="1"/>
                <w:bCs w:val="1"/>
                <w:color w:val="auto"/>
              </w:rPr>
              <w:t>Balance, March 31, 2015</w:t>
            </w:r>
          </w:p>
        </w:tc>
        <w:tc>
          <w:tcPr>
            <w:tcW w:w="160" w:type="dxa"/>
            <w:vAlign w:val="bottom"/>
            <w:tcBorders>
              <w:top w:val="single" w:sz="8" w:color="auto"/>
              <w:bottom w:val="single" w:sz="8" w:color="auto"/>
            </w:tcBorders>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50,228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10,081</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1,081,110</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(372,933</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763,705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Balance, December 31, 2015</w:t>
            </w:r>
          </w:p>
        </w:tc>
        <w:tc>
          <w:tcPr>
            <w:tcW w:w="160" w:type="dxa"/>
            <w:vAlign w:val="bottom"/>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9,992</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66,198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5,286</w:t>
            </w:r>
          </w:p>
        </w:tc>
        <w:tc>
          <w:tcPr>
            <w:tcW w:w="4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6,779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4"/>
              </w:rPr>
              <w:t>1,286,361</w:t>
            </w:r>
          </w:p>
        </w:tc>
        <w:tc>
          <w:tcPr>
            <w:tcW w:w="20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(330,879)</w:t>
            </w:r>
          </w:p>
        </w:tc>
        <w:tc>
          <w:tcPr>
            <w:tcW w:w="220" w:type="dxa"/>
            <w:vAlign w:val="bottom"/>
            <w:shd w:val="clear" w:color="auto" w:fill="F0FFFF"/>
          </w:tcPr>
          <w:p>
            <w:pPr>
              <w:jc w:val="right"/>
              <w:ind w:right="6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(25,452)</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4"/>
              </w:rPr>
              <w:t>1,018,285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22,295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7,694</w:t>
            </w: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Redemption of Series H preferred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stock (9,992 shares)</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(9,992)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Common stock issued to dividend</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reinvestment plan and employee</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benefit plans (5,154 shares)</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stock option and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Vesting of restricted stock, net of</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3"/>
              </w:rPr>
              <w:t>shares surrendered to cover payroll</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0"/>
              </w:rPr>
              <w:t>taxes (26,385 shares issued, 62,422</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shares deferred)</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rPr>
              <w:t>Deferred compensation plan, net,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including dividend equivalents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Shares issued from deferred</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3"/>
              </w:rPr>
              <w:t>compensation plan (28,761 shares)</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F0FFFF"/>
          </w:tcPr>
          <w:p>
            <w:pPr>
              <w:spacing w:after="0"/>
              <w:rPr>
                <w:sz w:val="20"/>
                <w:szCs w:val="20"/>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2"/>
          </w:tcPr>
          <w:p>
            <w:pPr>
              <w:spacing w:after="0" w:line="201" w:lineRule="exact"/>
              <w:rPr>
                <w:sz w:val="20"/>
                <w:szCs w:val="20"/>
                <w:color w:val="auto"/>
              </w:rPr>
            </w:pPr>
            <w:r>
              <w:rPr>
                <w:rFonts w:ascii="Arial" w:cs="Arial" w:eastAsia="Arial" w:hAnsi="Arial"/>
                <w:sz w:val="18"/>
                <w:szCs w:val="18"/>
                <w:color w:val="auto"/>
                <w:w w:val="99"/>
              </w:rPr>
              <w:t>Common stock dividends ($.07 per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(5,041)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 on restricted stock vesting</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8"/>
              </w:rPr>
              <w:t>Preferred stock dividends, Series H</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80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b w:val="1"/>
                <w:bCs w:val="1"/>
                <w:color w:val="auto"/>
              </w:rPr>
              <w:t>Balance, March 31, 2016</w:t>
            </w:r>
          </w:p>
        </w:tc>
        <w:tc>
          <w:tcPr>
            <w:tcW w:w="160" w:type="dxa"/>
            <w:vAlign w:val="bottom"/>
            <w:tcBorders>
              <w:top w:val="single" w:sz="8" w:color="auto"/>
              <w:bottom w:val="single" w:sz="8" w:color="auto"/>
            </w:tcBorders>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66,259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5,286</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1,286,884</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(313,646</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jc w:val="right"/>
              <w:ind w:right="62"/>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(17,758</w:t>
            </w:r>
          </w:p>
        </w:tc>
        <w:tc>
          <w:tcPr>
            <w:tcW w:w="1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1,033,725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22,295</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(Release of) provision for credit losses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13,553</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Gains from sales of government guaranteed loans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Net gains and write downs on sales of other real estate owned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Loss on prepayment of borrowings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62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(34,039)</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(3,049)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shd w:val="clear" w:color="auto" w:fill="F0FFFF"/>
          </w:tcPr>
          <w:p>
            <w:pPr>
              <w:ind w:left="620"/>
              <w:spacing w:after="0"/>
              <w:rPr>
                <w:sz w:val="20"/>
                <w:szCs w:val="20"/>
                <w:color w:val="auto"/>
              </w:rPr>
            </w:pPr>
            <w:r>
              <w:rPr>
                <w:rFonts w:ascii="Arial" w:cs="Arial" w:eastAsia="Arial" w:hAnsi="Arial"/>
                <w:sz w:val="18"/>
                <w:szCs w:val="18"/>
                <w:color w:val="auto"/>
              </w:rPr>
              <w:t>Mortgage loans held for sale</w:t>
            </w:r>
          </w:p>
        </w:tc>
        <w:tc>
          <w:tcPr>
            <w:tcW w:w="1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(2,347)</w:t>
            </w:r>
          </w:p>
        </w:tc>
        <w:tc>
          <w:tcPr>
            <w:tcW w:w="6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2,388</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26,346</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14,207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Purchases of securities held to maturity</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Proceeds from sales of securities available for sale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61,305</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69,467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82,029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Purchases of securities available for sale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(246,666)</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(101,828)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Funds paid to FDIC under loss sharing agreements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(5,104)</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(195,504</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(119,247</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Net change in deposits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87,204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(16,640)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Repayments of trust preferred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Proceeds from FHLB advances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1,715,000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Repayments of FHLB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(1,635,000)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Retirement of preferred stock</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Cash dividends on common stock</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(5,041)</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28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135,569</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85,910</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(57,547)</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240,363</w:t>
            </w:r>
          </w:p>
        </w:tc>
        <w:tc>
          <w:tcPr>
            <w:tcW w:w="6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192,655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182,816</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7,407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Significant non-cash investing and financing transactions: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Unsettled government guaranteed loan purchases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18,068</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Unsettled government guaranteed loan sales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6,774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Transfers of loans to foreclosed properties</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1,590</w:t>
            </w:r>
          </w:p>
        </w:tc>
        <w:tc>
          <w:tcPr>
            <w:tcW w:w="6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761"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2015 amounts have been reclassified to conform to the 2016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Financial Accounting Standards Board (“FASB”) issued ASU No. 2015-03, </w:t>
      </w:r>
      <w:r>
        <w:rPr>
          <w:rFonts w:ascii="Arial" w:cs="Arial" w:eastAsia="Arial" w:hAnsi="Arial"/>
          <w:sz w:val="18"/>
          <w:szCs w:val="18"/>
          <w:i w:val="1"/>
          <w:iCs w:val="1"/>
          <w:color w:val="auto"/>
        </w:rPr>
        <w:t>Interest – Imputation of Interest (Subtopic 835-30)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Debt Issuance Costs</w:t>
      </w:r>
      <w:r>
        <w:rPr>
          <w:rFonts w:ascii="Arial" w:cs="Arial" w:eastAsia="Arial" w:hAnsi="Arial"/>
          <w:sz w:val="18"/>
          <w:szCs w:val="18"/>
          <w:color w:val="auto"/>
        </w:rPr>
        <w:t>. To simplify presentation of debt issuance costs, the amendments in this update require that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a recognized debt liability be presented in the balance sheet as a direct deduction from the carrying amount of that debt liability consistent with debt discounts. The standard was effective January 1, 2016 and has been retrospectively reflected in the accompanying consolidated balance sheet, with a corresponding reclassification for December 31, 2015 between other assets for $9.68 million, brokered deposits for $7.90 million and long-term debt for $1.78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will gross up its balance sheet by the present value of future minimum lease payments. Such payments amounted to $23.5 million at December 31, 2015.</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March 2016, the FASB issued ASU No. 2016-05, </w:t>
      </w:r>
      <w:r>
        <w:rPr>
          <w:rFonts w:ascii="Arial" w:cs="Arial" w:eastAsia="Arial" w:hAnsi="Arial"/>
          <w:sz w:val="16"/>
          <w:szCs w:val="16"/>
          <w:i w:val="1"/>
          <w:iCs w:val="1"/>
          <w:color w:val="auto"/>
        </w:rPr>
        <w:t>Derivatives and Hedging (Topic 815): Effect of Derivative Contract Novations on Existing Hedge</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Relationships</w:t>
      </w:r>
      <w:r>
        <w:rPr>
          <w:rFonts w:ascii="Arial" w:cs="Arial" w:eastAsia="Arial" w:hAnsi="Arial"/>
          <w:sz w:val="16"/>
          <w:szCs w:val="16"/>
          <w:color w:val="auto"/>
        </w:rPr>
        <w:t>. This update clarifies that a change in the counterparty to a derivative instrument that has been designated as the hedging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Topic 815 does not, in and of itself, require dedesignation of that hedging relationship provided that all other hedge accounting criteria continue to be met. For public entities, this update is effective for fiscal years beginning after December 15, 2016, with application on either a prospective or modified retrospective basis. The adoption of this update is not expected to have a material impact on United’s consolidated financial statements.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2016, the FASB issued ASU No.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This update clarifies the requirements for assessing whether contingent call (put) options that can accelerate the payment of principal on debt instruments are clearly and closely related to their debt hosts. An entity performing the assessment under this update is required to assess the embedded call (put) options solely in accordance with a four-step decision sequence as outlined in the guidance. Consequently, when a call (put) option is contingently exercisable, an entity does not have to assess whether the event that triggers the ability to exercise a call (put) option is related to interest rates or credit risks. For public entities, this update is effective for fiscal years beginning after December 15, 2016, with application on a modified retrospective basis. The adoption of this update is not expected to have a material impact on United’s consolidated financial statements.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No. 2016-07, </w:t>
      </w:r>
      <w:r>
        <w:rPr>
          <w:rFonts w:ascii="Arial" w:cs="Arial" w:eastAsia="Arial" w:hAnsi="Arial"/>
          <w:sz w:val="18"/>
          <w:szCs w:val="18"/>
          <w:i w:val="1"/>
          <w:iCs w:val="1"/>
          <w:color w:val="auto"/>
        </w:rPr>
        <w:t>Investments – Equity Method and Joint Ventures (Topic 323): Simplifying the Transition to the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of Accounting</w:t>
      </w:r>
      <w:r>
        <w:rPr>
          <w:rFonts w:ascii="Arial" w:cs="Arial" w:eastAsia="Arial" w:hAnsi="Arial"/>
          <w:sz w:val="18"/>
          <w:szCs w:val="18"/>
          <w:color w:val="auto"/>
        </w:rPr>
        <w:t>. This update eliminates the requirement that when an investment qualifies for use of the equity method as a result of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For public entities, this update is effective for fiscal years beginning after December 15, 2016, with application a prospective basis. The adoption of this update is not expected to have a material impact on United’s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update simplifies several aspects of the accounting for share-based payment transactions, including the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amendments require that excess tax benefits and deficiencies be recognized as income tax expense or benefit in the income statement and as an operating activity in the statement of cash flows. In addition, an entity can make a policy election to either estimate the number of awards that are expected to vest or account for forfeitures as they occur. The guidance modifies the threshold to qualify for equity classification to permit withholding up to the maximum statutory tax rate and clarifies that cash paid by an employer when directly withholding shares for tax-withholding purposes should be classified as a financing activity. For public entities, this update is effective for fiscal years beginning after December 15, 2016. The adoption of this update is not expected to have a material impact on United’s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vMerge w:val="restart"/>
          </w:tcPr>
          <w:p>
            <w:pPr>
              <w:jc w:val="right"/>
              <w:ind w:right="200"/>
              <w:spacing w:after="0"/>
              <w:rPr>
                <w:sz w:val="20"/>
                <w:szCs w:val="20"/>
                <w:color w:val="auto"/>
              </w:rPr>
            </w:pPr>
            <w:r>
              <w:rPr>
                <w:rFonts w:ascii="Arial" w:cs="Arial" w:eastAsia="Arial" w:hAnsi="Arial"/>
                <w:sz w:val="18"/>
                <w:szCs w:val="18"/>
                <w:b w:val="1"/>
                <w:bCs w:val="1"/>
                <w:color w:val="auto"/>
                <w:w w:val="88"/>
              </w:rPr>
              <w:t>Gross Amounts not Offset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0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in the Balance Sheet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160" w:type="dxa"/>
            <w:vAlign w:val="bottom"/>
            <w:gridSpan w:val="3"/>
          </w:tcPr>
          <w:p>
            <w:pPr>
              <w:jc w:val="center"/>
              <w:ind w:right="60"/>
              <w:spacing w:after="0" w:line="198" w:lineRule="exact"/>
              <w:rPr>
                <w:sz w:val="20"/>
                <w:szCs w:val="20"/>
                <w:color w:val="auto"/>
              </w:rPr>
            </w:pPr>
            <w:r>
              <w:rPr>
                <w:rFonts w:ascii="Arial" w:cs="Arial" w:eastAsia="Arial" w:hAnsi="Arial"/>
                <w:sz w:val="18"/>
                <w:szCs w:val="18"/>
                <w:b w:val="1"/>
                <w:bCs w:val="1"/>
                <w:color w:val="auto"/>
                <w:w w:val="89"/>
              </w:rPr>
              <w:t>the Balance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Net Asset</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15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1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Received</w:t>
            </w:r>
          </w:p>
        </w:tc>
        <w:tc>
          <w:tcPr>
            <w:tcW w:w="60" w:type="dxa"/>
            <w:vAlign w:val="bottom"/>
          </w:tcPr>
          <w:p>
            <w:pPr>
              <w:spacing w:after="0"/>
              <w:rPr>
                <w:sz w:val="20"/>
                <w:szCs w:val="2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2"/>
              </w:rPr>
              <w:t>Repurchase agreements / reverse repurchase agreements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23,488</w:t>
            </w: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23,488</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(4,845)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17,259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373,488</w:t>
            </w:r>
          </w:p>
        </w:tc>
        <w:tc>
          <w:tcPr>
            <w:tcW w:w="3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23,488</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top w:val="single" w:sz="8" w:color="F0FFFF"/>
              <w:bottom w:val="single" w:sz="8" w:color="F0FFFF"/>
            </w:tcBorders>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(4,845</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17,259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rPr>
              <w:t>Weighted average interest rate of reverse repurchase</w:t>
            </w: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4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vMerge w:val="restart"/>
          </w:tcPr>
          <w:p>
            <w:pPr>
              <w:jc w:val="center"/>
              <w:ind w:right="60"/>
              <w:spacing w:after="0"/>
              <w:rPr>
                <w:sz w:val="20"/>
                <w:szCs w:val="20"/>
                <w:color w:val="auto"/>
              </w:rPr>
            </w:pPr>
            <w:r>
              <w:rPr>
                <w:rFonts w:ascii="Arial" w:cs="Arial" w:eastAsia="Arial" w:hAnsi="Arial"/>
                <w:sz w:val="18"/>
                <w:szCs w:val="18"/>
                <w:b w:val="1"/>
                <w:bCs w:val="1"/>
                <w:color w:val="auto"/>
                <w:w w:val="88"/>
              </w:rPr>
              <w:t>Gross Amounts not Offset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0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20"/>
                <w:szCs w:val="20"/>
                <w:color w:val="auto"/>
              </w:rPr>
            </w:pPr>
          </w:p>
        </w:tc>
        <w:tc>
          <w:tcPr>
            <w:tcW w:w="230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in the Balance Sheet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160" w:type="dxa"/>
            <w:vAlign w:val="bottom"/>
            <w:gridSpan w:val="3"/>
          </w:tcPr>
          <w:p>
            <w:pPr>
              <w:jc w:val="center"/>
              <w:ind w:right="60"/>
              <w:spacing w:after="0" w:line="198" w:lineRule="exact"/>
              <w:rPr>
                <w:sz w:val="20"/>
                <w:szCs w:val="20"/>
                <w:color w:val="auto"/>
              </w:rPr>
            </w:pPr>
            <w:r>
              <w:rPr>
                <w:rFonts w:ascii="Arial" w:cs="Arial" w:eastAsia="Arial" w:hAnsi="Arial"/>
                <w:sz w:val="18"/>
                <w:szCs w:val="18"/>
                <w:b w:val="1"/>
                <w:bCs w:val="1"/>
                <w:color w:val="auto"/>
                <w:w w:val="89"/>
              </w:rPr>
              <w:t>the Balance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15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Liabilities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Instruments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Pledged</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0" w:gutter="0" w:footer="0" w:header="0"/>
        </w:sectPr>
      </w:pPr>
    </w:p>
    <w:p>
      <w:pPr>
        <w:spacing w:after="0" w:line="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Repurchase agreements / reverse repurchase agreements Derivatives</w:t>
      </w:r>
    </w:p>
    <w:p>
      <w:pPr>
        <w:ind w:left="160"/>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841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c>
          <w:tcPr>
            <w:tcW w:w="3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26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31,374</w:t>
            </w:r>
          </w:p>
        </w:tc>
        <w:tc>
          <w:tcPr>
            <w:tcW w:w="2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31,374</w:t>
            </w:r>
          </w:p>
        </w:tc>
        <w:tc>
          <w:tcPr>
            <w:tcW w:w="3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(28,998)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16"/>
        </w:trPr>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381,374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31,374</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-471170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4"/>
            <w:vMerge w:val="restart"/>
          </w:tcPr>
          <w:p>
            <w:pPr>
              <w:jc w:val="center"/>
              <w:ind w:right="220"/>
              <w:spacing w:after="0"/>
              <w:rPr>
                <w:sz w:val="20"/>
                <w:szCs w:val="20"/>
                <w:color w:val="auto"/>
              </w:rPr>
            </w:pPr>
            <w:r>
              <w:rPr>
                <w:rFonts w:ascii="Arial" w:cs="Arial" w:eastAsia="Arial" w:hAnsi="Arial"/>
                <w:sz w:val="18"/>
                <w:szCs w:val="18"/>
                <w:b w:val="1"/>
                <w:bCs w:val="1"/>
                <w:color w:val="auto"/>
                <w:w w:val="88"/>
              </w:rPr>
              <w:t>Gross Amounts not Offset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84"/>
              </w:rPr>
              <w:t>Gross</w:t>
            </w: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9"/>
              </w:rPr>
              <w:t>Amounts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Offset on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in the Balance Sheet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the Balance</w:t>
            </w: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Net Asset</w:t>
            </w: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Financial</w:t>
            </w: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Collateral</w:t>
            </w:r>
          </w:p>
        </w:tc>
        <w:tc>
          <w:tcPr>
            <w:tcW w:w="20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Sheet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Received</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080" w:space="280"/>
            <w:col w:w="7060"/>
          </w:cols>
          <w:pgMar w:left="240" w:top="661" w:right="2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w w:val="92"/>
              </w:rPr>
              <w:t>Repurchase agreements / reverse repurchase agreements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420,082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20,082</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(3,729</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15,834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F0FFFF"/>
              <w:bottom w:val="single" w:sz="8" w:color="F0FFFF"/>
            </w:tcBorders>
            <w:vMerge w:val="restart"/>
          </w:tcPr>
          <w:p>
            <w:pPr>
              <w:spacing w:after="0" w:line="189" w:lineRule="exact"/>
              <w:rPr>
                <w:sz w:val="20"/>
                <w:szCs w:val="20"/>
                <w:color w:val="auto"/>
              </w:rPr>
            </w:pPr>
            <w:r>
              <w:rPr>
                <w:rFonts w:ascii="Arial" w:cs="Arial" w:eastAsia="Arial" w:hAnsi="Arial"/>
                <w:sz w:val="18"/>
                <w:szCs w:val="18"/>
                <w:color w:val="auto"/>
              </w:rPr>
              <w:t>Weighted average interest rate of reverse repurchase</w:t>
            </w: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vMerge w:val="restart"/>
          </w:tcPr>
          <w:p>
            <w:pPr>
              <w:jc w:val="right"/>
              <w:ind w:right="200"/>
              <w:spacing w:after="0"/>
              <w:rPr>
                <w:sz w:val="20"/>
                <w:szCs w:val="20"/>
                <w:color w:val="auto"/>
              </w:rPr>
            </w:pPr>
            <w:r>
              <w:rPr>
                <w:rFonts w:ascii="Arial" w:cs="Arial" w:eastAsia="Arial" w:hAnsi="Arial"/>
                <w:sz w:val="18"/>
                <w:szCs w:val="18"/>
                <w:b w:val="1"/>
                <w:bCs w:val="1"/>
                <w:color w:val="auto"/>
                <w:w w:val="88"/>
              </w:rPr>
              <w:t>Gross Amounts not Offset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20"/>
                <w:szCs w:val="20"/>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in the Balance Sheet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4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160" w:type="dxa"/>
            <w:vAlign w:val="bottom"/>
            <w:gridSpan w:val="3"/>
          </w:tcPr>
          <w:p>
            <w:pPr>
              <w:jc w:val="center"/>
              <w:ind w:right="60"/>
              <w:spacing w:after="0" w:line="198" w:lineRule="exact"/>
              <w:rPr>
                <w:sz w:val="20"/>
                <w:szCs w:val="20"/>
                <w:color w:val="auto"/>
              </w:rPr>
            </w:pPr>
            <w:r>
              <w:rPr>
                <w:rFonts w:ascii="Arial" w:cs="Arial" w:eastAsia="Arial" w:hAnsi="Arial"/>
                <w:sz w:val="18"/>
                <w:szCs w:val="18"/>
                <w:b w:val="1"/>
                <w:bCs w:val="1"/>
                <w:color w:val="auto"/>
                <w:w w:val="89"/>
              </w:rPr>
              <w:t>the 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Liability</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rPr>
              <w:t>Financial</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9"/>
              </w:rPr>
              <w:t>Collateral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Instruments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Pledged</w:t>
            </w:r>
          </w:p>
        </w:tc>
        <w:tc>
          <w:tcPr>
            <w:tcW w:w="60" w:type="dxa"/>
            <w:vAlign w:val="bottom"/>
          </w:tcPr>
          <w:p>
            <w:pPr>
              <w:spacing w:after="0"/>
              <w:rPr>
                <w:sz w:val="20"/>
                <w:szCs w:val="2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8"/>
                <w:szCs w:val="18"/>
                <w:color w:val="auto"/>
                <w:w w:val="92"/>
              </w:rPr>
              <w:t>Repurchase agreements / reverse repurchase agreements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28,825</w:t>
            </w: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(30,917)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428,825</w:t>
            </w:r>
          </w:p>
        </w:tc>
        <w:tc>
          <w:tcPr>
            <w:tcW w:w="20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28,825</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(30,917</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9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80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04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8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180" w:type="dxa"/>
            <w:vAlign w:val="bottom"/>
            <w:shd w:val="clear" w:color="auto" w:fill="F0FFFF"/>
          </w:tcPr>
          <w:p>
            <w:pPr>
              <w:spacing w:after="0" w:line="20" w:lineRule="exact"/>
              <w:rPr>
                <w:sz w:val="1"/>
                <w:szCs w:val="1"/>
                <w:color w:val="auto"/>
              </w:rPr>
            </w:pPr>
          </w:p>
        </w:tc>
        <w:tc>
          <w:tcPr>
            <w:tcW w:w="6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interest rate of repurchase agreements</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3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March 31, 2016, United recognized the right to reclaim cash collateral of $28.7 million and the obligation to return cash collateral of $4.37 million. At December 31, 2015, United recognized the right to reclaim cash collateral of $6.26 million and the obligation to return cash collateral of $3.73 million. The right to reclaim cash collateral and the obligation to return cash collateral were included in the consolidated balance sheet in other assets and other liabilities, respectively.</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7"/>
              </w:rPr>
              <w:t>Remaining Contractual Maturity of the Agreements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Overnight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2016</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Continuous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Up to 30 Days</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30 to 90 Days</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91 to 110 days</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F0FFFF"/>
          </w:tcPr>
          <w:p>
            <w:pPr>
              <w:spacing w:after="0"/>
              <w:rPr>
                <w:sz w:val="18"/>
                <w:szCs w:val="18"/>
                <w:color w:val="auto"/>
              </w:rPr>
            </w:pPr>
          </w:p>
        </w:tc>
        <w:tc>
          <w:tcPr>
            <w:tcW w:w="398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U.S. Treasuries</w:t>
            </w:r>
          </w:p>
        </w:tc>
        <w:tc>
          <w:tcPr>
            <w:tcW w:w="11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Mortgage-backed securities</w:t>
            </w:r>
          </w:p>
        </w:tc>
        <w:tc>
          <w:tcPr>
            <w:tcW w:w="112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5"/>
        </w:trPr>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398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Borders>
              <w:top w:val="single" w:sz="8" w:color="auto"/>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3980" w:type="dxa"/>
            <w:vAlign w:val="bottom"/>
            <w:tcBorders>
              <w:top w:val="single" w:sz="8" w:color="F0FFFF"/>
              <w:bottom w:val="single" w:sz="8" w:color="F0FFFF"/>
            </w:tcBorders>
            <w:gridSpan w:val="2"/>
            <w:vMerge w:val="restart"/>
          </w:tcPr>
          <w:p>
            <w:pPr>
              <w:spacing w:after="0"/>
              <w:rPr>
                <w:sz w:val="20"/>
                <w:szCs w:val="20"/>
                <w:color w:val="auto"/>
              </w:rPr>
            </w:pPr>
            <w:r>
              <w:rPr>
                <w:rFonts w:ascii="Arial" w:cs="Arial" w:eastAsia="Arial" w:hAnsi="Arial"/>
                <w:sz w:val="18"/>
                <w:szCs w:val="18"/>
                <w:color w:val="auto"/>
                <w:w w:val="94"/>
              </w:rPr>
              <w:t>Gross amount of recognized liabilities for repurchase</w:t>
            </w:r>
          </w:p>
        </w:tc>
        <w:tc>
          <w:tcPr>
            <w:tcW w:w="1240" w:type="dxa"/>
            <w:vAlign w:val="bottom"/>
            <w:tcBorders>
              <w:top w:val="single" w:sz="8" w:color="F0FFFF"/>
              <w:bottom w:val="single" w:sz="8" w:color="auto"/>
            </w:tcBorders>
            <w:gridSpan w:val="2"/>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bottom w:val="single" w:sz="8" w:color="auto"/>
            </w:tcBorders>
            <w:gridSpan w:val="2"/>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980" w:type="dxa"/>
            <w:vAlign w:val="bottom"/>
            <w:gridSpan w:val="2"/>
            <w:vMerge w:val="continue"/>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w w:val="75"/>
              </w:rPr>
              <w:t>agreements in offsetting</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disclosure</w:t>
            </w: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0"/>
        </w:trPr>
        <w:tc>
          <w:tcPr>
            <w:tcW w:w="20" w:type="dxa"/>
            <w:vAlign w:val="bottom"/>
            <w:tcBorders>
              <w:bottom w:val="single" w:sz="8" w:color="F0FFFF"/>
            </w:tcBorders>
          </w:tcPr>
          <w:p>
            <w:pPr>
              <w:spacing w:after="0" w:line="20" w:lineRule="exact"/>
              <w:rPr>
                <w:sz w:val="1"/>
                <w:szCs w:val="1"/>
                <w:color w:val="auto"/>
              </w:rPr>
            </w:pPr>
          </w:p>
        </w:tc>
        <w:tc>
          <w:tcPr>
            <w:tcW w:w="1620" w:type="dxa"/>
            <w:vAlign w:val="bottom"/>
            <w:tcBorders>
              <w:bottom w:val="single" w:sz="8" w:color="F0FFFF"/>
            </w:tcBorders>
          </w:tcPr>
          <w:p>
            <w:pPr>
              <w:spacing w:after="0" w:line="20" w:lineRule="exact"/>
              <w:rPr>
                <w:sz w:val="1"/>
                <w:szCs w:val="1"/>
                <w:color w:val="auto"/>
              </w:rPr>
            </w:pPr>
          </w:p>
        </w:tc>
        <w:tc>
          <w:tcPr>
            <w:tcW w:w="236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Borders>
              <w:bottom w:val="single" w:sz="8" w:color="F0FFFF"/>
            </w:tcBorders>
            <w:shd w:val="clear" w:color="auto" w:fill="F0FFFF"/>
          </w:tcPr>
          <w:p>
            <w:pPr>
              <w:spacing w:after="0"/>
              <w:rPr>
                <w:sz w:val="20"/>
                <w:szCs w:val="20"/>
                <w:color w:val="auto"/>
              </w:rPr>
            </w:pPr>
          </w:p>
        </w:tc>
        <w:tc>
          <w:tcPr>
            <w:tcW w:w="51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w w:val="94"/>
              </w:rPr>
              <w:t>Amounts related to agreements not included in offsetting disclosure</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36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7"/>
              </w:rPr>
              <w:t>Remaining Contractual Maturity of the Agreements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Overnight and</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2015</w:t>
            </w: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Continuous</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Up to 30 Days</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30 to 90 Days</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91 to 110 days</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F0FFFF"/>
          </w:tcPr>
          <w:p>
            <w:pPr>
              <w:spacing w:after="0"/>
              <w:rPr>
                <w:sz w:val="18"/>
                <w:szCs w:val="18"/>
                <w:color w:val="auto"/>
              </w:rPr>
            </w:pPr>
          </w:p>
        </w:tc>
        <w:tc>
          <w:tcPr>
            <w:tcW w:w="398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U.S. Treasuries</w:t>
            </w:r>
          </w:p>
        </w:tc>
        <w:tc>
          <w:tcPr>
            <w:tcW w:w="1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20" w:type="dxa"/>
            <w:vAlign w:val="bottom"/>
            <w:shd w:val="clear" w:color="auto" w:fill="F0FFFF"/>
          </w:tcPr>
          <w:p>
            <w:pPr>
              <w:spacing w:after="0"/>
              <w:rPr>
                <w:sz w:val="20"/>
                <w:szCs w:val="20"/>
                <w:color w:val="auto"/>
              </w:rPr>
            </w:pPr>
          </w:p>
        </w:tc>
        <w:tc>
          <w:tcPr>
            <w:tcW w:w="398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F0FFFF"/>
          </w:tcPr>
          <w:p>
            <w:pPr>
              <w:spacing w:after="0"/>
              <w:rPr>
                <w:sz w:val="20"/>
                <w:szCs w:val="20"/>
                <w:color w:val="auto"/>
              </w:rPr>
            </w:pPr>
          </w:p>
        </w:tc>
        <w:tc>
          <w:tcPr>
            <w:tcW w:w="13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16,608</w:t>
            </w:r>
          </w:p>
        </w:tc>
        <w:tc>
          <w:tcPr>
            <w:tcW w:w="4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F0FFFF"/>
          </w:tcPr>
          <w:p>
            <w:pPr>
              <w:spacing w:after="0"/>
              <w:rPr>
                <w:sz w:val="20"/>
                <w:szCs w:val="20"/>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175,000</w:t>
            </w:r>
          </w:p>
        </w:tc>
        <w:tc>
          <w:tcPr>
            <w:tcW w:w="36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316,608</w:t>
            </w:r>
          </w:p>
        </w:tc>
        <w:tc>
          <w:tcPr>
            <w:tcW w:w="0" w:type="dxa"/>
            <w:vAlign w:val="bottom"/>
          </w:tcPr>
          <w:p>
            <w:pPr>
              <w:spacing w:after="0"/>
              <w:rPr>
                <w:sz w:val="1"/>
                <w:szCs w:val="1"/>
                <w:color w:val="auto"/>
              </w:rPr>
            </w:pPr>
          </w:p>
        </w:tc>
      </w:tr>
      <w:tr>
        <w:trPr>
          <w:trHeight w:val="203"/>
        </w:trPr>
        <w:tc>
          <w:tcPr>
            <w:tcW w:w="20" w:type="dxa"/>
            <w:vAlign w:val="bottom"/>
            <w:tcBorders>
              <w:top w:val="single" w:sz="8" w:color="F0FFFF"/>
            </w:tcBorders>
          </w:tcPr>
          <w:p>
            <w:pPr>
              <w:spacing w:after="0"/>
              <w:rPr>
                <w:sz w:val="17"/>
                <w:szCs w:val="17"/>
                <w:color w:val="auto"/>
              </w:rPr>
            </w:pPr>
          </w:p>
        </w:tc>
        <w:tc>
          <w:tcPr>
            <w:tcW w:w="1880" w:type="dxa"/>
            <w:vAlign w:val="bottom"/>
            <w:tcBorders>
              <w:top w:val="single" w:sz="8" w:color="F0FFFF"/>
            </w:tcBorders>
          </w:tcPr>
          <w:p>
            <w:pPr>
              <w:spacing w:after="0"/>
              <w:rPr>
                <w:sz w:val="17"/>
                <w:szCs w:val="17"/>
                <w:color w:val="auto"/>
              </w:rPr>
            </w:pPr>
          </w:p>
        </w:tc>
        <w:tc>
          <w:tcPr>
            <w:tcW w:w="2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F0FFFF"/>
          </w:tcPr>
          <w:p>
            <w:pPr>
              <w:spacing w:after="0"/>
              <w:rPr>
                <w:sz w:val="22"/>
                <w:szCs w:val="22"/>
                <w:color w:val="auto"/>
              </w:rPr>
            </w:pPr>
          </w:p>
        </w:tc>
        <w:tc>
          <w:tcPr>
            <w:tcW w:w="3980" w:type="dxa"/>
            <w:vAlign w:val="bottom"/>
            <w:gridSpan w:val="2"/>
            <w:shd w:val="clear" w:color="auto" w:fill="F0FF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16,640</w:t>
            </w:r>
          </w:p>
        </w:tc>
        <w:tc>
          <w:tcPr>
            <w:tcW w:w="240" w:type="dxa"/>
            <w:vAlign w:val="bottom"/>
            <w:shd w:val="clear" w:color="auto" w:fill="F0FFFF"/>
          </w:tcPr>
          <w:p>
            <w:pPr>
              <w:spacing w:after="0"/>
              <w:rPr>
                <w:sz w:val="22"/>
                <w:szCs w:val="22"/>
                <w:color w:val="auto"/>
              </w:rPr>
            </w:pPr>
          </w:p>
        </w:tc>
        <w:tc>
          <w:tcPr>
            <w:tcW w:w="4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275,000</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416,640</w:t>
            </w:r>
          </w:p>
        </w:tc>
        <w:tc>
          <w:tcPr>
            <w:tcW w:w="0" w:type="dxa"/>
            <w:vAlign w:val="bottom"/>
          </w:tcPr>
          <w:p>
            <w:pPr>
              <w:spacing w:after="0"/>
              <w:rPr>
                <w:sz w:val="1"/>
                <w:szCs w:val="1"/>
                <w:color w:val="auto"/>
              </w:rPr>
            </w:pPr>
          </w:p>
        </w:tc>
      </w:tr>
      <w:tr>
        <w:trPr>
          <w:trHeight w:val="20"/>
        </w:trPr>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3980" w:type="dxa"/>
            <w:vAlign w:val="bottom"/>
            <w:tcBorders>
              <w:top w:val="single" w:sz="8" w:color="F0FFFF"/>
              <w:bottom w:val="single" w:sz="8" w:color="F0FFFF"/>
            </w:tcBorders>
            <w:gridSpan w:val="2"/>
            <w:vMerge w:val="restart"/>
          </w:tcPr>
          <w:p>
            <w:pPr>
              <w:spacing w:after="0"/>
              <w:rPr>
                <w:sz w:val="20"/>
                <w:szCs w:val="20"/>
                <w:color w:val="auto"/>
              </w:rPr>
            </w:pPr>
            <w:r>
              <w:rPr>
                <w:rFonts w:ascii="Arial" w:cs="Arial" w:eastAsia="Arial" w:hAnsi="Arial"/>
                <w:sz w:val="18"/>
                <w:szCs w:val="18"/>
                <w:color w:val="auto"/>
                <w:w w:val="94"/>
              </w:rPr>
              <w:t>Gross amount of recognized liabilities for repurchase</w:t>
            </w: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80" w:type="dxa"/>
            <w:vAlign w:val="bottom"/>
            <w:gridSpan w:val="2"/>
            <w:vMerge w:val="continue"/>
          </w:tcPr>
          <w:p>
            <w:pPr>
              <w:spacing w:after="0"/>
              <w:rPr>
                <w:sz w:val="17"/>
                <w:szCs w:val="17"/>
                <w:color w:val="auto"/>
              </w:rPr>
            </w:pPr>
          </w:p>
        </w:tc>
        <w:tc>
          <w:tcPr>
            <w:tcW w:w="1480" w:type="dxa"/>
            <w:vAlign w:val="bottom"/>
            <w:gridSpan w:val="3"/>
          </w:tcPr>
          <w:p>
            <w:pPr>
              <w:spacing w:after="0" w:line="204" w:lineRule="exact"/>
              <w:rPr>
                <w:sz w:val="20"/>
                <w:szCs w:val="20"/>
                <w:color w:val="auto"/>
              </w:rPr>
            </w:pPr>
            <w:r>
              <w:rPr>
                <w:rFonts w:ascii="Arial" w:cs="Arial" w:eastAsia="Arial" w:hAnsi="Arial"/>
                <w:sz w:val="18"/>
                <w:szCs w:val="18"/>
                <w:color w:val="auto"/>
                <w:w w:val="75"/>
              </w:rPr>
              <w:t>agreements in offsetting</w:t>
            </w:r>
          </w:p>
        </w:tc>
        <w:tc>
          <w:tcPr>
            <w:tcW w:w="122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disclosure</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F0FFFF"/>
            </w:tcBorders>
          </w:tcPr>
          <w:p>
            <w:pPr>
              <w:spacing w:after="0" w:line="20" w:lineRule="exact"/>
              <w:rPr>
                <w:sz w:val="1"/>
                <w:szCs w:val="1"/>
                <w:color w:val="auto"/>
              </w:rPr>
            </w:pPr>
          </w:p>
        </w:tc>
        <w:tc>
          <w:tcPr>
            <w:tcW w:w="1880" w:type="dxa"/>
            <w:vAlign w:val="bottom"/>
            <w:tcBorders>
              <w:bottom w:val="single" w:sz="8" w:color="F0FFFF"/>
            </w:tcBorders>
          </w:tcPr>
          <w:p>
            <w:pPr>
              <w:spacing w:after="0" w:line="20" w:lineRule="exact"/>
              <w:rPr>
                <w:sz w:val="1"/>
                <w:szCs w:val="1"/>
                <w:color w:val="auto"/>
              </w:rPr>
            </w:pPr>
          </w:p>
        </w:tc>
        <w:tc>
          <w:tcPr>
            <w:tcW w:w="2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Borders>
              <w:bottom w:val="single" w:sz="8" w:color="F0FFFF"/>
            </w:tcBorders>
            <w:shd w:val="clear" w:color="auto" w:fill="F0FFFF"/>
          </w:tcPr>
          <w:p>
            <w:pPr>
              <w:spacing w:after="0"/>
              <w:rPr>
                <w:sz w:val="20"/>
                <w:szCs w:val="20"/>
                <w:color w:val="auto"/>
              </w:rPr>
            </w:pPr>
          </w:p>
        </w:tc>
        <w:tc>
          <w:tcPr>
            <w:tcW w:w="5460" w:type="dxa"/>
            <w:vAlign w:val="bottom"/>
            <w:tcBorders>
              <w:bottom w:val="single" w:sz="8" w:color="F0FFFF"/>
            </w:tcBorders>
            <w:gridSpan w:val="5"/>
            <w:shd w:val="clear" w:color="auto" w:fill="F0FFFF"/>
          </w:tcPr>
          <w:p>
            <w:pPr>
              <w:spacing w:after="0"/>
              <w:rPr>
                <w:sz w:val="20"/>
                <w:szCs w:val="20"/>
                <w:color w:val="auto"/>
              </w:rPr>
            </w:pPr>
            <w:r>
              <w:rPr>
                <w:rFonts w:ascii="Arial" w:cs="Arial" w:eastAsia="Arial" w:hAnsi="Arial"/>
                <w:sz w:val="18"/>
                <w:szCs w:val="18"/>
                <w:color w:val="auto"/>
              </w:rPr>
              <w:t>Amounts related to agreements not included in offsetting disclosure</w:t>
            </w:r>
          </w:p>
        </w:tc>
        <w:tc>
          <w:tcPr>
            <w:tcW w:w="4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2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Amortized</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w:t>
            </w:r>
          </w:p>
        </w:tc>
      </w:tr>
      <w:tr>
        <w:trPr>
          <w:trHeight w:val="207"/>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As of March 31, 2016</w:t>
            </w:r>
          </w:p>
        </w:tc>
        <w:tc>
          <w:tcPr>
            <w:tcW w:w="16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F0FFFF"/>
          </w:tcPr>
          <w:p>
            <w:pPr>
              <w:spacing w:after="0"/>
              <w:rPr>
                <w:sz w:val="18"/>
                <w:szCs w:val="18"/>
                <w:color w:val="auto"/>
              </w:rPr>
            </w:pPr>
          </w:p>
        </w:tc>
        <w:tc>
          <w:tcPr>
            <w:tcW w:w="542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61,499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F0FFFF"/>
          </w:tcPr>
          <w:p>
            <w:pPr>
              <w:ind w:left="660"/>
              <w:spacing w:after="0"/>
              <w:rPr>
                <w:sz w:val="20"/>
                <w:szCs w:val="20"/>
                <w:color w:val="auto"/>
              </w:rPr>
            </w:pPr>
            <w:r>
              <w:rPr>
                <w:rFonts w:ascii="Arial" w:cs="Arial" w:eastAsia="Arial" w:hAnsi="Arial"/>
                <w:sz w:val="18"/>
                <w:szCs w:val="18"/>
                <w:color w:val="auto"/>
              </w:rPr>
              <w:t>4,904</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66,403</w:t>
            </w:r>
          </w:p>
        </w:tc>
      </w:tr>
      <w:tr>
        <w:trPr>
          <w:trHeight w:val="277"/>
        </w:trPr>
        <w:tc>
          <w:tcPr>
            <w:tcW w:w="20" w:type="dxa"/>
            <w:vAlign w:val="bottom"/>
          </w:tcPr>
          <w:p>
            <w:pPr>
              <w:spacing w:after="0"/>
              <w:rPr>
                <w:sz w:val="24"/>
                <w:szCs w:val="24"/>
                <w:color w:val="auto"/>
              </w:rPr>
            </w:pPr>
          </w:p>
        </w:tc>
        <w:tc>
          <w:tcPr>
            <w:tcW w:w="5420" w:type="dxa"/>
            <w:vAlign w:val="bottom"/>
            <w:gridSpan w:val="3"/>
          </w:tcPr>
          <w:p>
            <w:pPr>
              <w:ind w:left="30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290,201</w:t>
            </w:r>
          </w:p>
        </w:tc>
        <w:tc>
          <w:tcPr>
            <w:tcW w:w="140" w:type="dxa"/>
            <w:vAlign w:val="bottom"/>
          </w:tcPr>
          <w:p>
            <w:pPr>
              <w:spacing w:after="0"/>
              <w:rPr>
                <w:sz w:val="24"/>
                <w:szCs w:val="24"/>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296,689</w:t>
            </w:r>
          </w:p>
        </w:tc>
      </w:tr>
      <w:tr>
        <w:trPr>
          <w:trHeight w:val="255"/>
        </w:trPr>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5420" w:type="dxa"/>
            <w:vAlign w:val="bottom"/>
            <w:tcBorders>
              <w:top w:val="single" w:sz="8" w:color="F0FFFF"/>
              <w:bottom w:val="single" w:sz="8" w:color="F0FFFF"/>
            </w:tcBorders>
            <w:gridSpan w:val="3"/>
            <w:shd w:val="clear" w:color="auto" w:fill="F0FFFF"/>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351,700</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ind w:left="580"/>
              <w:spacing w:after="0"/>
              <w:rPr>
                <w:sz w:val="20"/>
                <w:szCs w:val="20"/>
                <w:color w:val="auto"/>
              </w:rPr>
            </w:pPr>
            <w:r>
              <w:rPr>
                <w:rFonts w:ascii="Arial" w:cs="Arial" w:eastAsia="Arial" w:hAnsi="Arial"/>
                <w:sz w:val="18"/>
                <w:szCs w:val="18"/>
                <w:color w:val="auto"/>
                <w:w w:val="83"/>
              </w:rPr>
              <w:t>11,771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363,092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35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shd w:val="clear" w:color="auto" w:fill="F0FFFF"/>
          </w:tcPr>
          <w:p>
            <w:pPr>
              <w:spacing w:after="0"/>
              <w:rPr>
                <w:sz w:val="17"/>
                <w:szCs w:val="17"/>
                <w:color w:val="auto"/>
              </w:rPr>
            </w:pPr>
          </w:p>
        </w:tc>
        <w:tc>
          <w:tcPr>
            <w:tcW w:w="542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20" w:type="dxa"/>
            <w:vAlign w:val="bottom"/>
            <w:tcBorders>
              <w:top w:val="single" w:sz="8" w:color="F0FF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5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16"/>
        </w:trPr>
        <w:tc>
          <w:tcPr>
            <w:tcW w:w="20" w:type="dxa"/>
            <w:vAlign w:val="bottom"/>
            <w:shd w:val="clear" w:color="auto" w:fill="F0FFFF"/>
          </w:tcPr>
          <w:p>
            <w:pPr>
              <w:spacing w:after="0"/>
              <w:rPr>
                <w:sz w:val="18"/>
                <w:szCs w:val="18"/>
                <w:color w:val="auto"/>
              </w:rPr>
            </w:pPr>
          </w:p>
        </w:tc>
        <w:tc>
          <w:tcPr>
            <w:tcW w:w="542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62,073</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F0FFFF"/>
          </w:tcPr>
          <w:p>
            <w:pPr>
              <w:ind w:left="660"/>
              <w:spacing w:after="0"/>
              <w:rPr>
                <w:sz w:val="20"/>
                <w:szCs w:val="20"/>
                <w:color w:val="auto"/>
              </w:rPr>
            </w:pPr>
            <w:r>
              <w:rPr>
                <w:rFonts w:ascii="Arial" w:cs="Arial" w:eastAsia="Arial" w:hAnsi="Arial"/>
                <w:sz w:val="18"/>
                <w:szCs w:val="18"/>
                <w:color w:val="auto"/>
              </w:rPr>
              <w:t>3,211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65,284</w:t>
            </w:r>
          </w:p>
        </w:tc>
      </w:tr>
      <w:tr>
        <w:trPr>
          <w:trHeight w:val="277"/>
        </w:trPr>
        <w:tc>
          <w:tcPr>
            <w:tcW w:w="20" w:type="dxa"/>
            <w:vAlign w:val="bottom"/>
          </w:tcPr>
          <w:p>
            <w:pPr>
              <w:spacing w:after="0"/>
              <w:rPr>
                <w:sz w:val="24"/>
                <w:szCs w:val="24"/>
                <w:color w:val="auto"/>
              </w:rPr>
            </w:pPr>
          </w:p>
        </w:tc>
        <w:tc>
          <w:tcPr>
            <w:tcW w:w="5420" w:type="dxa"/>
            <w:vAlign w:val="bottom"/>
            <w:gridSpan w:val="3"/>
          </w:tcPr>
          <w:p>
            <w:pPr>
              <w:ind w:left="30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6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302,623</w:t>
            </w:r>
          </w:p>
        </w:tc>
        <w:tc>
          <w:tcPr>
            <w:tcW w:w="140" w:type="dxa"/>
            <w:vAlign w:val="bottom"/>
          </w:tcPr>
          <w:p>
            <w:pPr>
              <w:spacing w:after="0"/>
              <w:rPr>
                <w:sz w:val="24"/>
                <w:szCs w:val="24"/>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5,424</w:t>
            </w:r>
          </w:p>
        </w:tc>
        <w:tc>
          <w:tcPr>
            <w:tcW w:w="14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306,374</w:t>
            </w:r>
          </w:p>
        </w:tc>
      </w:tr>
      <w:tr>
        <w:trPr>
          <w:trHeight w:val="255"/>
        </w:trPr>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5420" w:type="dxa"/>
            <w:vAlign w:val="bottom"/>
            <w:tcBorders>
              <w:top w:val="single" w:sz="8" w:color="F0FFFF"/>
              <w:bottom w:val="single" w:sz="8" w:color="F0FFFF"/>
            </w:tcBorders>
            <w:gridSpan w:val="3"/>
            <w:shd w:val="clear" w:color="auto" w:fill="F0FFFF"/>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364,696</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ind w:left="660"/>
              <w:spacing w:after="0"/>
              <w:rPr>
                <w:sz w:val="20"/>
                <w:szCs w:val="20"/>
                <w:color w:val="auto"/>
              </w:rPr>
            </w:pPr>
            <w:r>
              <w:rPr>
                <w:rFonts w:ascii="Arial" w:cs="Arial" w:eastAsia="Arial" w:hAnsi="Arial"/>
                <w:sz w:val="18"/>
                <w:szCs w:val="18"/>
                <w:color w:val="auto"/>
                <w:w w:val="84"/>
              </w:rPr>
              <w:t>8,635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371,658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35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right="2200" w:hanging="5270"/>
        <w:spacing w:after="0" w:line="1002" w:lineRule="auto"/>
        <w:tabs>
          <w:tab w:leader="none" w:pos="566"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All are residential type mortgage-backed securities or U.S. government agency commercial mortgage backed securities.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586"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07"/>
        </w:trPr>
        <w:tc>
          <w:tcPr>
            <w:tcW w:w="3780" w:type="dxa"/>
            <w:vAlign w:val="bottom"/>
            <w:gridSpan w:val="4"/>
          </w:tcPr>
          <w:p>
            <w:pPr>
              <w:spacing w:after="0"/>
              <w:rPr>
                <w:sz w:val="20"/>
                <w:szCs w:val="20"/>
                <w:color w:val="auto"/>
              </w:rPr>
            </w:pPr>
            <w:r>
              <w:rPr>
                <w:rFonts w:ascii="Arial" w:cs="Arial" w:eastAsia="Arial" w:hAnsi="Arial"/>
                <w:sz w:val="18"/>
                <w:szCs w:val="18"/>
                <w:color w:val="auto"/>
              </w:rPr>
              <w:t>As of March 31, 2016</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bottom w:val="single" w:sz="8" w:color="F0FFFF"/>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920" w:type="dxa"/>
            <w:vAlign w:val="bottom"/>
            <w:tcBorders>
              <w:bottom w:val="single" w:sz="8" w:color="F0FFFF"/>
            </w:tcBorders>
          </w:tcPr>
          <w:p>
            <w:pPr>
              <w:spacing w:after="0" w:line="20" w:lineRule="exact"/>
              <w:rPr>
                <w:sz w:val="1"/>
                <w:szCs w:val="1"/>
                <w:color w:val="auto"/>
              </w:rPr>
            </w:pPr>
          </w:p>
        </w:tc>
        <w:tc>
          <w:tcPr>
            <w:tcW w:w="1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3"/>
            <w:shd w:val="clear" w:color="auto" w:fill="F0FFFF"/>
          </w:tcPr>
          <w:p>
            <w:pPr>
              <w:ind w:left="280"/>
              <w:spacing w:after="0"/>
              <w:rPr>
                <w:sz w:val="20"/>
                <w:szCs w:val="20"/>
                <w:color w:val="auto"/>
              </w:rPr>
            </w:pPr>
            <w:r>
              <w:rPr>
                <w:rFonts w:ascii="Arial" w:cs="Arial" w:eastAsia="Arial" w:hAnsi="Arial"/>
                <w:sz w:val="18"/>
                <w:szCs w:val="18"/>
                <w:color w:val="auto"/>
              </w:rPr>
              <w:t>U.S. Treasuries</w:t>
            </w: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140,574</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143,051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280"/>
              <w:spacing w:after="0"/>
              <w:rPr>
                <w:sz w:val="20"/>
                <w:szCs w:val="20"/>
                <w:color w:val="auto"/>
              </w:rPr>
            </w:pPr>
            <w:r>
              <w:rPr>
                <w:rFonts w:ascii="Arial" w:cs="Arial" w:eastAsia="Arial" w:hAnsi="Arial"/>
                <w:sz w:val="18"/>
                <w:szCs w:val="18"/>
                <w:color w:val="auto"/>
              </w:rPr>
              <w:t>U.S. Government agencies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F0FFFF"/>
          </w:tcPr>
          <w:p>
            <w:pPr>
              <w:ind w:left="280"/>
              <w:spacing w:after="0"/>
              <w:rPr>
                <w:sz w:val="20"/>
                <w:szCs w:val="20"/>
                <w:color w:val="auto"/>
              </w:rPr>
            </w:pPr>
            <w:r>
              <w:rPr>
                <w:rFonts w:ascii="Arial" w:cs="Arial" w:eastAsia="Arial" w:hAnsi="Arial"/>
                <w:sz w:val="18"/>
                <w:szCs w:val="18"/>
                <w:color w:val="auto"/>
              </w:rPr>
              <w:t>State and political subdivisions</w:t>
            </w: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73,361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74,140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tcPr>
          <w:p>
            <w:pPr>
              <w:ind w:left="28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1,253,173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1,267,335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F0FFFF"/>
          </w:tcPr>
          <w:p>
            <w:pPr>
              <w:ind w:left="280"/>
              <w:spacing w:after="0"/>
              <w:rPr>
                <w:sz w:val="20"/>
                <w:szCs w:val="20"/>
                <w:color w:val="auto"/>
              </w:rPr>
            </w:pPr>
            <w:r>
              <w:rPr>
                <w:rFonts w:ascii="Arial" w:cs="Arial" w:eastAsia="Arial" w:hAnsi="Arial"/>
                <w:sz w:val="18"/>
                <w:szCs w:val="18"/>
                <w:color w:val="auto"/>
              </w:rPr>
              <w:t>Corporate bonds</w:t>
            </w: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308,064</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308,462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280"/>
              <w:spacing w:after="0"/>
              <w:rPr>
                <w:sz w:val="20"/>
                <w:szCs w:val="20"/>
                <w:color w:val="auto"/>
              </w:rPr>
            </w:pPr>
            <w:r>
              <w:rPr>
                <w:rFonts w:ascii="Arial" w:cs="Arial" w:eastAsia="Arial" w:hAnsi="Arial"/>
                <w:sz w:val="18"/>
                <w:szCs w:val="18"/>
                <w:color w:val="auto"/>
              </w:rPr>
              <w:t>Asset-backed securities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531,488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F0FFFF"/>
            </w:tcBorders>
            <w:gridSpan w:val="3"/>
            <w:shd w:val="clear" w:color="auto" w:fill="F0FFFF"/>
          </w:tcPr>
          <w:p>
            <w:pPr>
              <w:ind w:left="2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2,938</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2,395,489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14,268</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920" w:type="dxa"/>
            <w:vAlign w:val="bottom"/>
            <w:tcBorders>
              <w:bottom w:val="single" w:sz="8" w:color="F0FFFF"/>
            </w:tcBorders>
          </w:tcPr>
          <w:p>
            <w:pPr>
              <w:spacing w:after="0" w:line="20" w:lineRule="exact"/>
              <w:rPr>
                <w:sz w:val="1"/>
                <w:szCs w:val="1"/>
                <w:color w:val="auto"/>
              </w:rPr>
            </w:pPr>
          </w:p>
        </w:tc>
        <w:tc>
          <w:tcPr>
            <w:tcW w:w="1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9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9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280"/>
              <w:spacing w:after="0"/>
              <w:rPr>
                <w:sz w:val="20"/>
                <w:szCs w:val="20"/>
                <w:color w:val="auto"/>
              </w:rPr>
            </w:pPr>
            <w:r>
              <w:rPr>
                <w:rFonts w:ascii="Arial" w:cs="Arial" w:eastAsia="Arial" w:hAnsi="Arial"/>
                <w:sz w:val="18"/>
                <w:szCs w:val="18"/>
                <w:color w:val="auto"/>
              </w:rPr>
              <w:t>U.S. Treasuries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169,034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F0FFFF"/>
          </w:tcPr>
          <w:p>
            <w:pPr>
              <w:ind w:left="280"/>
              <w:spacing w:after="0"/>
              <w:rPr>
                <w:sz w:val="20"/>
                <w:szCs w:val="20"/>
                <w:color w:val="auto"/>
              </w:rPr>
            </w:pPr>
            <w:r>
              <w:rPr>
                <w:rFonts w:ascii="Arial" w:cs="Arial" w:eastAsia="Arial" w:hAnsi="Arial"/>
                <w:sz w:val="18"/>
                <w:szCs w:val="18"/>
                <w:color w:val="auto"/>
              </w:rPr>
              <w:t>U.S. Government agencies</w:t>
            </w: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112,394</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112,340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280"/>
              <w:spacing w:after="0"/>
              <w:rPr>
                <w:sz w:val="20"/>
                <w:szCs w:val="20"/>
                <w:color w:val="auto"/>
              </w:rPr>
            </w:pPr>
            <w:r>
              <w:rPr>
                <w:rFonts w:ascii="Arial" w:cs="Arial" w:eastAsia="Arial" w:hAnsi="Arial"/>
                <w:sz w:val="18"/>
                <w:szCs w:val="18"/>
                <w:color w:val="auto"/>
              </w:rPr>
              <w:t>State and political subdivisions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3"/>
            <w:shd w:val="clear" w:color="auto" w:fill="F0FFFF"/>
          </w:tcPr>
          <w:p>
            <w:pPr>
              <w:ind w:left="28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24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1,108,206</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12,077</w:t>
            </w:r>
          </w:p>
        </w:tc>
        <w:tc>
          <w:tcPr>
            <w:tcW w:w="2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7,165</w:t>
            </w:r>
          </w:p>
        </w:tc>
        <w:tc>
          <w:tcPr>
            <w:tcW w:w="2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1,113,118</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ind w:left="280"/>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F0FFFF"/>
          </w:tcPr>
          <w:p>
            <w:pPr>
              <w:ind w:left="280"/>
              <w:spacing w:after="0"/>
              <w:rPr>
                <w:sz w:val="20"/>
                <w:szCs w:val="20"/>
                <w:color w:val="auto"/>
              </w:rPr>
            </w:pPr>
            <w:r>
              <w:rPr>
                <w:rFonts w:ascii="Arial" w:cs="Arial" w:eastAsia="Arial" w:hAnsi="Arial"/>
                <w:sz w:val="18"/>
                <w:szCs w:val="18"/>
                <w:color w:val="auto"/>
              </w:rPr>
              <w:t>Asset-backed securities</w:t>
            </w:r>
          </w:p>
        </w:tc>
        <w:tc>
          <w:tcPr>
            <w:tcW w:w="1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538,679</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6,006</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533,242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Borders>
              <w:bottom w:val="single" w:sz="8" w:color="F0FFFF"/>
            </w:tcBorders>
            <w:gridSpan w:val="3"/>
          </w:tcPr>
          <w:p>
            <w:pPr>
              <w:ind w:left="2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760" w:type="dxa"/>
            <w:vAlign w:val="bottom"/>
            <w:tcBorders>
              <w:bottom w:val="single" w:sz="8" w:color="F0FFFF"/>
            </w:tcBorders>
            <w:gridSpan w:val="3"/>
            <w:shd w:val="clear" w:color="auto" w:fill="F0FFFF"/>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2,294,491</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14,581</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17,561</w:t>
            </w:r>
          </w:p>
        </w:tc>
        <w:tc>
          <w:tcPr>
            <w:tcW w:w="2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2,291,511</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92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60" w:hanging="230"/>
        <w:spacing w:after="0"/>
        <w:tabs>
          <w:tab w:leader="none" w:pos="46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All are residential type mortgage-backed securities or U.S. government agency commercial mortgage backed securities.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$1.36 billion and $1.63 billion were pledged to secure public deposits, derivatives and other secured borrowings at March 31, 2016 and December 31,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5"/>
          </w:tcPr>
          <w:p>
            <w:pPr>
              <w:ind w:left="44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40" w:type="dxa"/>
            <w:vAlign w:val="bottom"/>
            <w:gridSpan w:val="4"/>
          </w:tcPr>
          <w:p>
            <w:pPr>
              <w:spacing w:after="0"/>
              <w:rPr>
                <w:sz w:val="20"/>
                <w:szCs w:val="20"/>
                <w:color w:val="auto"/>
              </w:rPr>
            </w:pPr>
            <w:r>
              <w:rPr>
                <w:rFonts w:ascii="Arial" w:cs="Arial" w:eastAsia="Arial" w:hAnsi="Arial"/>
                <w:sz w:val="18"/>
                <w:szCs w:val="18"/>
                <w:color w:val="auto"/>
              </w:rPr>
              <w:t>As of March 31, 2016</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52,172</w:t>
            </w:r>
          </w:p>
        </w:tc>
        <w:tc>
          <w:tcPr>
            <w:tcW w:w="24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12,889</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65,061</w:t>
            </w:r>
          </w:p>
        </w:tc>
        <w:tc>
          <w:tcPr>
            <w:tcW w:w="1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gridSpan w:val="3"/>
          </w:tcPr>
          <w:p>
            <w:pPr>
              <w:ind w:left="300"/>
              <w:spacing w:after="0"/>
              <w:rPr>
                <w:sz w:val="20"/>
                <w:szCs w:val="20"/>
                <w:color w:val="auto"/>
              </w:rPr>
            </w:pPr>
            <w:r>
              <w:rPr>
                <w:rFonts w:ascii="Arial" w:cs="Arial" w:eastAsia="Arial" w:hAnsi="Arial"/>
                <w:sz w:val="18"/>
                <w:szCs w:val="18"/>
                <w:color w:val="auto"/>
                <w:w w:val="99"/>
              </w:rPr>
              <w:t>Total unrealized loss position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52,172</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2015</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140,362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153,489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2620" w:type="dxa"/>
            <w:vAlign w:val="bottom"/>
            <w:tcBorders>
              <w:top w:val="single" w:sz="8" w:color="F0FFFF"/>
              <w:bottom w:val="single" w:sz="8" w:color="F0FFFF"/>
            </w:tcBorders>
            <w:gridSpan w:val="3"/>
            <w:shd w:val="clear" w:color="auto" w:fill="F0FFFF"/>
          </w:tcPr>
          <w:p>
            <w:pPr>
              <w:ind w:left="300"/>
              <w:spacing w:after="0"/>
              <w:rPr>
                <w:sz w:val="20"/>
                <w:szCs w:val="20"/>
                <w:color w:val="auto"/>
              </w:rPr>
            </w:pPr>
            <w:r>
              <w:rPr>
                <w:rFonts w:ascii="Arial" w:cs="Arial" w:eastAsia="Arial" w:hAnsi="Arial"/>
                <w:sz w:val="18"/>
                <w:szCs w:val="18"/>
                <w:color w:val="auto"/>
                <w:w w:val="99"/>
              </w:rPr>
              <w:t>Total unrealized loss position</w:t>
            </w: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140,362</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13,127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153,489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15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gridSpan w:val="2"/>
          </w:tcPr>
          <w:p>
            <w:pPr>
              <w:jc w:val="center"/>
              <w:spacing w:after="0"/>
              <w:rPr>
                <w:sz w:val="20"/>
                <w:szCs w:val="20"/>
                <w:color w:val="auto"/>
              </w:rPr>
            </w:pPr>
            <w:r>
              <w:rPr>
                <w:rFonts w:ascii="Arial" w:cs="Arial" w:eastAsia="Arial" w:hAnsi="Arial"/>
                <w:sz w:val="18"/>
                <w:szCs w:val="18"/>
                <w:color w:val="auto"/>
                <w:w w:val="89"/>
              </w:rPr>
              <w:t>11</w:t>
            </w:r>
          </w:p>
        </w:tc>
        <w:tc>
          <w:tcPr>
            <w:tcW w:w="1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ind w:left="40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680" w:type="dxa"/>
            <w:vAlign w:val="bottom"/>
            <w:gridSpan w:val="6"/>
          </w:tcPr>
          <w:p>
            <w:pPr>
              <w:ind w:left="4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40" w:type="dxa"/>
            <w:vAlign w:val="bottom"/>
            <w:gridSpan w:val="4"/>
          </w:tcPr>
          <w:p>
            <w:pPr>
              <w:spacing w:after="0"/>
              <w:rPr>
                <w:sz w:val="20"/>
                <w:szCs w:val="20"/>
                <w:color w:val="auto"/>
              </w:rPr>
            </w:pPr>
            <w:r>
              <w:rPr>
                <w:rFonts w:ascii="Arial" w:cs="Arial" w:eastAsia="Arial" w:hAnsi="Arial"/>
                <w:sz w:val="18"/>
                <w:szCs w:val="18"/>
                <w:color w:val="auto"/>
              </w:rPr>
              <w:t>As of March 31, 2016</w:t>
            </w:r>
          </w:p>
        </w:tc>
        <w:tc>
          <w:tcPr>
            <w:tcW w:w="16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Fair Value</w:t>
            </w: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F0FFFF"/>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w w:val="97"/>
              </w:rPr>
              <w:t>U.S. Government agencies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7,600</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rPr>
              <w:t>State and political</w:t>
            </w: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2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subdivisions</w:t>
            </w:r>
          </w:p>
        </w:tc>
        <w:tc>
          <w:tcPr>
            <w:tcW w:w="160" w:type="dxa"/>
            <w:vAlign w:val="bottom"/>
            <w:shd w:val="clear" w:color="auto" w:fill="F0FFFF"/>
          </w:tcPr>
          <w:p>
            <w:pPr>
              <w:spacing w:after="0"/>
              <w:rPr>
                <w:sz w:val="24"/>
                <w:szCs w:val="24"/>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F0FFFF"/>
          </w:tcPr>
          <w:p>
            <w:pPr>
              <w:spacing w:after="0"/>
              <w:rPr>
                <w:sz w:val="24"/>
                <w:szCs w:val="24"/>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24"/>
                <w:szCs w:val="24"/>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w w:val="94"/>
              </w:rPr>
              <w:t>Mortgage-backed securities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89,267</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159,558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248,825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105,223</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105,873</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1,522</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379,984</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9,106</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384,789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Borders>
              <w:top w:val="single" w:sz="8" w:color="F0FFFF"/>
            </w:tcBorders>
            <w:gridSpan w:val="3"/>
            <w:shd w:val="clear" w:color="auto" w:fill="F0FFFF"/>
          </w:tcPr>
          <w:p>
            <w:pPr>
              <w:ind w:left="280"/>
              <w:spacing w:after="0" w:line="189" w:lineRule="exact"/>
              <w:rPr>
                <w:sz w:val="20"/>
                <w:szCs w:val="20"/>
                <w:color w:val="auto"/>
              </w:rPr>
            </w:pPr>
            <w:r>
              <w:rPr>
                <w:rFonts w:ascii="Arial" w:cs="Arial" w:eastAsia="Arial" w:hAnsi="Arial"/>
                <w:sz w:val="18"/>
                <w:szCs w:val="18"/>
                <w:color w:val="auto"/>
              </w:rPr>
              <w:t>Total unrealized loss</w:t>
            </w:r>
          </w:p>
        </w:tc>
        <w:tc>
          <w:tcPr>
            <w:tcW w:w="160" w:type="dxa"/>
            <w:vAlign w:val="bottom"/>
            <w:tcBorders>
              <w:top w:val="single" w:sz="8" w:color="auto"/>
            </w:tcBorders>
            <w:shd w:val="clear" w:color="auto" w:fill="F0FFFF"/>
          </w:tcPr>
          <w:p>
            <w:pPr>
              <w:spacing w:after="0"/>
              <w:rPr>
                <w:sz w:val="16"/>
                <w:szCs w:val="16"/>
                <w:color w:val="auto"/>
              </w:rPr>
            </w:pPr>
          </w:p>
        </w:tc>
        <w:tc>
          <w:tcPr>
            <w:tcW w:w="108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120" w:type="dxa"/>
            <w:vAlign w:val="bottom"/>
            <w:gridSpan w:val="3"/>
            <w:shd w:val="clear" w:color="auto" w:fill="F0FFFF"/>
          </w:tcPr>
          <w:p>
            <w:pPr>
              <w:ind w:left="440"/>
              <w:spacing w:after="0"/>
              <w:rPr>
                <w:sz w:val="20"/>
                <w:szCs w:val="20"/>
                <w:color w:val="auto"/>
              </w:rPr>
            </w:pPr>
            <w:r>
              <w:rPr>
                <w:rFonts w:ascii="Arial" w:cs="Arial" w:eastAsia="Arial" w:hAnsi="Arial"/>
                <w:sz w:val="18"/>
                <w:szCs w:val="18"/>
                <w:color w:val="auto"/>
              </w:rPr>
              <w:t>position</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583,738</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10,949</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165,013</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3,319</w:t>
            </w: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748,751</w:t>
            </w:r>
          </w:p>
        </w:tc>
        <w:tc>
          <w:tcPr>
            <w:tcW w:w="2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126,066</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126,066</w:t>
            </w:r>
          </w:p>
        </w:tc>
        <w:tc>
          <w:tcPr>
            <w:tcW w:w="2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w w:val="97"/>
              </w:rPr>
              <w:t>U.S. Government agencies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74,189</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74,189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rPr>
              <w:t>State and political</w:t>
            </w:r>
          </w:p>
        </w:tc>
        <w:tc>
          <w:tcPr>
            <w:tcW w:w="16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12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subdivisions</w:t>
            </w:r>
          </w:p>
        </w:tc>
        <w:tc>
          <w:tcPr>
            <w:tcW w:w="160" w:type="dxa"/>
            <w:vAlign w:val="bottom"/>
            <w:shd w:val="clear" w:color="auto" w:fill="F0FFFF"/>
          </w:tcPr>
          <w:p>
            <w:pPr>
              <w:spacing w:after="0"/>
              <w:rPr>
                <w:sz w:val="24"/>
                <w:szCs w:val="24"/>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27,014</w:t>
            </w:r>
          </w:p>
        </w:tc>
        <w:tc>
          <w:tcPr>
            <w:tcW w:w="160" w:type="dxa"/>
            <w:vAlign w:val="bottom"/>
            <w:shd w:val="clear" w:color="auto" w:fill="F0FFFF"/>
          </w:tcPr>
          <w:p>
            <w:pPr>
              <w:spacing w:after="0"/>
              <w:rPr>
                <w:sz w:val="24"/>
                <w:szCs w:val="24"/>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F0FFFF"/>
          </w:tcPr>
          <w:p>
            <w:pPr>
              <w:spacing w:after="0"/>
              <w:rPr>
                <w:sz w:val="24"/>
                <w:szCs w:val="24"/>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27,014</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w w:val="94"/>
              </w:rPr>
              <w:t>Mortgage-backed securities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274,005</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2,580</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173,254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447,259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221,337</w:t>
            </w:r>
          </w:p>
        </w:tc>
        <w:tc>
          <w:tcPr>
            <w:tcW w:w="1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2,759</w:t>
            </w:r>
          </w:p>
        </w:tc>
        <w:tc>
          <w:tcPr>
            <w:tcW w:w="1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222,087</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3,009</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358,940</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5,746</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363,756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tcBorders>
              <w:top w:val="single" w:sz="8" w:color="F0FFFF"/>
            </w:tcBorders>
            <w:gridSpan w:val="3"/>
            <w:shd w:val="clear" w:color="auto" w:fill="F0FFFF"/>
          </w:tcPr>
          <w:p>
            <w:pPr>
              <w:ind w:left="280"/>
              <w:spacing w:after="0" w:line="189" w:lineRule="exact"/>
              <w:rPr>
                <w:sz w:val="20"/>
                <w:szCs w:val="20"/>
                <w:color w:val="auto"/>
              </w:rPr>
            </w:pPr>
            <w:r>
              <w:rPr>
                <w:rFonts w:ascii="Arial" w:cs="Arial" w:eastAsia="Arial" w:hAnsi="Arial"/>
                <w:sz w:val="18"/>
                <w:szCs w:val="18"/>
                <w:color w:val="auto"/>
              </w:rPr>
              <w:t>Total unrealized loss</w:t>
            </w:r>
          </w:p>
        </w:tc>
        <w:tc>
          <w:tcPr>
            <w:tcW w:w="160" w:type="dxa"/>
            <w:vAlign w:val="bottom"/>
            <w:tcBorders>
              <w:top w:val="single" w:sz="8" w:color="auto"/>
            </w:tcBorders>
            <w:shd w:val="clear" w:color="auto" w:fill="F0FFFF"/>
          </w:tcPr>
          <w:p>
            <w:pPr>
              <w:spacing w:after="0"/>
              <w:rPr>
                <w:sz w:val="16"/>
                <w:szCs w:val="16"/>
                <w:color w:val="auto"/>
              </w:rPr>
            </w:pPr>
          </w:p>
        </w:tc>
        <w:tc>
          <w:tcPr>
            <w:tcW w:w="108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120" w:type="dxa"/>
            <w:vAlign w:val="bottom"/>
            <w:gridSpan w:val="3"/>
            <w:shd w:val="clear" w:color="auto" w:fill="F0FFFF"/>
          </w:tcPr>
          <w:p>
            <w:pPr>
              <w:ind w:left="440"/>
              <w:spacing w:after="0"/>
              <w:rPr>
                <w:sz w:val="20"/>
                <w:szCs w:val="20"/>
                <w:color w:val="auto"/>
              </w:rPr>
            </w:pPr>
            <w:r>
              <w:rPr>
                <w:rFonts w:ascii="Arial" w:cs="Arial" w:eastAsia="Arial" w:hAnsi="Arial"/>
                <w:sz w:val="18"/>
                <w:szCs w:val="18"/>
                <w:color w:val="auto"/>
              </w:rPr>
              <w:t>position</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1,081,551</w:t>
            </w:r>
          </w:p>
        </w:tc>
        <w:tc>
          <w:tcPr>
            <w:tcW w:w="220" w:type="dxa"/>
            <w:vAlign w:val="bottom"/>
            <w:shd w:val="clear" w:color="auto" w:fill="F0FFFF"/>
          </w:tcPr>
          <w:p>
            <w:pPr>
              <w:spacing w:after="0"/>
              <w:rPr>
                <w:sz w:val="24"/>
                <w:szCs w:val="24"/>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12,466</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178,820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5,095</w:t>
            </w:r>
          </w:p>
        </w:tc>
        <w:tc>
          <w:tcPr>
            <w:tcW w:w="28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1,260,371</w:t>
            </w:r>
          </w:p>
        </w:tc>
        <w:tc>
          <w:tcPr>
            <w:tcW w:w="28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2016, there were 138 available-for-sale securities and 12 held-to-maturity securities that were in an unrealized loss position. United does not intend to sell nor believes it will be required to sell securities in an unrealized loss position prior to the recovery of their amortized cost basis. Unrealized losses at March 31, 2016 were primarily attributable to changes in interest rates and declining prices in the equity markets.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2016 or 2015.</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months ended March 31, 2016 and 2015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1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160" w:type="dxa"/>
            <w:vAlign w:val="bottom"/>
            <w:vMerge w:val="continue"/>
          </w:tcPr>
          <w:p>
            <w:pPr>
              <w:spacing w:after="0"/>
              <w:rPr>
                <w:sz w:val="22"/>
                <w:szCs w:val="22"/>
                <w:color w:val="auto"/>
              </w:rPr>
            </w:pPr>
          </w:p>
        </w:tc>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28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61,305</w:t>
            </w:r>
          </w:p>
        </w:tc>
        <w:tc>
          <w:tcPr>
            <w:tcW w:w="100" w:type="dxa"/>
            <w:vAlign w:val="bottom"/>
            <w:shd w:val="clear" w:color="auto" w:fill="F0FFFF"/>
          </w:tcPr>
          <w:p>
            <w:pPr>
              <w:spacing w:after="0"/>
              <w:rPr>
                <w:sz w:val="22"/>
                <w:szCs w:val="22"/>
                <w:color w:val="auto"/>
              </w:rPr>
            </w:pP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69,467</w:t>
            </w:r>
          </w:p>
        </w:tc>
        <w:tc>
          <w:tcPr>
            <w:tcW w:w="100" w:type="dxa"/>
            <w:vAlign w:val="bottom"/>
            <w:shd w:val="clear" w:color="auto" w:fill="F0FF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top w:val="single" w:sz="8" w:color="F0FFFF"/>
            </w:tcBorders>
          </w:tcPr>
          <w:p>
            <w:pPr>
              <w:spacing w:after="0" w:line="20" w:lineRule="exact"/>
              <w:rPr>
                <w:sz w:val="1"/>
                <w:szCs w:val="1"/>
                <w:color w:val="auto"/>
              </w:rPr>
            </w:pPr>
          </w:p>
        </w:tc>
        <w:tc>
          <w:tcPr>
            <w:tcW w:w="2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16"/>
                <w:szCs w:val="16"/>
                <w:color w:val="auto"/>
              </w:rPr>
            </w:pPr>
          </w:p>
        </w:tc>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shd w:val="clear" w:color="auto" w:fill="F0FFFF"/>
          </w:tcPr>
          <w:p>
            <w:pPr>
              <w:spacing w:after="0"/>
              <w:rPr>
                <w:sz w:val="20"/>
                <w:szCs w:val="20"/>
                <w:color w:val="auto"/>
              </w:rPr>
            </w:pPr>
            <w:r>
              <w:rPr>
                <w:rFonts w:ascii="Arial" w:cs="Arial" w:eastAsia="Arial" w:hAnsi="Arial"/>
                <w:sz w:val="18"/>
                <w:szCs w:val="18"/>
                <w:color w:val="auto"/>
              </w:rPr>
              <w:t>Gross gains on sales</w:t>
            </w:r>
          </w:p>
        </w:tc>
        <w:tc>
          <w:tcPr>
            <w:tcW w:w="28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F0FFFF"/>
          </w:tcPr>
          <w:p>
            <w:pPr>
              <w:spacing w:after="0"/>
              <w:rPr>
                <w:sz w:val="18"/>
                <w:szCs w:val="18"/>
                <w:color w:val="auto"/>
              </w:rPr>
            </w:pP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Gross losses on sales</w:t>
            </w: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top w:val="single" w:sz="8" w:color="F0FFFF"/>
            </w:tcBorders>
            <w:shd w:val="clear" w:color="auto" w:fill="F0FFFF"/>
          </w:tcPr>
          <w:p>
            <w:pPr>
              <w:spacing w:after="0"/>
              <w:rPr>
                <w:sz w:val="18"/>
                <w:szCs w:val="18"/>
                <w:color w:val="auto"/>
              </w:rPr>
            </w:pPr>
          </w:p>
        </w:tc>
        <w:tc>
          <w:tcPr>
            <w:tcW w:w="26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2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bottom w:val="single" w:sz="8" w:color="F0FFFF"/>
            </w:tcBorders>
          </w:tcPr>
          <w:p>
            <w:pPr>
              <w:spacing w:after="0" w:line="20" w:lineRule="exact"/>
              <w:rPr>
                <w:sz w:val="1"/>
                <w:szCs w:val="1"/>
                <w:color w:val="auto"/>
              </w:rPr>
            </w:pPr>
          </w:p>
        </w:tc>
        <w:tc>
          <w:tcPr>
            <w:tcW w:w="262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60" w:type="dxa"/>
            <w:vAlign w:val="bottom"/>
            <w:shd w:val="clear" w:color="auto" w:fill="F0FFFF"/>
          </w:tcPr>
          <w:p>
            <w:pPr>
              <w:spacing w:after="0"/>
              <w:rPr>
                <w:sz w:val="18"/>
                <w:szCs w:val="18"/>
                <w:color w:val="auto"/>
              </w:rPr>
            </w:pPr>
          </w:p>
        </w:tc>
        <w:tc>
          <w:tcPr>
            <w:tcW w:w="26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20" w:type="dxa"/>
            <w:vAlign w:val="bottom"/>
            <w:vMerge w:val="restart"/>
          </w:tcPr>
          <w:p>
            <w:pPr>
              <w:jc w:val="right"/>
              <w:ind w:right="155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DCDCDC"/>
            </w:tcBorders>
          </w:tcPr>
          <w:p>
            <w:pPr>
              <w:spacing w:after="0"/>
              <w:rPr>
                <w:sz w:val="24"/>
                <w:szCs w:val="24"/>
                <w:color w:val="auto"/>
              </w:rPr>
            </w:pPr>
          </w:p>
        </w:tc>
        <w:tc>
          <w:tcPr>
            <w:tcW w:w="3660" w:type="dxa"/>
            <w:vAlign w:val="bottom"/>
            <w:tcBorders>
              <w:bottom w:val="single" w:sz="8" w:color="DCDCDC"/>
            </w:tcBorders>
          </w:tcPr>
          <w:p>
            <w:pPr>
              <w:spacing w:after="0"/>
              <w:rPr>
                <w:sz w:val="24"/>
                <w:szCs w:val="24"/>
                <w:color w:val="auto"/>
              </w:rPr>
            </w:pPr>
          </w:p>
        </w:tc>
        <w:tc>
          <w:tcPr>
            <w:tcW w:w="2620" w:type="dxa"/>
            <w:vAlign w:val="bottom"/>
            <w:tcBorders>
              <w:bottom w:val="single" w:sz="8" w:color="DCDCDC"/>
            </w:tcBorders>
            <w:vMerge w:val="continue"/>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March 31, 2016,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gridSpan w:val="5"/>
          </w:tcPr>
          <w:p>
            <w:pPr>
              <w:ind w:left="34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Amortized Cost</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20"/>
                <w:szCs w:val="20"/>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86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66,071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66,859</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74,503</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76,192</w:t>
            </w:r>
          </w:p>
        </w:tc>
        <w:tc>
          <w:tcPr>
            <w:tcW w:w="2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tcPr>
          <w:p>
            <w:pPr>
              <w:spacing w:after="0"/>
              <w:rPr>
                <w:sz w:val="19"/>
                <w:szCs w:val="19"/>
                <w:color w:val="auto"/>
              </w:rPr>
            </w:pPr>
          </w:p>
        </w:tc>
        <w:tc>
          <w:tcPr>
            <w:tcW w:w="56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140,574</w:t>
            </w:r>
          </w:p>
        </w:tc>
        <w:tc>
          <w:tcPr>
            <w:tcW w:w="22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143,051</w:t>
            </w:r>
          </w:p>
        </w:tc>
        <w:tc>
          <w:tcPr>
            <w:tcW w:w="20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1 to 5 years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12,943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12,938</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tcBorders>
              <w:bottom w:val="single" w:sz="8" w:color="F0FF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72,948</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73,985</w:t>
            </w:r>
          </w:p>
        </w:tc>
        <w:tc>
          <w:tcPr>
            <w:tcW w:w="200" w:type="dxa"/>
            <w:vAlign w:val="bottom"/>
            <w:tcBorders>
              <w:bottom w:val="single" w:sz="8" w:color="F0FF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shd w:val="clear" w:color="auto" w:fill="F0FFFF"/>
          </w:tcPr>
          <w:p>
            <w:pPr>
              <w:spacing w:after="0"/>
              <w:rPr>
                <w:sz w:val="19"/>
                <w:szCs w:val="19"/>
                <w:color w:val="auto"/>
              </w:rPr>
            </w:pPr>
          </w:p>
        </w:tc>
        <w:tc>
          <w:tcPr>
            <w:tcW w:w="56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85,891</w:t>
            </w:r>
          </w:p>
        </w:tc>
        <w:tc>
          <w:tcPr>
            <w:tcW w:w="2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86,923</w:t>
            </w:r>
          </w:p>
        </w:tc>
        <w:tc>
          <w:tcPr>
            <w:tcW w:w="200" w:type="dxa"/>
            <w:vAlign w:val="bottom"/>
            <w:tcBorders>
              <w:bottom w:val="single" w:sz="8" w:color="F0FFFF"/>
            </w:tcBorders>
            <w:shd w:val="clear" w:color="auto" w:fill="F0FFFF"/>
          </w:tcPr>
          <w:p>
            <w:pPr>
              <w:spacing w:after="0"/>
              <w:rPr>
                <w:sz w:val="19"/>
                <w:szCs w:val="19"/>
                <w:color w:val="auto"/>
              </w:rPr>
            </w:pPr>
          </w:p>
        </w:tc>
        <w:tc>
          <w:tcPr>
            <w:tcW w:w="38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1 to 5 years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10,603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10,838</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15,638</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53,189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More than 10 years</w:t>
            </w:r>
          </w:p>
        </w:tc>
        <w:tc>
          <w:tcPr>
            <w:tcW w:w="56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8,464</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8,667</w:t>
            </w:r>
          </w:p>
        </w:tc>
        <w:tc>
          <w:tcPr>
            <w:tcW w:w="2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20,779</w:t>
            </w:r>
          </w:p>
        </w:tc>
        <w:tc>
          <w:tcPr>
            <w:tcW w:w="2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22,399</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tcPr>
          <w:p>
            <w:pPr>
              <w:spacing w:after="0"/>
              <w:rPr>
                <w:sz w:val="19"/>
                <w:szCs w:val="19"/>
                <w:color w:val="auto"/>
              </w:rPr>
            </w:pPr>
          </w:p>
        </w:tc>
        <w:tc>
          <w:tcPr>
            <w:tcW w:w="56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73,361</w:t>
            </w:r>
          </w:p>
        </w:tc>
        <w:tc>
          <w:tcPr>
            <w:tcW w:w="22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74,140</w:t>
            </w:r>
          </w:p>
        </w:tc>
        <w:tc>
          <w:tcPr>
            <w:tcW w:w="20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61,499</w:t>
            </w:r>
          </w:p>
        </w:tc>
        <w:tc>
          <w:tcPr>
            <w:tcW w:w="2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66,403</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Corporate bonds: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1 to 5 years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223,383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223,309</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More than 10 years</w:t>
            </w:r>
          </w:p>
        </w:tc>
        <w:tc>
          <w:tcPr>
            <w:tcW w:w="56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32,395</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31,894</w:t>
            </w:r>
          </w:p>
        </w:tc>
        <w:tc>
          <w:tcPr>
            <w:tcW w:w="2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tcPr>
          <w:p>
            <w:pPr>
              <w:spacing w:after="0"/>
              <w:rPr>
                <w:sz w:val="19"/>
                <w:szCs w:val="19"/>
                <w:color w:val="auto"/>
              </w:rPr>
            </w:pPr>
          </w:p>
        </w:tc>
        <w:tc>
          <w:tcPr>
            <w:tcW w:w="56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308,064</w:t>
            </w:r>
          </w:p>
        </w:tc>
        <w:tc>
          <w:tcPr>
            <w:tcW w:w="22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308,462</w:t>
            </w:r>
          </w:p>
        </w:tc>
        <w:tc>
          <w:tcPr>
            <w:tcW w:w="20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1 to 5 years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24,284</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24,356</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264,883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259,436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More than 10 years</w:t>
            </w:r>
          </w:p>
        </w:tc>
        <w:tc>
          <w:tcPr>
            <w:tcW w:w="56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242,321</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238,826</w:t>
            </w:r>
          </w:p>
        </w:tc>
        <w:tc>
          <w:tcPr>
            <w:tcW w:w="2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tcPr>
          <w:p>
            <w:pPr>
              <w:spacing w:after="0"/>
              <w:rPr>
                <w:sz w:val="19"/>
                <w:szCs w:val="19"/>
                <w:color w:val="auto"/>
              </w:rPr>
            </w:pPr>
          </w:p>
        </w:tc>
        <w:tc>
          <w:tcPr>
            <w:tcW w:w="56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531,488</w:t>
            </w:r>
          </w:p>
        </w:tc>
        <w:tc>
          <w:tcPr>
            <w:tcW w:w="22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522,618</w:t>
            </w:r>
          </w:p>
        </w:tc>
        <w:tc>
          <w:tcPr>
            <w:tcW w:w="20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More than 10 years</w:t>
            </w:r>
          </w:p>
        </w:tc>
        <w:tc>
          <w:tcPr>
            <w:tcW w:w="56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2,938</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2,938</w:t>
            </w:r>
          </w:p>
        </w:tc>
        <w:tc>
          <w:tcPr>
            <w:tcW w:w="2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F0FFFF"/>
            </w:tcBorders>
          </w:tcPr>
          <w:p>
            <w:pPr>
              <w:spacing w:after="0"/>
              <w:rPr>
                <w:sz w:val="19"/>
                <w:szCs w:val="19"/>
                <w:color w:val="auto"/>
              </w:rPr>
            </w:pPr>
          </w:p>
        </w:tc>
        <w:tc>
          <w:tcPr>
            <w:tcW w:w="560" w:type="dxa"/>
            <w:vAlign w:val="bottom"/>
            <w:tcBorders>
              <w:bottom w:val="single" w:sz="8" w:color="F0FF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220" w:type="dxa"/>
            <w:vAlign w:val="bottom"/>
            <w:tcBorders>
              <w:bottom w:val="single" w:sz="8" w:color="F0FF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20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Within 1 year</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337,284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338,300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5 to 10 years</w:t>
            </w:r>
          </w:p>
        </w:tc>
        <w:tc>
          <w:tcPr>
            <w:tcW w:w="5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517,471</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516,061</w:t>
            </w:r>
          </w:p>
        </w:tc>
        <w:tc>
          <w:tcPr>
            <w:tcW w:w="2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21,579</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23,862</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282,325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4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Mortgage-backed securities</w:t>
            </w:r>
          </w:p>
        </w:tc>
        <w:tc>
          <w:tcPr>
            <w:tcW w:w="560" w:type="dxa"/>
            <w:vAlign w:val="bottom"/>
            <w:tcBorders>
              <w:bottom w:val="single" w:sz="8" w:color="F0FF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1,253,173</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1,267,335</w:t>
            </w:r>
          </w:p>
        </w:tc>
        <w:tc>
          <w:tcPr>
            <w:tcW w:w="200" w:type="dxa"/>
            <w:vAlign w:val="bottom"/>
            <w:tcBorders>
              <w:bottom w:val="single" w:sz="8" w:color="F0FF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290,201</w:t>
            </w:r>
          </w:p>
        </w:tc>
        <w:tc>
          <w:tcPr>
            <w:tcW w:w="22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296,689</w:t>
            </w:r>
          </w:p>
        </w:tc>
        <w:tc>
          <w:tcPr>
            <w:tcW w:w="12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44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2,395,489</w:t>
            </w:r>
          </w:p>
        </w:tc>
        <w:tc>
          <w:tcPr>
            <w:tcW w:w="2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2,405,467</w:t>
            </w:r>
          </w:p>
        </w:tc>
        <w:tc>
          <w:tcPr>
            <w:tcW w:w="2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351,700</w:t>
            </w:r>
          </w:p>
        </w:tc>
        <w:tc>
          <w:tcPr>
            <w:tcW w:w="2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363,092</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Note 5 – Loans and Allowance for Credit Losses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w w:val="93"/>
              </w:rPr>
              <w:t xml:space="preserve">Major classifications of loans are summarized as of the dates indicated as follows </w:t>
            </w:r>
            <w:r>
              <w:rPr>
                <w:rFonts w:ascii="Arial" w:cs="Arial" w:eastAsia="Arial" w:hAnsi="Arial"/>
                <w:sz w:val="18"/>
                <w:szCs w:val="18"/>
                <w:i w:val="1"/>
                <w:iCs w:val="1"/>
                <w:color w:val="auto"/>
                <w:w w:val="93"/>
              </w:rPr>
              <w:t>(in thousands)</w:t>
            </w:r>
            <w:r>
              <w:rPr>
                <w:rFonts w:ascii="Arial" w:cs="Arial" w:eastAsia="Arial" w:hAnsi="Arial"/>
                <w:sz w:val="18"/>
                <w:szCs w:val="18"/>
                <w:color w:val="auto"/>
                <w:w w:val="93"/>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1,434,152</w:t>
            </w:r>
          </w:p>
        </w:tc>
        <w:tc>
          <w:tcPr>
            <w:tcW w:w="10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1,493,966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879,880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823,729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854,794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785,417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0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353,855</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342,078</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3,522,681</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3,445,190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1,031,653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604,208</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597,806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347,864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125,303</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115,111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0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22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474,480</w:t>
            </w:r>
          </w:p>
        </w:tc>
        <w:tc>
          <w:tcPr>
            <w:tcW w:w="10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455,971</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6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6,106,189</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5,995,441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(66,310)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(68,448)</w:t>
            </w: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60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6,039,879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5,926,993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and December 31, 2015, loans totaling $2.75 billion and $2.44 billion, respectively, were pledged as collateral to secure Federal Home Loan Bank advances and other contingent funding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March 31, 2016, the carrying value and outstanding balance of purchased credit impaired (“PCI”) loans accounted for under ASC 310-30, </w:t>
      </w:r>
      <w:r>
        <w:rPr>
          <w:rFonts w:ascii="Arial" w:cs="Arial" w:eastAsia="Arial" w:hAnsi="Arial"/>
          <w:sz w:val="18"/>
          <w:szCs w:val="18"/>
          <w:i w:val="1"/>
          <w:iCs w:val="1"/>
          <w:color w:val="auto"/>
        </w:rPr>
        <w:t>Loans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Acquired with Deteriorated Credit Quality</w:t>
      </w:r>
      <w:r>
        <w:rPr>
          <w:rFonts w:ascii="Arial" w:cs="Arial" w:eastAsia="Arial" w:hAnsi="Arial"/>
          <w:sz w:val="18"/>
          <w:szCs w:val="18"/>
          <w:color w:val="auto"/>
        </w:rPr>
        <w:t>, were $43.9 million and $60.7 million, respectively. At December 31, 2015, the carrying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balance of PCI loans were $51.3 million and $71.0 million, respectively. The following table presents changes in the value of the accretable yield for acquired loans accounted for under ASC 310-30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6"/>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4,279</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540" w:type="dxa"/>
            <w:vAlign w:val="bottom"/>
            <w:shd w:val="clear" w:color="auto" w:fill="F0FFFF"/>
          </w:tcPr>
          <w:p>
            <w:pPr>
              <w:spacing w:after="0"/>
              <w:rPr>
                <w:sz w:val="20"/>
                <w:szCs w:val="20"/>
                <w:color w:val="auto"/>
              </w:rPr>
            </w:pPr>
            <w:r>
              <w:rPr>
                <w:rFonts w:ascii="Arial" w:cs="Arial" w:eastAsia="Arial" w:hAnsi="Arial"/>
                <w:sz w:val="18"/>
                <w:szCs w:val="18"/>
                <w:color w:val="auto"/>
              </w:rPr>
              <w:t>Reclassification from nonaccretable difference</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w w:val="92"/>
              </w:rPr>
              <w:t>Changes in expected cash flows that do not affect nonaccretable difference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55"/>
        </w:trPr>
        <w:tc>
          <w:tcPr>
            <w:tcW w:w="55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4,144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5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accretable yield on loans accounted for under ASC 310-30, the fair value adjustments on purchased loans outside the scope of ASC 310-30 are also accreted to interest income over the life of the loans. At March 31, 2016 and December 31, 2015, the remaining accretable fair value marks on loans acquired through a business combination and not accounted for under ASC 310-30 were $6.48 million and $7.03 million, respectively. In addition, indirect auto loans purchased at a premium outside of a business combination have a remaining premium of $12.7 million and $12.0 million, respectively, as of March 31, 2016 and December 31,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Beginning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Charge-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(Release)</w:t>
            </w:r>
          </w:p>
        </w:tc>
        <w:tc>
          <w:tcPr>
            <w:tcW w:w="220" w:type="dxa"/>
            <w:vAlign w:val="bottom"/>
          </w:tcPr>
          <w:p>
            <w:pPr>
              <w:spacing w:after="0"/>
              <w:rPr>
                <w:sz w:val="18"/>
                <w:szCs w:val="18"/>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Arial" w:cs="Arial" w:eastAsia="Arial" w:hAnsi="Arial"/>
                <w:sz w:val="18"/>
                <w:szCs w:val="18"/>
                <w:b w:val="1"/>
                <w:bCs w:val="1"/>
                <w:color w:val="auto"/>
                <w:w w:val="95"/>
              </w:rPr>
              <w:t>Three Months Ended March 31,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Offs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Provision</w:t>
            </w:r>
          </w:p>
        </w:tc>
        <w:tc>
          <w:tcPr>
            <w:tcW w:w="220" w:type="dxa"/>
            <w:vAlign w:val="bottom"/>
          </w:tcPr>
          <w:p>
            <w:pPr>
              <w:spacing w:after="0"/>
              <w:rPr>
                <w:sz w:val="20"/>
                <w:szCs w:val="20"/>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w w:val="97"/>
              </w:rPr>
              <w:t>Owner occupied commercial real estate</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16,732</w:t>
            </w: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97</w:t>
            </w:r>
          </w:p>
        </w:tc>
        <w:tc>
          <w:tcPr>
            <w:tcW w:w="30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437</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16,864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3"/>
              </w:rPr>
              <w:t>Income producing commercial real estate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3,153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3,642</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17,232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(2,978)</w:t>
            </w: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14,205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9,034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Borders>
              <w:top w:val="single" w:sz="8" w:color="F0FFFF"/>
            </w:tcBorders>
          </w:tcPr>
          <w:p>
            <w:pPr>
              <w:ind w:left="140"/>
              <w:spacing w:after="0" w:line="203" w:lineRule="exact"/>
              <w:rPr>
                <w:sz w:val="20"/>
                <w:szCs w:val="20"/>
                <w:color w:val="auto"/>
              </w:rPr>
            </w:pPr>
            <w:r>
              <w:rPr>
                <w:rFonts w:ascii="Arial" w:cs="Arial" w:eastAsia="Arial" w:hAnsi="Arial"/>
                <w:sz w:val="18"/>
                <w:szCs w:val="18"/>
                <w:color w:val="auto"/>
              </w:rPr>
              <w:t>Total allowance for loan losses</w:t>
            </w: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68,448</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(3,153)</w:t>
            </w:r>
          </w:p>
        </w:tc>
        <w:tc>
          <w:tcPr>
            <w:tcW w:w="2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1,015</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66,310</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2,342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allowance for credit losses</w:t>
            </w: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70,990</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F0FF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68,652</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Beginning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Charge-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(Release)</w:t>
            </w:r>
          </w:p>
        </w:tc>
        <w:tc>
          <w:tcPr>
            <w:tcW w:w="2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Ending</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3120" w:type="dxa"/>
            <w:vAlign w:val="bottom"/>
          </w:tcPr>
          <w:p>
            <w:pPr>
              <w:ind w:left="140"/>
              <w:spacing w:after="0"/>
              <w:rPr>
                <w:sz w:val="20"/>
                <w:szCs w:val="20"/>
                <w:color w:val="auto"/>
              </w:rPr>
            </w:pPr>
            <w:r>
              <w:rPr>
                <w:rFonts w:ascii="Arial" w:cs="Arial" w:eastAsia="Arial" w:hAnsi="Arial"/>
                <w:sz w:val="18"/>
                <w:szCs w:val="18"/>
                <w:b w:val="1"/>
                <w:bCs w:val="1"/>
                <w:color w:val="auto"/>
                <w:w w:val="95"/>
              </w:rPr>
              <w:t>Three Months Ended March 31,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Offs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Provision</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w w:val="98"/>
              </w:rPr>
              <w:t>Owner occupied commercial real estate</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16,041</w:t>
            </w:r>
          </w:p>
        </w:tc>
        <w:tc>
          <w:tcPr>
            <w:tcW w:w="30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(732)</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14,952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4"/>
              </w:rPr>
              <w:t>Income producing commercial real estate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3,442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20,138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10,210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1,241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12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allowance for loan losses</w:t>
            </w: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71,619</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70,007</w:t>
            </w:r>
          </w:p>
        </w:tc>
        <w:tc>
          <w:tcPr>
            <w:tcW w:w="100" w:type="dxa"/>
            <w:vAlign w:val="bottom"/>
            <w:tcBorders>
              <w:top w:val="single" w:sz="8" w:color="F0FFFF"/>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2,780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312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allowance for credit losses</w:t>
            </w: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72,787</w:t>
            </w:r>
          </w:p>
        </w:tc>
        <w:tc>
          <w:tcPr>
            <w:tcW w:w="100" w:type="dxa"/>
            <w:vAlign w:val="bottom"/>
            <w:tcBorders>
              <w:top w:val="single" w:sz="8" w:color="F0FFFF"/>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60" w:type="dxa"/>
            <w:vAlign w:val="bottom"/>
            <w:tcBorders>
              <w:bottom w:val="single" w:sz="8" w:color="DCDCDC"/>
            </w:tcBorders>
          </w:tcPr>
          <w:p>
            <w:pPr>
              <w:spacing w:after="0"/>
              <w:rPr>
                <w:sz w:val="24"/>
                <w:szCs w:val="24"/>
                <w:color w:val="auto"/>
              </w:rPr>
            </w:pPr>
          </w:p>
        </w:tc>
        <w:tc>
          <w:tcPr>
            <w:tcW w:w="3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47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5"/>
              </w:rPr>
              <w:t>Allowance for Loan Losses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6"/>
              </w:rPr>
              <w:t>March 31, 2016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8"/>
                <w:szCs w:val="18"/>
                <w:b w:val="1"/>
                <w:bCs w:val="1"/>
                <w:color w:val="auto"/>
                <w:w w:val="88"/>
              </w:rPr>
              <w:t>December 31, 2015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Individually</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Pr>
          <w:p>
            <w:pPr>
              <w:spacing w:after="0"/>
              <w:rPr>
                <w:sz w:val="17"/>
                <w:szCs w:val="17"/>
                <w:color w:val="auto"/>
              </w:rPr>
            </w:pPr>
          </w:p>
        </w:tc>
        <w:tc>
          <w:tcPr>
            <w:tcW w:w="114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evaluated</w:t>
            </w: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Collectively</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evaluated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evaluated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for</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evaluated for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Ending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for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impairment</w:t>
            </w: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impairment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PCI</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PCI</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1,374</w:t>
            </w: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15,490</w:t>
            </w:r>
          </w:p>
        </w:tc>
        <w:tc>
          <w:tcPr>
            <w:tcW w:w="6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16,864</w:t>
            </w:r>
          </w:p>
        </w:tc>
        <w:tc>
          <w:tcPr>
            <w:tcW w:w="32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1,465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15,267</w:t>
            </w:r>
          </w:p>
        </w:tc>
        <w:tc>
          <w:tcPr>
            <w:tcW w:w="560" w:type="dxa"/>
            <w:vAlign w:val="bottom"/>
            <w:gridSpan w:val="2"/>
            <w:shd w:val="clear" w:color="auto" w:fill="F0FFFF"/>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16,732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Income producing commercial real</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estate</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3,153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4,442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1,850</w:t>
            </w: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12,347</w:t>
            </w:r>
          </w:p>
        </w:tc>
        <w:tc>
          <w:tcPr>
            <w:tcW w:w="1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79"/>
              </w:rPr>
              <w:t>8</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14,205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13,347</w:t>
            </w:r>
          </w:p>
        </w:tc>
        <w:tc>
          <w:tcPr>
            <w:tcW w:w="10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17,232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8,936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9,034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7,961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20" w:type="dxa"/>
            <w:vAlign w:val="bottom"/>
            <w:shd w:val="clear" w:color="auto" w:fill="F0FFFF"/>
          </w:tcPr>
          <w:p>
            <w:pPr>
              <w:spacing w:after="0"/>
              <w:rPr>
                <w:sz w:val="21"/>
                <w:szCs w:val="21"/>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48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color w:val="auto"/>
              </w:rPr>
              <w:t>Total allowance for loan losses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3,819</w:t>
            </w:r>
          </w:p>
        </w:tc>
        <w:tc>
          <w:tcPr>
            <w:tcW w:w="24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62,483</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8</w:t>
            </w: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66,310</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6,797</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61,651</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68,448</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w:t>
            </w:r>
          </w:p>
        </w:tc>
        <w:tc>
          <w:tcPr>
            <w:tcW w:w="220" w:type="dxa"/>
            <w:vAlign w:val="bottom"/>
            <w:shd w:val="clear" w:color="auto" w:fill="F0FFFF"/>
          </w:tcPr>
          <w:p>
            <w:pPr>
              <w:spacing w:after="0"/>
              <w:rPr>
                <w:sz w:val="21"/>
                <w:szCs w:val="21"/>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48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F0FFFF"/>
          </w:tcPr>
          <w:p>
            <w:pPr>
              <w:spacing w:after="0"/>
              <w:rPr>
                <w:sz w:val="21"/>
                <w:szCs w:val="21"/>
                <w:color w:val="auto"/>
              </w:rPr>
            </w:pPr>
          </w:p>
        </w:tc>
        <w:tc>
          <w:tcPr>
            <w:tcW w:w="46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allowance for credit losses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64,825</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68,652</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64,193</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70,990</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8"/>
                <w:szCs w:val="18"/>
                <w:b w:val="1"/>
                <w:bCs w:val="1"/>
                <w:color w:val="auto"/>
              </w:rPr>
              <w:t>Loans Outstanding</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March 31, 2016</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December 31, 2015</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Pr>
          <w:p>
            <w:pPr>
              <w:spacing w:after="0"/>
              <w:rPr>
                <w:sz w:val="17"/>
                <w:szCs w:val="17"/>
                <w:color w:val="auto"/>
              </w:rPr>
            </w:pPr>
          </w:p>
        </w:tc>
        <w:tc>
          <w:tcPr>
            <w:tcW w:w="112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Individually</w:t>
            </w:r>
          </w:p>
        </w:tc>
        <w:tc>
          <w:tcPr>
            <w:tcW w:w="12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evaluated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evaluated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evaluated</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evaluated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Ending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for</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impairment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PCI</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impairment</w:t>
            </w:r>
          </w:p>
        </w:tc>
        <w:tc>
          <w:tcPr>
            <w:tcW w:w="820" w:type="dxa"/>
            <w:vAlign w:val="bottom"/>
            <w:gridSpan w:val="2"/>
          </w:tcPr>
          <w:p>
            <w:pPr>
              <w:ind w:left="140"/>
              <w:spacing w:after="0"/>
              <w:rPr>
                <w:sz w:val="20"/>
                <w:szCs w:val="20"/>
                <w:color w:val="auto"/>
              </w:rPr>
            </w:pPr>
            <w:r>
              <w:rPr>
                <w:rFonts w:ascii="Arial" w:cs="Arial" w:eastAsia="Arial" w:hAnsi="Arial"/>
                <w:sz w:val="18"/>
                <w:szCs w:val="18"/>
                <w:b w:val="1"/>
                <w:bCs w:val="1"/>
                <w:color w:val="auto"/>
              </w:rPr>
              <w:t>PCI</w:t>
            </w: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w w:val="94"/>
              </w:rPr>
              <w:t>Owner occupied commercial real estate</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31,231</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1,393,537</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9,384</w:t>
            </w:r>
          </w:p>
        </w:tc>
        <w:tc>
          <w:tcPr>
            <w:tcW w:w="1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w w:val="96"/>
              </w:rPr>
              <w:t>$ 1,434,152</w:t>
            </w:r>
          </w:p>
        </w:tc>
        <w:tc>
          <w:tcPr>
            <w:tcW w:w="34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38,268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1,442,024</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82"/>
              </w:rPr>
              <w:t>$ 13,674</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86"/>
              </w:rPr>
              <w:t>$ 1,493,966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rPr>
              <w:t>Income producing commercial real</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estate</w:t>
            </w:r>
          </w:p>
        </w:tc>
        <w:tc>
          <w:tcPr>
            <w:tcW w:w="2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832,546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22,523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879,880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23,013</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772,945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27,771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823,729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850,994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1,434</w:t>
            </w:r>
          </w:p>
        </w:tc>
        <w:tc>
          <w:tcPr>
            <w:tcW w:w="1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854,794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781,423</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655</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785,417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4,991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353,855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329,320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2,142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342,078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19,821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1,008,435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3,397</w:t>
            </w:r>
          </w:p>
        </w:tc>
        <w:tc>
          <w:tcPr>
            <w:tcW w:w="1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1,031,653</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19,627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1,005,860</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4,176</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1,029,663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1,575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604,208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595,951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597,806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342,050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558</w:t>
            </w:r>
          </w:p>
        </w:tc>
        <w:tc>
          <w:tcPr>
            <w:tcW w:w="1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347,864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342,677</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1,123</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351,700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124,961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125,303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114,741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2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473,655</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6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w:t>
            </w:r>
          </w:p>
        </w:tc>
        <w:tc>
          <w:tcPr>
            <w:tcW w:w="1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474,480</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455,173</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455,971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86,201</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5,976,085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43,903</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$ 6,106,189</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104,008</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5,840,114</w:t>
            </w:r>
          </w:p>
        </w:tc>
        <w:tc>
          <w:tcPr>
            <w:tcW w:w="220" w:type="dxa"/>
            <w:vAlign w:val="bottom"/>
            <w:tcBorders>
              <w:top w:val="single" w:sz="8" w:color="F0FF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51,319</w:t>
            </w:r>
          </w:p>
        </w:tc>
        <w:tc>
          <w:tcPr>
            <w:tcW w:w="220" w:type="dxa"/>
            <w:vAlign w:val="bottom"/>
            <w:tcBorders>
              <w:top w:val="single" w:sz="8" w:color="F0FF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$ 5,995,441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Excluding loans accounted for under ASC 310-30, management individually evaluates all loans that are on nonaccrual with a balance of $500,000 or greater and all troubled debt restructurings (“TDRs”) for impairment.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Beginning with the first quarter of 2015, management began applying equal weight to all eight quarters to capture the full range of the loss cycle. Management believes the current weightings are appropriate to measure the probable losses incurred within the loan portfolio.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of loans based on the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a loan officer determines that a loan is uncollectible, he or she is responsible for recommending that the loan be placed on nonaccrual status and charged off. Full or partial charge-offs may also be recommended by the Collections Department, the Special Assets Department, the Loss Mitigation Department and the Foreclosure/OREO Department. Nonaccrual real estate loans are generally charged down to 80% of the appraised value of the underlying collateral at the time they are placed on nonaccrual status in order to approximate fair value less costs to sell.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consumer asset quality committees consisting of the Chief Credit Officer, Senior Risk Officers and Senior Credit Officers meet monthly to review charge-offs that have occurred during the previous month.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unsecured retail loans which are past due 90 cumulative days from their contractual due date are generally charged-off.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March 31, 2016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8"/>
              </w:rPr>
              <w:t>December 31, 2015</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Allowance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Unpaid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Unpaid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for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Principal</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20"/>
                <w:szCs w:val="20"/>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Investment</w:t>
            </w:r>
          </w:p>
        </w:tc>
        <w:tc>
          <w:tcPr>
            <w:tcW w:w="6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Allocated</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Allocated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With no related allowance recorded:</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14,793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14,673</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14,597</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13,044</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12,827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7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23,467</w:t>
            </w:r>
          </w:p>
        </w:tc>
        <w:tc>
          <w:tcPr>
            <w:tcW w:w="4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22,733</w:t>
            </w:r>
          </w:p>
        </w:tc>
        <w:tc>
          <w:tcPr>
            <w:tcW w:w="16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28,330</w:t>
            </w:r>
          </w:p>
        </w:tc>
        <w:tc>
          <w:tcPr>
            <w:tcW w:w="2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27,756</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692</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689</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856</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795</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with no related allowance recorded</w:t>
            </w:r>
          </w:p>
        </w:tc>
        <w:tc>
          <w:tcPr>
            <w:tcW w:w="7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25,810</w:t>
            </w:r>
          </w:p>
        </w:tc>
        <w:tc>
          <w:tcPr>
            <w:tcW w:w="4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25,073</w:t>
            </w:r>
          </w:p>
        </w:tc>
        <w:tc>
          <w:tcPr>
            <w:tcW w:w="16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33,601</w:t>
            </w:r>
          </w:p>
        </w:tc>
        <w:tc>
          <w:tcPr>
            <w:tcW w:w="20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32,725</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23,619</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23,095</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24,043</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23,808</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10,214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2,366</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10,787</w:t>
            </w: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7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38,102</w:t>
            </w:r>
          </w:p>
        </w:tc>
        <w:tc>
          <w:tcPr>
            <w:tcW w:w="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37,202</w:t>
            </w:r>
          </w:p>
        </w:tc>
        <w:tc>
          <w:tcPr>
            <w:tcW w:w="16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48,068</w:t>
            </w: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47,480</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19,132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19,346</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4,854</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with an allowance recorded</w:t>
            </w:r>
          </w:p>
        </w:tc>
        <w:tc>
          <w:tcPr>
            <w:tcW w:w="7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62,997</w:t>
            </w: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61,128</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72,789</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71,283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765"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Excluding PCI loans, there were no loans more than 90 days past due and still accruing interest at March 31, 2016 or December 31, 2015.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No PCI loans were classified as nonaccrual at March 31, 2016 or December 31, 2015 as the carrying value of the respective loan or pool of loans cash flows were considered estimable and probable of collection. Therefore, interest income, through accretion of the difference between the carrying value of the loans and the expected cash flows, is being recognized on all PCI loans.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$254,000 and $260,000 for the three months ended March 31, 2016 and 2015, respectively. The gross additional interest revenue that would have been earned for the three months ended March 31, 2016 and 2015 had performing TDRs performed in accordance with the original terms is immaterial.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Cash Basis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Cash Basis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During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6"/>
              </w:rPr>
              <w:t>During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41"/>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Impairment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Received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4"/>
              </w:rPr>
              <w:t>Impairment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Received</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31,502</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447</w:t>
            </w: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36,989</w:t>
            </w: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24,950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21,424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gridSpan w:val="4"/>
            <w:shd w:val="clear" w:color="auto" w:fill="F0FFFF"/>
          </w:tcPr>
          <w:p>
            <w:pPr>
              <w:jc w:val="right"/>
              <w:ind w:right="40"/>
              <w:spacing w:after="0"/>
              <w:rPr>
                <w:sz w:val="20"/>
                <w:szCs w:val="20"/>
                <w:color w:val="auto"/>
              </w:rPr>
            </w:pPr>
            <w:r>
              <w:rPr>
                <w:rFonts w:ascii="Arial" w:cs="Arial" w:eastAsia="Arial" w:hAnsi="Arial"/>
                <w:sz w:val="18"/>
                <w:szCs w:val="18"/>
                <w:color w:val="auto"/>
              </w:rPr>
              <w:t>4,023</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12,273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020" w:type="dxa"/>
            <w:vAlign w:val="bottom"/>
            <w:tcBorders>
              <w:top w:val="single" w:sz="8" w:color="F0FFFF"/>
            </w:tcBorders>
            <w:gridSpan w:val="3"/>
            <w:shd w:val="clear" w:color="auto" w:fill="F0FFFF"/>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60,430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799</w:t>
            </w: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74,709</w:t>
            </w: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19,980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3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w w:val="86"/>
              </w:rPr>
              <w:t>478</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10,575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8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32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w w:val="86"/>
              </w:rPr>
              <w:t>153</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4020" w:type="dxa"/>
            <w:vAlign w:val="bottom"/>
            <w:tcBorders>
              <w:top w:val="single" w:sz="8" w:color="F0FFFF"/>
              <w:bottom w:val="single" w:sz="8" w:color="F0FFFF"/>
            </w:tcBorders>
            <w:gridSpan w:val="3"/>
            <w:shd w:val="clear" w:color="auto" w:fill="F0FF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86,915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3"/>
            <w:shd w:val="clear" w:color="auto" w:fill="F0FFFF"/>
          </w:tcPr>
          <w:p>
            <w:pPr>
              <w:jc w:val="right"/>
              <w:spacing w:after="0"/>
              <w:rPr>
                <w:sz w:val="20"/>
                <w:szCs w:val="20"/>
                <w:color w:val="auto"/>
              </w:rPr>
            </w:pPr>
            <w:r>
              <w:rPr>
                <w:rFonts w:ascii="Arial" w:cs="Arial" w:eastAsia="Arial" w:hAnsi="Arial"/>
                <w:sz w:val="18"/>
                <w:szCs w:val="18"/>
                <w:color w:val="auto"/>
              </w:rPr>
              <w:t>108,000</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F0FFFF"/>
            </w:tcBorders>
          </w:tcPr>
          <w:p>
            <w:pPr>
              <w:spacing w:after="0" w:line="20" w:lineRule="exact"/>
              <w:rPr>
                <w:sz w:val="1"/>
                <w:szCs w:val="1"/>
                <w:color w:val="auto"/>
              </w:rPr>
            </w:pPr>
          </w:p>
        </w:tc>
        <w:tc>
          <w:tcPr>
            <w:tcW w:w="27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bottom w:val="single" w:sz="8" w:color="auto"/>
            </w:tcBorders>
            <w:gridSpan w:val="2"/>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1040" w:type="dxa"/>
            <w:vAlign w:val="bottom"/>
            <w:tcBorders>
              <w:top w:val="single" w:sz="8" w:color="F0FFFF"/>
              <w:bottom w:val="single" w:sz="8" w:color="auto"/>
            </w:tcBorders>
            <w:gridSpan w:val="2"/>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620" w:type="dxa"/>
            <w:vAlign w:val="bottom"/>
            <w:tcBorders>
              <w:top w:val="single" w:sz="8" w:color="F0FFFF"/>
              <w:bottom w:val="single" w:sz="8" w:color="auto"/>
            </w:tcBorders>
            <w:gridSpan w:val="2"/>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gridSpan w:val="2"/>
          </w:tcPr>
          <w:p>
            <w:pPr>
              <w:spacing w:after="0" w:line="20" w:lineRule="exact"/>
              <w:rPr>
                <w:sz w:val="1"/>
                <w:szCs w:val="1"/>
                <w:color w:val="auto"/>
              </w:rPr>
            </w:pPr>
          </w:p>
        </w:tc>
        <w:tc>
          <w:tcPr>
            <w:tcW w:w="920" w:type="dxa"/>
            <w:vAlign w:val="bottom"/>
            <w:tcBorders>
              <w:top w:val="single" w:sz="8" w:color="F0FFFF"/>
              <w:bottom w:val="single" w:sz="8" w:color="auto"/>
            </w:tcBorders>
            <w:gridSpan w:val="3"/>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gridSpan w:val="2"/>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200" w:type="dxa"/>
            <w:vAlign w:val="bottom"/>
            <w:gridSpan w:val="23"/>
          </w:tcPr>
          <w:p>
            <w:pPr>
              <w:spacing w:after="0"/>
              <w:rPr>
                <w:sz w:val="20"/>
                <w:szCs w:val="20"/>
                <w:color w:val="auto"/>
              </w:rPr>
            </w:pPr>
            <w:r>
              <w:rPr>
                <w:rFonts w:ascii="Arial" w:cs="Arial" w:eastAsia="Arial" w:hAnsi="Arial"/>
                <w:sz w:val="18"/>
                <w:szCs w:val="18"/>
                <w:color w:val="auto"/>
                <w:w w:val="90"/>
              </w:rPr>
              <w:t xml:space="preserve">The following table presents the recorded investment in nonaccrual loans by loan class as of the dates indicated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86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89"/>
              </w:rPr>
              <w:t>Owner occupied commercial real estate</w:t>
            </w: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57"/>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6,775</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w w:val="91"/>
              </w:rPr>
              <w:t>Income producing commercial real estate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86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F0FFFF"/>
            </w:tcBorders>
          </w:tcPr>
          <w:p>
            <w:pPr>
              <w:spacing w:after="0"/>
              <w:rPr>
                <w:sz w:val="20"/>
                <w:szCs w:val="20"/>
                <w:color w:val="auto"/>
              </w:rPr>
            </w:pPr>
          </w:p>
        </w:tc>
        <w:tc>
          <w:tcPr>
            <w:tcW w:w="88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90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52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F0FF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10,978</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F0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86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F0FFFF"/>
            </w:tcBorders>
          </w:tcPr>
          <w:p>
            <w:pPr>
              <w:spacing w:after="0"/>
              <w:rPr>
                <w:sz w:val="20"/>
                <w:szCs w:val="20"/>
                <w:color w:val="auto"/>
              </w:rPr>
            </w:pPr>
          </w:p>
        </w:tc>
        <w:tc>
          <w:tcPr>
            <w:tcW w:w="88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40" w:type="dxa"/>
            <w:vAlign w:val="bottom"/>
            <w:tcBorders>
              <w:bottom w:val="single" w:sz="8" w:color="F0FFFF"/>
            </w:tcBorders>
          </w:tcPr>
          <w:p>
            <w:pPr>
              <w:spacing w:after="0"/>
              <w:rPr>
                <w:sz w:val="20"/>
                <w:szCs w:val="20"/>
                <w:color w:val="auto"/>
              </w:rPr>
            </w:pPr>
          </w:p>
        </w:tc>
        <w:tc>
          <w:tcPr>
            <w:tcW w:w="90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52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F0FF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1"/>
                <w:szCs w:val="21"/>
                <w:color w:val="auto"/>
              </w:rPr>
            </w:pPr>
          </w:p>
        </w:tc>
        <w:tc>
          <w:tcPr>
            <w:tcW w:w="28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52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auto"/>
            </w:tcBorders>
            <w:shd w:val="clear" w:color="auto" w:fill="F0FFFF"/>
          </w:tcPr>
          <w:p>
            <w:pPr>
              <w:jc w:val="right"/>
              <w:ind w:right="25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22,419</w:t>
            </w:r>
          </w:p>
        </w:tc>
        <w:tc>
          <w:tcPr>
            <w:tcW w:w="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100" w:type="dxa"/>
            <w:vAlign w:val="bottom"/>
            <w:tcBorders>
              <w:bottom w:val="single" w:sz="8" w:color="F0FFFF"/>
            </w:tcBorders>
            <w:shd w:val="clear" w:color="auto" w:fill="F0FFFF"/>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F0FFFF"/>
            </w:tcBorders>
            <w:vMerge w:val="restart"/>
          </w:tcPr>
          <w:p>
            <w:pPr>
              <w:jc w:val="right"/>
              <w:ind w:right="45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160" w:type="dxa"/>
            <w:vAlign w:val="bottom"/>
            <w:tcBorders>
              <w:bottom w:val="single" w:sz="8" w:color="DCDCDC"/>
            </w:tcBorders>
          </w:tcPr>
          <w:p>
            <w:pPr>
              <w:spacing w:after="0"/>
              <w:rPr>
                <w:sz w:val="24"/>
                <w:szCs w:val="24"/>
                <w:color w:val="auto"/>
              </w:rPr>
            </w:pPr>
          </w:p>
        </w:tc>
        <w:tc>
          <w:tcPr>
            <w:tcW w:w="27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March 31, 2016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w w:val="99"/>
              </w:rPr>
              <w:t>Loans Past Due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Loans Not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180"/>
              <w:spacing w:after="0" w:line="156" w:lineRule="exact"/>
              <w:rPr>
                <w:sz w:val="20"/>
                <w:szCs w:val="20"/>
                <w:color w:val="auto"/>
              </w:rPr>
            </w:pPr>
            <w:r>
              <w:rPr>
                <w:rFonts w:ascii="Arial" w:cs="Arial" w:eastAsia="Arial" w:hAnsi="Arial"/>
                <w:sz w:val="18"/>
                <w:szCs w:val="18"/>
                <w:b w:val="1"/>
                <w:bCs w:val="1"/>
                <w:color w:val="auto"/>
                <w:w w:val="92"/>
              </w:rPr>
              <w:t>30 - 59 Days</w:t>
            </w:r>
          </w:p>
        </w:tc>
        <w:tc>
          <w:tcPr>
            <w:tcW w:w="120" w:type="dxa"/>
            <w:vAlign w:val="bottom"/>
          </w:tcPr>
          <w:p>
            <w:pPr>
              <w:spacing w:after="0"/>
              <w:rPr>
                <w:sz w:val="15"/>
                <w:szCs w:val="15"/>
                <w:color w:val="auto"/>
              </w:rPr>
            </w:pPr>
          </w:p>
        </w:tc>
        <w:tc>
          <w:tcPr>
            <w:tcW w:w="1160" w:type="dxa"/>
            <w:vAlign w:val="bottom"/>
            <w:gridSpan w:val="3"/>
          </w:tcPr>
          <w:p>
            <w:pPr>
              <w:jc w:val="right"/>
              <w:ind w:right="160"/>
              <w:spacing w:after="0" w:line="156" w:lineRule="exact"/>
              <w:rPr>
                <w:sz w:val="20"/>
                <w:szCs w:val="20"/>
                <w:color w:val="auto"/>
              </w:rPr>
            </w:pPr>
            <w:r>
              <w:rPr>
                <w:rFonts w:ascii="Arial" w:cs="Arial" w:eastAsia="Arial" w:hAnsi="Arial"/>
                <w:sz w:val="18"/>
                <w:szCs w:val="18"/>
                <w:b w:val="1"/>
                <w:bCs w:val="1"/>
                <w:color w:val="auto"/>
                <w:w w:val="94"/>
              </w:rPr>
              <w:t>60 - 89 Days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56" w:lineRule="exact"/>
              <w:rPr>
                <w:sz w:val="20"/>
                <w:szCs w:val="20"/>
                <w:color w:val="auto"/>
              </w:rPr>
            </w:pPr>
            <w:r>
              <w:rPr>
                <w:rFonts w:ascii="Arial" w:cs="Arial" w:eastAsia="Arial" w:hAnsi="Arial"/>
                <w:sz w:val="18"/>
                <w:szCs w:val="18"/>
                <w:b w:val="1"/>
                <w:bCs w:val="1"/>
                <w:color w:val="auto"/>
                <w:w w:val="90"/>
              </w:rPr>
              <w:t>&gt; 90 Days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line="156" w:lineRule="exact"/>
              <w:rPr>
                <w:sz w:val="20"/>
                <w:szCs w:val="20"/>
                <w:color w:val="auto"/>
              </w:rPr>
            </w:pPr>
            <w:r>
              <w:rPr>
                <w:rFonts w:ascii="Arial" w:cs="Arial" w:eastAsia="Arial" w:hAnsi="Arial"/>
                <w:sz w:val="18"/>
                <w:szCs w:val="18"/>
                <w:b w:val="1"/>
                <w:bCs w:val="1"/>
                <w:color w:val="auto"/>
                <w:w w:val="93"/>
              </w:rPr>
              <w:t>Past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PCI Loans</w:t>
            </w:r>
          </w:p>
        </w:tc>
        <w:tc>
          <w:tcPr>
            <w:tcW w:w="940" w:type="dxa"/>
            <w:vAlign w:val="bottom"/>
            <w:gridSpan w:val="2"/>
          </w:tcPr>
          <w:p>
            <w:pPr>
              <w:ind w:left="220"/>
              <w:spacing w:after="0" w:line="15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20" w:type="dxa"/>
            <w:vAlign w:val="bottom"/>
            <w:tcBorders>
              <w:top w:val="single" w:sz="8" w:color="auto"/>
              <w:bottom w:val="single" w:sz="8" w:color="F0FFFF"/>
            </w:tcBorders>
          </w:tcPr>
          <w:p>
            <w:pPr>
              <w:spacing w:after="0"/>
              <w:rPr>
                <w:sz w:val="3"/>
                <w:szCs w:val="3"/>
                <w:color w:val="auto"/>
              </w:rPr>
            </w:pPr>
          </w:p>
        </w:tc>
        <w:tc>
          <w:tcPr>
            <w:tcW w:w="260" w:type="dxa"/>
            <w:vAlign w:val="bottom"/>
            <w:tcBorders>
              <w:bottom w:val="single" w:sz="8" w:color="F0FFFF"/>
            </w:tcBorders>
          </w:tcPr>
          <w:p>
            <w:pPr>
              <w:spacing w:after="0"/>
              <w:rPr>
                <w:sz w:val="3"/>
                <w:szCs w:val="3"/>
                <w:color w:val="auto"/>
              </w:rPr>
            </w:pPr>
          </w:p>
        </w:tc>
        <w:tc>
          <w:tcPr>
            <w:tcW w:w="120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F0FFFF"/>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F0FF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F0FF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1,418,412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9,384</w:t>
            </w: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$ 1,434,152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Income producing commercial real estate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855,298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22,523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852,047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1,434</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854,794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348,785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4,580</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3,474,542</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38,332</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3,522,681</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1,018,396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3,397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3,361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599,272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1,575</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346,009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347,864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124,660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125,303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472,811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474,480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08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14,714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3,905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6,035,690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43,903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$ 6,106,189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8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2015</w:t>
            </w:r>
          </w:p>
        </w:tc>
        <w:tc>
          <w:tcPr>
            <w:tcW w:w="1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7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7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9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6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9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92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8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44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3,733</w:t>
            </w:r>
          </w:p>
        </w:tc>
        <w:tc>
          <w:tcPr>
            <w:tcW w:w="3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1,686</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6,819</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1,473,473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13,674</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6"/>
              </w:rPr>
              <w:t>$ 1,493,966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Income producing commercial real estate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794,103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27,771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783,327</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655</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785,417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339,701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3,390,604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44,242</w:t>
            </w:r>
          </w:p>
        </w:tc>
        <w:tc>
          <w:tcPr>
            <w:tcW w:w="2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3,445,190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1,015,494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594,525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1,688</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347,814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114,262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115,111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454,439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455,971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080" w:type="dxa"/>
            <w:vAlign w:val="bottom"/>
            <w:tcBorders>
              <w:top w:val="single" w:sz="8" w:color="F0FFFF"/>
              <w:bottom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14,584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26,984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5,917,138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51,319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$ 5,995,441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and December 31, 2015, $3.00 million and $6.37 million, respectively, of specific reserves were allocated to customers whose loan terms have been modified in TDRs. United committed to lend additional amounts totaling up to $148,000 and $224,000 as of March 31, 2016 and December 31, 2015, respectively, to customers with outstanding loans that are classified as TDRs.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information on TDRs, including the number of loan contracts restructured and the pre- and post-modification recorded investment as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 2016</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4"/>
              </w:rPr>
              <w:t>Post-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1"/>
              </w:rPr>
              <w:t>Pre-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Post-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Modification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Modification</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28,076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27,291</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F0FFFF"/>
          </w:tcPr>
          <w:p>
            <w:pPr>
              <w:spacing w:after="0"/>
              <w:rPr>
                <w:sz w:val="18"/>
                <w:szCs w:val="18"/>
                <w:color w:val="auto"/>
              </w:rPr>
            </w:pP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32,544</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20,630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20,630</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15,703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2,289</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2,209</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2,955</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1,527</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10,785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52,691</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51,657</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61,987</w:t>
            </w: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61,173</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Residential mortgage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19,445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19,132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19,101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167</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5,256</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331</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348</w:t>
            </w: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Indirect auto</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78,931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77,234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88,015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86,588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months ended March 31, 2016 and 2015 are presented in the table below. In addition, the following table presents loans modified under the terms of a TDR within the past 12 months that became 90 days or more delinquent since restructure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4"/>
              </w:rPr>
              <w:t>TDRs Modified Within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the Past 12 Months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Have Subsequently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New TDRs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Defaulted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6"/>
              </w:rPr>
              <w:t>Pre-</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Post-</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20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Recorded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0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Contracts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Indirect auto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1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4,497</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4,497</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4,940</w:t>
            </w: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4,940</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Residential mortgage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Indirect auto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46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6,541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of the collateral consistent with United’s policy for nonaccrual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67"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Consumer Purpose Loans. </w:t>
      </w:r>
      <w:r>
        <w:rPr>
          <w:rFonts w:ascii="Arial" w:cs="Arial" w:eastAsia="Arial" w:hAnsi="Arial"/>
          <w:sz w:val="17"/>
          <w:szCs w:val="17"/>
          <w:color w:val="auto"/>
        </w:rPr>
        <w:t>United applies a pass / fail grading system to all consumer purpose loans. Under the pass / fail grading system, consumer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loans that become past due 90 days are classified as “fail” and all other loans are classified as “pass”. For reporting purposes, consumer purpose loans classified as “fail” are reported in the substandard column and all other consumer purpose loans are reported in the “pass” column.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Doubtful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As of March 31, 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Pass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Watch</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1,362,185</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27,700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34,883</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1,424,768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830,360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834,535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10,004</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8,821</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853,360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343,618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3,370,698</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64,901</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3,484,349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985,272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37,569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596,641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5,967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335,814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124,429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125,292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472,094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474,450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loans, excluding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5,884,948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57,926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119,412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6,062,286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1,440</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3,136</w:t>
            </w:r>
          </w:p>
        </w:tc>
        <w:tc>
          <w:tcPr>
            <w:tcW w:w="440" w:type="dxa"/>
            <w:vAlign w:val="bottom"/>
            <w:gridSpan w:val="2"/>
            <w:shd w:val="clear" w:color="auto" w:fill="F0FFFF"/>
          </w:tcPr>
          <w:p>
            <w:pPr>
              <w:jc w:val="right"/>
              <w:ind w:right="16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4,808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7,019</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19,460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38,332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7,558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24,077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43,903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2015</w:t>
            </w: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8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9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94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320" w:type="dxa"/>
            <w:vAlign w:val="bottom"/>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20" w:type="dxa"/>
            <w:vAlign w:val="bottom"/>
            <w:shd w:val="clear" w:color="auto" w:fill="F0FFFF"/>
          </w:tcPr>
          <w:p>
            <w:pPr>
              <w:spacing w:after="0" w:line="20" w:lineRule="exact"/>
              <w:rPr>
                <w:sz w:val="1"/>
                <w:szCs w:val="1"/>
                <w:color w:val="auto"/>
              </w:rPr>
            </w:pPr>
          </w:p>
        </w:tc>
        <w:tc>
          <w:tcPr>
            <w:tcW w:w="9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1,414,353</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24,175</w:t>
            </w:r>
          </w:p>
        </w:tc>
        <w:tc>
          <w:tcPr>
            <w:tcW w:w="440" w:type="dxa"/>
            <w:vAlign w:val="bottom"/>
            <w:gridSpan w:val="2"/>
            <w:shd w:val="clear" w:color="auto" w:fill="F0FFFF"/>
          </w:tcPr>
          <w:p>
            <w:pPr>
              <w:jc w:val="right"/>
              <w:ind w:right="16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41,764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1,480,292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771,792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20,015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770,287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8,171</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6,304</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784,762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335,571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3,292,003</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39,566</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69,379</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3,400,948</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985,109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35,308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589,749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6,345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335,341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114,178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115,070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453,935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455,922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loans, excluding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5,770,315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48,473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125,334</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5,944,122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1,811</w:t>
            </w:r>
          </w:p>
        </w:tc>
        <w:tc>
          <w:tcPr>
            <w:tcW w:w="3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6,705</w:t>
            </w:r>
          </w:p>
        </w:tc>
        <w:tc>
          <w:tcPr>
            <w:tcW w:w="440" w:type="dxa"/>
            <w:vAlign w:val="bottom"/>
            <w:gridSpan w:val="2"/>
            <w:shd w:val="clear" w:color="auto" w:fill="F0FFFF"/>
          </w:tcPr>
          <w:p>
            <w:pPr>
              <w:jc w:val="right"/>
              <w:ind w:right="16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349</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12,627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F0FFFF"/>
            </w:tcBorders>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12,904</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12,560</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18,379</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44,242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3,766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8"/>
                <w:szCs w:val="18"/>
                <w:color w:val="auto"/>
              </w:rPr>
              <w:t>Total PCI loans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13,464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13,009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23,935</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51,319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Reclassifications Out of Accumulated Other Comprehensive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9"/>
              </w:rPr>
              <w:t>Amounts Reclassified from</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Accumulated Other</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9"/>
              </w:rPr>
              <w:t>Comprehensive Income</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9"/>
              </w:rPr>
              <w:t>For the three months</w:t>
            </w: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gridSpan w:val="2"/>
          </w:tcPr>
          <w:p>
            <w:pPr>
              <w:ind w:left="640"/>
              <w:spacing w:after="0"/>
              <w:rPr>
                <w:sz w:val="20"/>
                <w:szCs w:val="20"/>
                <w:color w:val="auto"/>
              </w:rPr>
            </w:pPr>
            <w:r>
              <w:rPr>
                <w:rFonts w:ascii="Arial" w:cs="Arial" w:eastAsia="Arial" w:hAnsi="Arial"/>
                <w:sz w:val="18"/>
                <w:szCs w:val="18"/>
                <w:b w:val="1"/>
                <w:bCs w:val="1"/>
                <w:color w:val="auto"/>
              </w:rPr>
              <w:t>Details about Accumulated Other</w:t>
            </w:r>
          </w:p>
        </w:tc>
        <w:tc>
          <w:tcPr>
            <w:tcW w:w="100" w:type="dxa"/>
            <w:vAlign w:val="bottom"/>
          </w:tcPr>
          <w:p>
            <w:pPr>
              <w:spacing w:after="0"/>
              <w:rPr>
                <w:sz w:val="20"/>
                <w:szCs w:val="20"/>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2"/>
              </w:rPr>
              <w:t>ended March 31,</w:t>
            </w:r>
          </w:p>
        </w:tc>
        <w:tc>
          <w:tcPr>
            <w:tcW w:w="4920" w:type="dxa"/>
            <w:vAlign w:val="bottom"/>
          </w:tcPr>
          <w:p>
            <w:pPr>
              <w:ind w:left="1080"/>
              <w:spacing w:after="0"/>
              <w:rPr>
                <w:sz w:val="20"/>
                <w:szCs w:val="20"/>
                <w:color w:val="auto"/>
              </w:rPr>
            </w:pPr>
            <w:r>
              <w:rPr>
                <w:rFonts w:ascii="Arial" w:cs="Arial" w:eastAsia="Arial" w:hAnsi="Arial"/>
                <w:sz w:val="18"/>
                <w:szCs w:val="18"/>
                <w:b w:val="1"/>
                <w:bCs w:val="1"/>
                <w:color w:val="auto"/>
              </w:rPr>
              <w:t>Affected Line Item in the Statement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2"/>
          </w:tcPr>
          <w:p>
            <w:pPr>
              <w:ind w:left="520"/>
              <w:spacing w:after="0"/>
              <w:rPr>
                <w:sz w:val="20"/>
                <w:szCs w:val="20"/>
                <w:color w:val="auto"/>
              </w:rPr>
            </w:pPr>
            <w:r>
              <w:rPr>
                <w:rFonts w:ascii="Arial" w:cs="Arial" w:eastAsia="Arial" w:hAnsi="Arial"/>
                <w:sz w:val="18"/>
                <w:szCs w:val="18"/>
                <w:b w:val="1"/>
                <w:bCs w:val="1"/>
                <w:color w:val="auto"/>
              </w:rPr>
              <w:t>Comprehensive Income Components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920" w:type="dxa"/>
            <w:vAlign w:val="bottom"/>
          </w:tcPr>
          <w:p>
            <w:pPr>
              <w:ind w:left="124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Realized gains on available-for-sale securities:</w:t>
            </w: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Securities gains, net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F0FFFF"/>
          </w:tcPr>
          <w:p>
            <w:pPr>
              <w:spacing w:after="0"/>
              <w:rPr>
                <w:sz w:val="21"/>
                <w:szCs w:val="21"/>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9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49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1"/>
          </w:tcPr>
          <w:p>
            <w:pPr>
              <w:spacing w:after="0"/>
              <w:rPr>
                <w:sz w:val="20"/>
                <w:szCs w:val="20"/>
                <w:color w:val="auto"/>
              </w:rPr>
            </w:pPr>
            <w:r>
              <w:rPr>
                <w:rFonts w:ascii="Arial" w:cs="Arial" w:eastAsia="Arial" w:hAnsi="Arial"/>
                <w:sz w:val="18"/>
                <w:szCs w:val="18"/>
                <w:color w:val="auto"/>
              </w:rPr>
              <w:t>Amortization of losses included in net income on available-for-sale securities transferred to held to maturity: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(464)</w:t>
            </w:r>
          </w:p>
        </w:tc>
        <w:tc>
          <w:tcPr>
            <w:tcW w:w="30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9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49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gridSpan w:val="3"/>
          </w:tcPr>
          <w:p>
            <w:pPr>
              <w:spacing w:after="0" w:line="20" w:lineRule="exact"/>
              <w:rPr>
                <w:sz w:val="1"/>
                <w:szCs w:val="1"/>
                <w:color w:val="auto"/>
              </w:rPr>
            </w:pPr>
          </w:p>
        </w:tc>
        <w:tc>
          <w:tcPr>
            <w:tcW w:w="260" w:type="dxa"/>
            <w:vAlign w:val="bottom"/>
            <w:tcBorders>
              <w:top w:val="single" w:sz="8" w:color="F0FFFF"/>
            </w:tcBorders>
            <w:gridSpan w:val="2"/>
          </w:tcPr>
          <w:p>
            <w:pPr>
              <w:spacing w:after="0" w:line="20" w:lineRule="exact"/>
              <w:rPr>
                <w:sz w:val="1"/>
                <w:szCs w:val="1"/>
                <w:color w:val="auto"/>
              </w:rPr>
            </w:pPr>
          </w:p>
        </w:tc>
        <w:tc>
          <w:tcPr>
            <w:tcW w:w="980" w:type="dxa"/>
            <w:vAlign w:val="bottom"/>
            <w:tcBorders>
              <w:top w:val="single" w:sz="8" w:color="F0FFFF"/>
            </w:tcBorders>
            <w:gridSpan w:val="2"/>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06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1"/>
            <w:shd w:val="clear" w:color="auto" w:fill="F0FFFF"/>
          </w:tcPr>
          <w:p>
            <w:pPr>
              <w:spacing w:after="0"/>
              <w:rPr>
                <w:sz w:val="20"/>
                <w:szCs w:val="20"/>
                <w:color w:val="auto"/>
              </w:rPr>
            </w:pPr>
            <w:r>
              <w:rPr>
                <w:rFonts w:ascii="Arial" w:cs="Arial" w:eastAsia="Arial" w:hAnsi="Arial"/>
                <w:sz w:val="18"/>
                <w:szCs w:val="18"/>
                <w:color w:val="auto"/>
              </w:rPr>
              <w:t>Gains included in net income on derivative financial instruments accounted for as cash flow hedges: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w w:val="97"/>
              </w:rPr>
              <w:t>Amortization of losses on de-designated positions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8"/>
              </w:rPr>
              <w:t>Deposits in banks and short-term investments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7"/>
              </w:rPr>
              <w:t>Amortization of losses on de-designated positions</w:t>
            </w:r>
          </w:p>
        </w:tc>
        <w:tc>
          <w:tcPr>
            <w:tcW w:w="10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Money market deposit interest 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w w:val="97"/>
              </w:rPr>
              <w:t>Amortization of losses on de-designated positions</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Federal Home Loan Bank advances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49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9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49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gridSpan w:val="3"/>
          </w:tcPr>
          <w:p>
            <w:pPr>
              <w:spacing w:after="0" w:line="20" w:lineRule="exact"/>
              <w:rPr>
                <w:sz w:val="1"/>
                <w:szCs w:val="1"/>
                <w:color w:val="auto"/>
              </w:rPr>
            </w:pPr>
          </w:p>
        </w:tc>
        <w:tc>
          <w:tcPr>
            <w:tcW w:w="260" w:type="dxa"/>
            <w:vAlign w:val="bottom"/>
            <w:tcBorders>
              <w:top w:val="single" w:sz="8" w:color="F0FFFF"/>
            </w:tcBorders>
            <w:gridSpan w:val="2"/>
          </w:tcPr>
          <w:p>
            <w:pPr>
              <w:spacing w:after="0" w:line="20" w:lineRule="exact"/>
              <w:rPr>
                <w:sz w:val="1"/>
                <w:szCs w:val="1"/>
                <w:color w:val="auto"/>
              </w:rPr>
            </w:pPr>
          </w:p>
        </w:tc>
        <w:tc>
          <w:tcPr>
            <w:tcW w:w="980" w:type="dxa"/>
            <w:vAlign w:val="bottom"/>
            <w:tcBorders>
              <w:top w:val="single" w:sz="8" w:color="F0FFFF"/>
            </w:tcBorders>
            <w:gridSpan w:val="2"/>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06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1"/>
            <w:shd w:val="clear" w:color="auto" w:fill="F0FFFF"/>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1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Actuarial losses</w:t>
            </w:r>
          </w:p>
        </w:tc>
        <w:tc>
          <w:tcPr>
            <w:tcW w:w="10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F0FFFF"/>
          </w:tcPr>
          <w:p>
            <w:pPr>
              <w:spacing w:after="0"/>
              <w:rPr>
                <w:sz w:val="21"/>
                <w:szCs w:val="21"/>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w:t>
            </w:r>
          </w:p>
        </w:tc>
        <w:tc>
          <w:tcPr>
            <w:tcW w:w="1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492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49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49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49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9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2016, United accrued dividends of $21,000 on its Series H preferred stock. The preferred stock dividends were subtracted from net income in order to arrive at net income available to common shareholders. During the three months ended March 31, 2015, United did not accrue any dividends on its preferred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233"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2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320" w:type="dxa"/>
            <w:vAlign w:val="bottom"/>
            <w:shd w:val="clear" w:color="auto" w:fill="F0FFFF"/>
          </w:tcPr>
          <w:p>
            <w:pPr>
              <w:spacing w:after="0"/>
              <w:rPr>
                <w:sz w:val="20"/>
                <w:szCs w:val="20"/>
                <w:color w:val="auto"/>
              </w:rPr>
            </w:pPr>
            <w:r>
              <w:rPr>
                <w:rFonts w:ascii="Arial" w:cs="Arial" w:eastAsia="Arial" w:hAnsi="Arial"/>
                <w:sz w:val="18"/>
                <w:szCs w:val="18"/>
                <w:color w:val="auto"/>
              </w:rPr>
              <w:t>Net income available to common shareholders</w:t>
            </w:r>
          </w:p>
        </w:tc>
        <w:tc>
          <w:tcPr>
            <w:tcW w:w="12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420"/>
              <w:spacing w:after="0"/>
              <w:rPr>
                <w:sz w:val="20"/>
                <w:szCs w:val="20"/>
                <w:color w:val="auto"/>
              </w:rPr>
            </w:pPr>
            <w:r>
              <w:rPr>
                <w:rFonts w:ascii="Arial" w:cs="Arial" w:eastAsia="Arial" w:hAnsi="Arial"/>
                <w:sz w:val="18"/>
                <w:szCs w:val="18"/>
                <w:color w:val="auto"/>
              </w:rPr>
              <w:t>22,274</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72,162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Effect of dilutive securities</w:t>
            </w: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72,166</w:t>
            </w:r>
          </w:p>
        </w:tc>
        <w:tc>
          <w:tcPr>
            <w:tcW w:w="4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60,909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income per common share:</w:t>
            </w: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F0FFFF"/>
            </w:tcBorders>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32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4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2016, United had the following potentially dilutive stock options and warrants outstanding: a warrant to purchase 219,909 shares of common stock at $61.40 per share; 235,771 shares of common stock issuable upon exercise of stock options granted to employees with a weighted average exercise price of $89.61; and 597,240 shares of common stock issuable upon completion of vesting of restricted stock unit awards.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2015, United had the following potentially dilutive stock options and warrants outstanding: a warrant to purchase 219,909 shares of common stock at $61.40 per share; 301,344 shares of common stock issuable upon exercise of stock options granted to employees with a weighted average exercise price of $93.01; and 773,304 shares of common stock issuable upon completion of vesting of restricted stock unit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its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160" w:type="dxa"/>
            <w:vAlign w:val="bottom"/>
          </w:tcPr>
          <w:p>
            <w:pPr>
              <w:spacing w:after="0"/>
              <w:rPr>
                <w:sz w:val="20"/>
                <w:szCs w:val="20"/>
                <w:color w:val="auto"/>
              </w:rPr>
            </w:pPr>
          </w:p>
        </w:tc>
        <w:tc>
          <w:tcPr>
            <w:tcW w:w="2780" w:type="dxa"/>
            <w:vAlign w:val="bottom"/>
            <w:gridSpan w:val="7"/>
            <w:vMerge w:val="restart"/>
          </w:tcPr>
          <w:p>
            <w:pPr>
              <w:ind w:left="8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93"/>
              </w:rPr>
              <w:t>March 31,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ind w:left="118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4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Location</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Fair value hedge of brokered CD’s</w:t>
            </w:r>
          </w:p>
        </w:tc>
        <w:tc>
          <w:tcPr>
            <w:tcW w:w="120" w:type="dxa"/>
            <w:vAlign w:val="bottom"/>
            <w:tcBorders>
              <w:top w:val="single" w:sz="8" w:color="F0FFFF"/>
            </w:tcBorders>
            <w:shd w:val="clear" w:color="auto" w:fill="F0FFFF"/>
          </w:tcPr>
          <w:p>
            <w:pPr>
              <w:spacing w:after="0"/>
              <w:rPr>
                <w:sz w:val="18"/>
                <w:szCs w:val="18"/>
                <w:color w:val="auto"/>
              </w:rPr>
            </w:pPr>
          </w:p>
        </w:tc>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3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90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9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vMerge w:val="restart"/>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 of brokered CD’s</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F0FFFF"/>
          </w:tcPr>
          <w:p>
            <w:pPr>
              <w:spacing w:after="0"/>
              <w:rPr>
                <w:sz w:val="18"/>
                <w:szCs w:val="18"/>
                <w:color w:val="auto"/>
              </w:rPr>
            </w:pP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90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1,645</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2,169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F0FFFF"/>
              <w:bottom w:val="single" w:sz="8" w:color="F0FFFF"/>
            </w:tcBorders>
            <w:gridSpan w:val="4"/>
            <w:vMerge w:val="restart"/>
          </w:tcPr>
          <w:p>
            <w:pPr>
              <w:spacing w:after="0" w:line="203" w:lineRule="exact"/>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4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90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2780" w:type="dxa"/>
            <w:vAlign w:val="bottom"/>
            <w:gridSpan w:val="7"/>
            <w:shd w:val="clear" w:color="auto" w:fill="F0FFFF"/>
          </w:tcPr>
          <w:p>
            <w:pPr>
              <w:ind w:left="8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4240" w:type="dxa"/>
            <w:vAlign w:val="bottom"/>
            <w:tcBorders>
              <w:top w:val="single" w:sz="8" w:color="F0FFFF"/>
            </w:tcBorders>
            <w:gridSpan w:val="2"/>
          </w:tcPr>
          <w:p>
            <w:pPr>
              <w:jc w:val="center"/>
              <w:ind w:right="320"/>
              <w:spacing w:after="0" w:line="185" w:lineRule="exact"/>
              <w:rPr>
                <w:sz w:val="20"/>
                <w:szCs w:val="20"/>
                <w:color w:val="auto"/>
              </w:rPr>
            </w:pPr>
            <w:r>
              <w:rPr>
                <w:rFonts w:ascii="Arial" w:cs="Arial" w:eastAsia="Arial" w:hAnsi="Arial"/>
                <w:sz w:val="18"/>
                <w:szCs w:val="18"/>
                <w:b w:val="1"/>
                <w:bCs w:val="1"/>
                <w:color w:val="auto"/>
                <w:w w:val="87"/>
              </w:rPr>
              <w:t>Balance Sheet</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480"/>
              <w:spacing w:after="0" w:line="185" w:lineRule="exact"/>
              <w:rPr>
                <w:sz w:val="20"/>
                <w:szCs w:val="20"/>
                <w:color w:val="auto"/>
              </w:rPr>
            </w:pPr>
            <w:r>
              <w:rPr>
                <w:rFonts w:ascii="Arial" w:cs="Arial" w:eastAsia="Arial" w:hAnsi="Arial"/>
                <w:sz w:val="18"/>
                <w:szCs w:val="18"/>
                <w:b w:val="1"/>
                <w:bCs w:val="1"/>
                <w:color w:val="auto"/>
                <w:w w:val="93"/>
              </w:rPr>
              <w:t>March 31,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8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Borders>
              <w:top w:val="single" w:sz="8" w:color="F0FF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ind w:left="118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4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Location</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120" w:type="dxa"/>
            <w:vAlign w:val="bottom"/>
            <w:tcBorders>
              <w:top w:val="single" w:sz="8" w:color="F0FFFF"/>
            </w:tcBorders>
            <w:shd w:val="clear" w:color="auto" w:fill="F0FFFF"/>
          </w:tcPr>
          <w:p>
            <w:pPr>
              <w:spacing w:after="0"/>
              <w:rPr>
                <w:sz w:val="18"/>
                <w:szCs w:val="18"/>
                <w:color w:val="auto"/>
              </w:rPr>
            </w:pPr>
          </w:p>
        </w:tc>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3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12,895</w:t>
            </w:r>
          </w:p>
        </w:tc>
        <w:tc>
          <w:tcPr>
            <w:tcW w:w="3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6,185</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Mortgage banking - loan commitment</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Mortgage banking - forward sales commitment</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Bifurcated embedded derivatives</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3,727</w:t>
            </w:r>
          </w:p>
        </w:tc>
        <w:tc>
          <w:tcPr>
            <w:tcW w:w="3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9,230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Offsetting positions for de-designated cash flow hedges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90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23,402</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20,051</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9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11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spacing w:after="0"/>
              <w:rPr>
                <w:sz w:val="18"/>
                <w:szCs w:val="18"/>
                <w:color w:val="auto"/>
              </w:rPr>
            </w:pPr>
          </w:p>
        </w:tc>
        <w:tc>
          <w:tcPr>
            <w:tcW w:w="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12,966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Mortgage banking - forward sales commitment</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Dealer offsets to bifurcated embedded derivatives</w:t>
            </w:r>
          </w:p>
        </w:tc>
        <w:tc>
          <w:tcPr>
            <w:tcW w:w="4360" w:type="dxa"/>
            <w:vAlign w:val="bottom"/>
            <w:gridSpan w:val="3"/>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De-designated cash flow hedges</w:t>
            </w:r>
          </w:p>
        </w:tc>
        <w:tc>
          <w:tcPr>
            <w:tcW w:w="436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F0FFFF"/>
          </w:tcPr>
          <w:p>
            <w:pPr>
              <w:spacing w:after="0"/>
              <w:rPr>
                <w:sz w:val="21"/>
                <w:szCs w:val="21"/>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6,590</w:t>
            </w:r>
          </w:p>
        </w:tc>
        <w:tc>
          <w:tcPr>
            <w:tcW w:w="3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4,470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390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29,729</w:t>
            </w:r>
          </w:p>
        </w:tc>
        <w:tc>
          <w:tcPr>
            <w:tcW w:w="3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26,656</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 The underlying loans are accounted for under the lower of cost or fair value method and are not reflected in the table above. Fair value adjustments on these derivative instruments are recorded within mortgage loan and other related fee income in the consolidated statement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March 31, 2016 and December 31, 2015 United did not have any active cash flow hedges. Changes in United’s balance sheet composition and interest rate risk position made cash flow hedges no longer necessary as protection against rising interest rates and as a result, United de-designated its former cash flow hedges. The loss remaining in other comprehensive income on the de-designated swaps is being amortized into earnings over the original term of the swaps as the forecasted transactions that the swaps were originally designated to hedge are still expected to occur. United expects that $1.80 million will be reclassified as an increase to interest expense over the next twelve months related to these cash flow hedges.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table below presents the effect of United’s cash flow hedges on the consolidated statement of income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Amount of Gain (Loss)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Recognized in Other</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Comprehensive Income</w:t>
            </w:r>
          </w:p>
        </w:tc>
        <w:tc>
          <w:tcPr>
            <w:tcW w:w="286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89"/>
              </w:rPr>
              <w:t>Gain (Loss) Reclassified from</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on Derivative (Effective</w:t>
            </w:r>
          </w:p>
        </w:tc>
        <w:tc>
          <w:tcPr>
            <w:tcW w:w="358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0"/>
              </w:rPr>
              <w:t>Accumulated Other Comprehensive</w:t>
            </w:r>
          </w:p>
        </w:tc>
        <w:tc>
          <w:tcPr>
            <w:tcW w:w="80" w:type="dxa"/>
            <w:vAlign w:val="bottom"/>
          </w:tcPr>
          <w:p>
            <w:pPr>
              <w:spacing w:after="0"/>
              <w:rPr>
                <w:sz w:val="18"/>
                <w:szCs w:val="18"/>
                <w:color w:val="auto"/>
              </w:rPr>
            </w:pPr>
          </w:p>
        </w:tc>
        <w:tc>
          <w:tcPr>
            <w:tcW w:w="348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9"/>
              </w:rPr>
              <w:t>Gain (Loss) Recognized in Income 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Portion)</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91"/>
              </w:rPr>
              <w:t>Income into Income (Effective Portion)</w:t>
            </w:r>
          </w:p>
        </w:tc>
        <w:tc>
          <w:tcPr>
            <w:tcW w:w="80" w:type="dxa"/>
            <w:vAlign w:val="bottom"/>
          </w:tcPr>
          <w:p>
            <w:pPr>
              <w:spacing w:after="0"/>
              <w:rPr>
                <w:sz w:val="20"/>
                <w:szCs w:val="20"/>
                <w:color w:val="auto"/>
              </w:rPr>
            </w:pPr>
          </w:p>
        </w:tc>
        <w:tc>
          <w:tcPr>
            <w:tcW w:w="3480" w:type="dxa"/>
            <w:vAlign w:val="bottom"/>
            <w:gridSpan w:val="8"/>
          </w:tcPr>
          <w:p>
            <w:pPr>
              <w:jc w:val="center"/>
              <w:ind w:right="120"/>
              <w:spacing w:after="0"/>
              <w:rPr>
                <w:sz w:val="20"/>
                <w:szCs w:val="20"/>
                <w:color w:val="auto"/>
              </w:rPr>
            </w:pPr>
            <w:r>
              <w:rPr>
                <w:rFonts w:ascii="Arial" w:cs="Arial" w:eastAsia="Arial" w:hAnsi="Arial"/>
                <w:sz w:val="18"/>
                <w:szCs w:val="18"/>
                <w:b w:val="1"/>
                <w:bCs w:val="1"/>
                <w:color w:val="auto"/>
                <w:w w:val="92"/>
              </w:rPr>
              <w:t>Derivative (Ineffective Portion)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240" w:type="dxa"/>
            <w:vAlign w:val="bottom"/>
          </w:tcPr>
          <w:p>
            <w:pPr>
              <w:spacing w:after="0"/>
              <w:rPr>
                <w:sz w:val="20"/>
                <w:szCs w:val="20"/>
                <w:color w:val="auto"/>
              </w:rPr>
            </w:pPr>
          </w:p>
        </w:tc>
        <w:tc>
          <w:tcPr>
            <w:tcW w:w="16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6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820" w:type="dxa"/>
            <w:vAlign w:val="bottom"/>
            <w:shd w:val="clear" w:color="auto" w:fill="F0FFFF"/>
          </w:tcPr>
          <w:p>
            <w:pPr>
              <w:spacing w:after="0"/>
              <w:rPr>
                <w:sz w:val="20"/>
                <w:szCs w:val="20"/>
                <w:color w:val="auto"/>
              </w:rPr>
            </w:pPr>
            <w:r>
              <w:rPr>
                <w:rFonts w:ascii="Arial" w:cs="Arial" w:eastAsia="Arial" w:hAnsi="Arial"/>
                <w:sz w:val="18"/>
                <w:szCs w:val="18"/>
                <w:color w:val="auto"/>
              </w:rPr>
              <w:t>Interest rate swaps</w:t>
            </w:r>
          </w:p>
        </w:tc>
        <w:tc>
          <w:tcPr>
            <w:tcW w:w="740" w:type="dxa"/>
            <w:vAlign w:val="bottom"/>
            <w:shd w:val="clear" w:color="auto" w:fill="F0FFFF"/>
          </w:tcPr>
          <w:p>
            <w:pPr>
              <w:jc w:val="right"/>
              <w:ind w:right="55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F0FFFF"/>
          </w:tcPr>
          <w:p>
            <w:pPr>
              <w:jc w:val="center"/>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bscript"/>
              </w:rPr>
              <w:t>$</w:t>
            </w: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(471)</w:t>
            </w:r>
          </w:p>
        </w:tc>
        <w:tc>
          <w:tcPr>
            <w:tcW w:w="1620" w:type="dxa"/>
            <w:vAlign w:val="bottom"/>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(500) $</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(425)</w:t>
            </w:r>
          </w:p>
        </w:tc>
        <w:tc>
          <w:tcPr>
            <w:tcW w:w="166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Interest expense</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F0FFFF"/>
          </w:tcPr>
          <w:p>
            <w:pPr>
              <w:jc w:val="right"/>
              <w:ind w:right="60"/>
              <w:spacing w:after="0" w:line="269" w:lineRule="exact"/>
              <w:rPr>
                <w:sz w:val="20"/>
                <w:szCs w:val="20"/>
                <w:color w:val="auto"/>
              </w:rPr>
            </w:pPr>
            <w:r>
              <w:rPr>
                <w:rFonts w:ascii="Arial" w:cs="Arial" w:eastAsia="Arial" w:hAnsi="Arial"/>
                <w:sz w:val="16"/>
                <w:szCs w:val="16"/>
                <w:color w:val="auto"/>
              </w:rPr>
              <w:t xml:space="preserve">- </w:t>
            </w:r>
            <w:r>
              <w:rPr>
                <w:rFonts w:ascii="Arial" w:cs="Arial" w:eastAsia="Arial" w:hAnsi="Arial"/>
                <w:sz w:val="31"/>
                <w:szCs w:val="31"/>
                <w:color w:val="auto"/>
                <w:vertAlign w:val="subscript"/>
              </w:rPr>
              <w:t>$</w:t>
            </w:r>
          </w:p>
        </w:tc>
        <w:tc>
          <w:tcPr>
            <w:tcW w:w="7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6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March 31, 2016, United had nine interest rate swaps with an aggregate notional amount of $103 million that were designated as fair value hedges of interest rate risk and were pay-variable / receive-fixed swaps hedging the changes in the fair value of fixed-rate brokered time deposits resulting from changes in interest rates. Also at March 31, 2016, United had one interest rate swap with a notional of $30 million that was designated as a pay-fixed / receive variable fair value hedge of changes in the fair value of a fixed-rate corporate bond. At December 31, 2015, United had 13 interest rate swaps with an aggregate notional amount of $156 million that were designated as fair value hedges of interest rate risk. These contracts were pay-variable / receive-fixed swaps hedging changes in the fair value of fixed-rate brokered time deposits resulting from changes in interest rates. Also at December 31, 2015, United had one interest rate swap with a notional of $30 million that was designated as a pay-fixed / receive variable fair value hedge of changes in the fair value of a fixed-rate corporate bond.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2016 and 2015, United recognized net gains of $638,000 and net losses of $37,000, respectively, related to ineffectiveness in the fair value hedging relationships. United also recognized net reductions of interest expense of $790,000 and $1.14 million, respectively, for the three months ended March 31, 2016 and 2015 related to United’s fair value hedges of brokered time deposits, which includes net settlements on the derivatives. United recognized reductions of interest revenue on securities during the three months ended March 31, 2016 and 2015 of $129,000 and $74,000, respectively, related to United’s fair value hedges of corporate bonds.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United’s derivatives in fair value hedging relationships on the consolidated statement of operations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Location of Gain</w:t>
            </w:r>
          </w:p>
        </w:tc>
        <w:tc>
          <w:tcPr>
            <w:tcW w:w="240" w:type="dxa"/>
            <w:vAlign w:val="bottom"/>
          </w:tcPr>
          <w:p>
            <w:pPr>
              <w:spacing w:after="0"/>
              <w:rPr>
                <w:sz w:val="18"/>
                <w:szCs w:val="18"/>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1"/>
              </w:rPr>
              <w:t>Amount of Gain (Loss)</w:t>
            </w:r>
          </w:p>
        </w:tc>
        <w:tc>
          <w:tcPr>
            <w:tcW w:w="240" w:type="dxa"/>
            <w:vAlign w:val="bottom"/>
          </w:tcPr>
          <w:p>
            <w:pPr>
              <w:spacing w:after="0"/>
              <w:rPr>
                <w:sz w:val="18"/>
                <w:szCs w:val="18"/>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(Loss) Recognized</w:t>
            </w:r>
          </w:p>
        </w:tc>
        <w:tc>
          <w:tcPr>
            <w:tcW w:w="240" w:type="dxa"/>
            <w:vAlign w:val="bottom"/>
          </w:tcPr>
          <w:p>
            <w:pPr>
              <w:spacing w:after="0"/>
              <w:rPr>
                <w:sz w:val="18"/>
                <w:szCs w:val="18"/>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Recognized in Income</w:t>
            </w:r>
          </w:p>
        </w:tc>
        <w:tc>
          <w:tcPr>
            <w:tcW w:w="240" w:type="dxa"/>
            <w:vAlign w:val="bottom"/>
          </w:tcPr>
          <w:p>
            <w:pPr>
              <w:spacing w:after="0"/>
              <w:rPr>
                <w:sz w:val="18"/>
                <w:szCs w:val="18"/>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9"/>
              </w:rPr>
              <w:t>Recognized in Income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Income on</w:t>
            </w:r>
          </w:p>
        </w:tc>
        <w:tc>
          <w:tcPr>
            <w:tcW w:w="240" w:type="dxa"/>
            <w:vAlign w:val="bottom"/>
          </w:tcPr>
          <w:p>
            <w:pPr>
              <w:spacing w:after="0"/>
              <w:rPr>
                <w:sz w:val="22"/>
                <w:szCs w:val="22"/>
                <w:color w:val="auto"/>
              </w:rPr>
            </w:pPr>
          </w:p>
        </w:tc>
        <w:tc>
          <w:tcPr>
            <w:tcW w:w="154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on Derivative</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0"/>
              </w:rPr>
              <w:t>on Hedged Item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shd w:val="clear" w:color="auto" w:fill="F0FFFF"/>
          </w:tcPr>
          <w:p>
            <w:pPr>
              <w:spacing w:after="0"/>
              <w:rPr>
                <w:sz w:val="18"/>
                <w:szCs w:val="18"/>
                <w:color w:val="auto"/>
              </w:rPr>
            </w:pPr>
          </w:p>
        </w:tc>
        <w:tc>
          <w:tcPr>
            <w:tcW w:w="1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2740" w:type="dxa"/>
            <w:vAlign w:val="bottom"/>
            <w:gridSpan w:val="3"/>
          </w:tcPr>
          <w:p>
            <w:pPr>
              <w:ind w:left="68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2,551</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corporate bonds</w:t>
            </w:r>
          </w:p>
        </w:tc>
        <w:tc>
          <w:tcPr>
            <w:tcW w:w="2740" w:type="dxa"/>
            <w:vAlign w:val="bottom"/>
            <w:gridSpan w:val="3"/>
            <w:shd w:val="clear" w:color="auto" w:fill="F0FFFF"/>
          </w:tcPr>
          <w:p>
            <w:pPr>
              <w:ind w:left="680"/>
              <w:spacing w:after="0"/>
              <w:rPr>
                <w:sz w:val="20"/>
                <w:szCs w:val="20"/>
                <w:color w:val="auto"/>
              </w:rPr>
            </w:pPr>
            <w:r>
              <w:rPr>
                <w:rFonts w:ascii="Arial" w:cs="Arial" w:eastAsia="Arial" w:hAnsi="Arial"/>
                <w:sz w:val="18"/>
                <w:szCs w:val="18"/>
                <w:color w:val="auto"/>
              </w:rPr>
              <w:t>Interest revenue</w:t>
            </w:r>
          </w:p>
        </w:tc>
        <w:tc>
          <w:tcPr>
            <w:tcW w:w="2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(1,614)</w:t>
            </w:r>
          </w:p>
        </w:tc>
        <w:tc>
          <w:tcPr>
            <w:tcW w:w="8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1,501</w:t>
            </w:r>
          </w:p>
        </w:tc>
        <w:tc>
          <w:tcPr>
            <w:tcW w:w="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680" w:type="dxa"/>
            <w:vAlign w:val="bottom"/>
            <w:tcBorders>
              <w:top w:val="single" w:sz="8" w:color="F0FFFF"/>
            </w:tcBorders>
          </w:tcPr>
          <w:p>
            <w:pPr>
              <w:spacing w:after="0"/>
              <w:rPr>
                <w:sz w:val="18"/>
                <w:szCs w:val="18"/>
                <w:color w:val="auto"/>
              </w:rPr>
            </w:pPr>
          </w:p>
        </w:tc>
        <w:tc>
          <w:tcPr>
            <w:tcW w:w="18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80" w:type="dxa"/>
            <w:vAlign w:val="bottom"/>
            <w:tcBorders>
              <w:top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top w:val="single" w:sz="8" w:color="F0FF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2016, collateral totaling $29.0 million was pledged toward derivatives in a liability position.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March 31, 2016, 255,000 additional awards could be granted under the plan. Through March 31, 2016, incentive stock options, nonqualified stock options, restricted stock and restricted stock unit awards, base salary stock grants and performance share awards have been granted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three months of 2016.</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Intrinisic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gridSpan w:val="2"/>
          </w:tcPr>
          <w:p>
            <w:pPr>
              <w:ind w:left="1560"/>
              <w:spacing w:after="0"/>
              <w:rPr>
                <w:sz w:val="20"/>
                <w:szCs w:val="20"/>
                <w:color w:val="auto"/>
              </w:rPr>
            </w:pPr>
            <w:r>
              <w:rPr>
                <w:rFonts w:ascii="Arial" w:cs="Arial" w:eastAsia="Arial" w:hAnsi="Arial"/>
                <w:sz w:val="18"/>
                <w:szCs w:val="18"/>
                <w:b w:val="1"/>
                <w:bCs w:val="1"/>
                <w:color w:val="auto"/>
              </w:rPr>
              <w:t>Options</w:t>
            </w:r>
          </w:p>
        </w:tc>
        <w:tc>
          <w:tcPr>
            <w:tcW w:w="1240" w:type="dxa"/>
            <w:vAlign w:val="bottom"/>
          </w:tcPr>
          <w:p>
            <w:pPr>
              <w:jc w:val="right"/>
              <w:ind w:right="293"/>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Exercise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 at December 31, 2015</w:t>
            </w:r>
          </w:p>
        </w:tc>
        <w:tc>
          <w:tcPr>
            <w:tcW w:w="12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241,493</w:t>
            </w: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89.92</w:t>
            </w:r>
          </w:p>
        </w:tc>
        <w:tc>
          <w:tcPr>
            <w:tcW w:w="320" w:type="dxa"/>
            <w:vAlign w:val="bottom"/>
            <w:shd w:val="clear" w:color="auto" w:fill="F0FFFF"/>
          </w:tcPr>
          <w:p>
            <w:pPr>
              <w:spacing w:after="0"/>
              <w:rPr>
                <w:sz w:val="18"/>
                <w:szCs w:val="18"/>
                <w:color w:val="auto"/>
              </w:rPr>
            </w:pPr>
          </w:p>
        </w:tc>
        <w:tc>
          <w:tcPr>
            <w:tcW w:w="12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tcPr>
          <w:p>
            <w:pPr>
              <w:spacing w:after="0" w:line="189" w:lineRule="exact"/>
              <w:rPr>
                <w:sz w:val="20"/>
                <w:szCs w:val="20"/>
                <w:color w:val="auto"/>
              </w:rPr>
            </w:pPr>
            <w:r>
              <w:rPr>
                <w:rFonts w:ascii="Arial" w:cs="Arial" w:eastAsia="Arial" w:hAnsi="Arial"/>
                <w:sz w:val="18"/>
                <w:szCs w:val="18"/>
                <w:color w:val="auto"/>
              </w:rPr>
              <w:t>Expired</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(5,722</w:t>
            </w:r>
          </w:p>
        </w:tc>
        <w:tc>
          <w:tcPr>
            <w:tcW w:w="320" w:type="dxa"/>
            <w:vAlign w:val="bottom"/>
          </w:tcPr>
          <w:p>
            <w:pPr>
              <w:jc w:val="right"/>
              <w:ind w:right="175"/>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102.45</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780" w:type="dxa"/>
            <w:vAlign w:val="bottom"/>
            <w:tcBorders>
              <w:bottom w:val="single" w:sz="8" w:color="F0FFFF"/>
            </w:tcBorders>
          </w:tcPr>
          <w:p>
            <w:pPr>
              <w:spacing w:after="0"/>
              <w:rPr>
                <w:sz w:val="4"/>
                <w:szCs w:val="4"/>
                <w:color w:val="auto"/>
              </w:rPr>
            </w:pPr>
          </w:p>
        </w:tc>
        <w:tc>
          <w:tcPr>
            <w:tcW w:w="320" w:type="dxa"/>
            <w:vAlign w:val="bottom"/>
            <w:tcBorders>
              <w:bottom w:val="single" w:sz="8" w:color="F0FFFF"/>
            </w:tcBorders>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320" w:type="dxa"/>
            <w:vAlign w:val="bottom"/>
            <w:tcBorders>
              <w:bottom w:val="single" w:sz="8" w:color="F0FFFF"/>
            </w:tcBorders>
          </w:tcPr>
          <w:p>
            <w:pPr>
              <w:spacing w:after="0"/>
              <w:rPr>
                <w:sz w:val="4"/>
                <w:szCs w:val="4"/>
                <w:color w:val="auto"/>
              </w:rPr>
            </w:pPr>
          </w:p>
        </w:tc>
        <w:tc>
          <w:tcPr>
            <w:tcW w:w="80" w:type="dxa"/>
            <w:vAlign w:val="bottom"/>
            <w:tcBorders>
              <w:bottom w:val="single" w:sz="8" w:color="F0FFFF"/>
            </w:tcBorders>
          </w:tcPr>
          <w:p>
            <w:pPr>
              <w:spacing w:after="0"/>
              <w:rPr>
                <w:sz w:val="4"/>
                <w:szCs w:val="4"/>
                <w:color w:val="auto"/>
              </w:rPr>
            </w:pPr>
          </w:p>
        </w:tc>
        <w:tc>
          <w:tcPr>
            <w:tcW w:w="1200" w:type="dxa"/>
            <w:vAlign w:val="bottom"/>
            <w:tcBorders>
              <w:bottom w:val="single" w:sz="8" w:color="F0FFFF"/>
            </w:tcBorders>
            <w:vMerge w:val="continue"/>
          </w:tcPr>
          <w:p>
            <w:pPr>
              <w:spacing w:after="0"/>
              <w:rPr>
                <w:sz w:val="4"/>
                <w:szCs w:val="4"/>
                <w:color w:val="auto"/>
              </w:rPr>
            </w:pPr>
          </w:p>
        </w:tc>
        <w:tc>
          <w:tcPr>
            <w:tcW w:w="320" w:type="dxa"/>
            <w:vAlign w:val="bottom"/>
            <w:tcBorders>
              <w:bottom w:val="single" w:sz="8" w:color="F0FFFF"/>
            </w:tcBorders>
          </w:tcPr>
          <w:p>
            <w:pPr>
              <w:spacing w:after="0"/>
              <w:rPr>
                <w:sz w:val="4"/>
                <w:szCs w:val="4"/>
                <w:color w:val="auto"/>
              </w:rPr>
            </w:pPr>
          </w:p>
        </w:tc>
        <w:tc>
          <w:tcPr>
            <w:tcW w:w="1280" w:type="dxa"/>
            <w:vAlign w:val="bottom"/>
            <w:tcBorders>
              <w:bottom w:val="single" w:sz="8" w:color="F0FFFF"/>
            </w:tcBorders>
          </w:tcPr>
          <w:p>
            <w:pPr>
              <w:spacing w:after="0"/>
              <w:rPr>
                <w:sz w:val="4"/>
                <w:szCs w:val="4"/>
                <w:color w:val="auto"/>
              </w:rPr>
            </w:pPr>
          </w:p>
        </w:tc>
        <w:tc>
          <w:tcPr>
            <w:tcW w:w="340" w:type="dxa"/>
            <w:vAlign w:val="bottom"/>
            <w:tcBorders>
              <w:bottom w:val="single" w:sz="8" w:color="F0FFFF"/>
            </w:tcBorders>
          </w:tcPr>
          <w:p>
            <w:pPr>
              <w:spacing w:after="0"/>
              <w:rPr>
                <w:sz w:val="4"/>
                <w:szCs w:val="4"/>
                <w:color w:val="auto"/>
              </w:rPr>
            </w:pPr>
          </w:p>
        </w:tc>
        <w:tc>
          <w:tcPr>
            <w:tcW w:w="160" w:type="dxa"/>
            <w:vAlign w:val="bottom"/>
            <w:tcBorders>
              <w:bottom w:val="single" w:sz="8" w:color="F0FFFF"/>
            </w:tcBorders>
          </w:tcPr>
          <w:p>
            <w:pPr>
              <w:spacing w:after="0"/>
              <w:rPr>
                <w:sz w:val="4"/>
                <w:szCs w:val="4"/>
                <w:color w:val="auto"/>
              </w:rPr>
            </w:pPr>
          </w:p>
        </w:tc>
        <w:tc>
          <w:tcPr>
            <w:tcW w:w="1100" w:type="dxa"/>
            <w:vAlign w:val="bottom"/>
            <w:tcBorders>
              <w:bottom w:val="single" w:sz="8" w:color="F0FFFF"/>
            </w:tcBorders>
          </w:tcPr>
          <w:p>
            <w:pPr>
              <w:spacing w:after="0"/>
              <w:rPr>
                <w:sz w:val="4"/>
                <w:szCs w:val="4"/>
                <w:color w:val="auto"/>
              </w:rPr>
            </w:pPr>
          </w:p>
        </w:tc>
        <w:tc>
          <w:tcPr>
            <w:tcW w:w="120" w:type="dxa"/>
            <w:vAlign w:val="bottom"/>
            <w:tcBorders>
              <w:bottom w:val="single" w:sz="8" w:color="F0FF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Outstanding at March 31, 2016</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235,771</w:t>
            </w:r>
          </w:p>
        </w:tc>
        <w:tc>
          <w:tcPr>
            <w:tcW w:w="3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89.61</w:t>
            </w:r>
          </w:p>
        </w:tc>
        <w:tc>
          <w:tcPr>
            <w:tcW w:w="32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2"/>
                <w:szCs w:val="22"/>
                <w:color w:val="auto"/>
              </w:rPr>
            </w:pPr>
          </w:p>
        </w:tc>
        <w:tc>
          <w:tcPr>
            <w:tcW w:w="41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Exercisable at March 31, 2016</w:t>
            </w: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225,771</w:t>
            </w:r>
          </w:p>
        </w:tc>
        <w:tc>
          <w:tcPr>
            <w:tcW w:w="32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92.86</w:t>
            </w:r>
          </w:p>
        </w:tc>
        <w:tc>
          <w:tcPr>
            <w:tcW w:w="32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F0FFFF"/>
            </w:tcBorders>
            <w:shd w:val="clear" w:color="auto" w:fill="F0FFFF"/>
          </w:tcPr>
          <w:p>
            <w:pPr>
              <w:spacing w:after="0"/>
              <w:rPr>
                <w:sz w:val="22"/>
                <w:szCs w:val="22"/>
                <w:color w:val="auto"/>
              </w:rPr>
            </w:pPr>
          </w:p>
        </w:tc>
        <w:tc>
          <w:tcPr>
            <w:tcW w:w="11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three months ended March 31, 2016 and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recognized $7,000 and $10,000, respectively, in compensation expense related to stock options during the three months ended March 31, 2016 and 2015. The amount of compensation expense was determined based on the fair value of the options at the time of grant, multiplied by the number of options granted that were expected to vest, which was then amortized over the vesting period. No options were exercised during the first three months of 2016 or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5"/>
          </w:tcPr>
          <w:p>
            <w:pPr>
              <w:spacing w:after="0"/>
              <w:rPr>
                <w:sz w:val="20"/>
                <w:szCs w:val="20"/>
                <w:color w:val="auto"/>
              </w:rPr>
            </w:pPr>
            <w:r>
              <w:rPr>
                <w:rFonts w:ascii="Arial" w:cs="Arial" w:eastAsia="Arial" w:hAnsi="Arial"/>
                <w:sz w:val="18"/>
                <w:szCs w:val="18"/>
                <w:color w:val="auto"/>
                <w:w w:val="92"/>
              </w:rPr>
              <w:t>The table below presents restricted stock units activity for the first three months of 2016.</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Average Grant-</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4800" w:type="dxa"/>
            <w:vAlign w:val="bottom"/>
            <w:gridSpan w:val="4"/>
          </w:tcPr>
          <w:p>
            <w:pPr>
              <w:ind w:left="920"/>
              <w:spacing w:after="0"/>
              <w:rPr>
                <w:sz w:val="20"/>
                <w:szCs w:val="20"/>
                <w:color w:val="auto"/>
              </w:rPr>
            </w:pPr>
            <w:r>
              <w:rPr>
                <w:rFonts w:ascii="Arial" w:cs="Arial" w:eastAsia="Arial" w:hAnsi="Arial"/>
                <w:sz w:val="18"/>
                <w:szCs w:val="18"/>
                <w:b w:val="1"/>
                <w:bCs w:val="1"/>
                <w:color w:val="auto"/>
              </w:rPr>
              <w:t>Restricted Stock Unit Awards</w:t>
            </w:r>
          </w:p>
        </w:tc>
        <w:tc>
          <w:tcPr>
            <w:tcW w:w="15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480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Outstanding at December 31, 2015</w:t>
            </w:r>
          </w:p>
        </w:tc>
        <w:tc>
          <w:tcPr>
            <w:tcW w:w="1560" w:type="dxa"/>
            <w:vAlign w:val="bottom"/>
            <w:gridSpan w:val="2"/>
            <w:shd w:val="clear" w:color="auto" w:fill="F0FFFF"/>
          </w:tcPr>
          <w:p>
            <w:pPr>
              <w:jc w:val="right"/>
              <w:ind w:right="420"/>
              <w:spacing w:after="0"/>
              <w:rPr>
                <w:sz w:val="20"/>
                <w:szCs w:val="20"/>
                <w:color w:val="auto"/>
              </w:rPr>
            </w:pPr>
            <w:r>
              <w:rPr>
                <w:rFonts w:ascii="Arial" w:cs="Arial" w:eastAsia="Arial" w:hAnsi="Arial"/>
                <w:sz w:val="18"/>
                <w:szCs w:val="18"/>
                <w:color w:val="auto"/>
              </w:rPr>
              <w:t>712,667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19,428</w:t>
            </w: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00" w:type="dxa"/>
            <w:vAlign w:val="bottom"/>
            <w:gridSpan w:val="4"/>
            <w:shd w:val="clear" w:color="auto" w:fill="F0FF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(114,213)</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4800" w:type="dxa"/>
            <w:vAlign w:val="bottom"/>
            <w:gridSpan w:val="4"/>
          </w:tcPr>
          <w:p>
            <w:pPr>
              <w:spacing w:after="0" w:line="162" w:lineRule="exact"/>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360"/>
              <w:spacing w:after="0" w:line="16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75"/>
        </w:trPr>
        <w:tc>
          <w:tcPr>
            <w:tcW w:w="1720" w:type="dxa"/>
            <w:vAlign w:val="bottom"/>
          </w:tcPr>
          <w:p>
            <w:pPr>
              <w:spacing w:after="0"/>
              <w:rPr>
                <w:sz w:val="6"/>
                <w:szCs w:val="6"/>
                <w:color w:val="auto"/>
              </w:rPr>
            </w:pPr>
          </w:p>
        </w:tc>
        <w:tc>
          <w:tcPr>
            <w:tcW w:w="4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gridSpan w:val="2"/>
          </w:tcPr>
          <w:p>
            <w:pPr>
              <w:jc w:val="right"/>
              <w:ind w:right="420"/>
              <w:spacing w:after="0" w:line="68" w:lineRule="exact"/>
              <w:rPr>
                <w:sz w:val="20"/>
                <w:szCs w:val="20"/>
                <w:color w:val="auto"/>
              </w:rPr>
            </w:pPr>
            <w:r>
              <w:rPr>
                <w:rFonts w:ascii="Arial" w:cs="Arial" w:eastAsia="Arial" w:hAnsi="Arial"/>
                <w:sz w:val="7"/>
                <w:szCs w:val="7"/>
                <w:color w:val="auto"/>
              </w:rPr>
              <w:t>(20,642</w:t>
            </w: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7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Outstanding at March 31, 2016</w:t>
            </w:r>
          </w:p>
        </w:tc>
        <w:tc>
          <w:tcPr>
            <w:tcW w:w="240" w:type="dxa"/>
            <w:vAlign w:val="bottom"/>
            <w:tcBorders>
              <w:top w:val="single" w:sz="8" w:color="auto"/>
              <w:bottom w:val="single" w:sz="8" w:color="auto"/>
            </w:tcBorders>
            <w:shd w:val="clear" w:color="auto" w:fill="F0FFFF"/>
          </w:tcPr>
          <w:p>
            <w:pPr>
              <w:spacing w:after="0"/>
              <w:rPr>
                <w:sz w:val="21"/>
                <w:szCs w:val="21"/>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597,240</w:t>
            </w:r>
          </w:p>
        </w:tc>
        <w:tc>
          <w:tcPr>
            <w:tcW w:w="4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50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1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4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three months ended March 31, 2016 and 2015, compensation expense of $898,000 and $956,000, respectively, was recognized related to restricted stock unit awards. In addition, for the three months ended March 31, 2016 and 2015, $12,000 and $25,000, respectively, was recognized in other operating expense for restricted stock unit awards granted to members of United’s board of directors. The total intrinsic value of outstanding restricted stock unit awards was $11.0 million at March 31, 2016.</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there was $8.08 million of unrecognized compensation cost related to non-vested stock options and restricted stock unit awards granted under the plan. That cost is expected to be recognized over a weighted-average period of 2.29 years. The aggregate grant date fair value of options and restricted stock unit awards that vested during the three months ended March 31, 2016, was $1.84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and Preferred Stock Issued / Common Stock Issuable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three months ended March 31, 2016 and 2015, 736 shares and 487 shares, respectively, were issued through the DRIP.</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three months of 2016 and 2015, United issued 4,418 shares and 3,202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March 31, 2016 and December 31, 2015, 496,515 and 458,953 shares of common stock, respectively, were issuable under the deferred compensation plan.</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quarter of 2016, United redeemed all of its outstanding Series H preferred stock. The preferred stock was redeemed at par and did not result in any gain or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provision for the three months ended March 31, 2016 and 2015 was $13.6 million and $10.4 million, respectively, which represents an effective tax rate of 37.9% and 37.0%, respectively. At March 31, 2016 and December 31, 2015, United maintained a valuation allowance on its net deferred tax asset of $4.42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March 31, 2016. Based on the assessment of all the positive and negative evidence, management concluded that it is more likely than not that nearly all of its net deferred tax asset will be realized based upon future taxable income. The remaining valuation allowance of $4.42 million is related to specific state income tax credits that have short carryforward periods and are expected to expire unused.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March 31, 2016 that it was more likely than not that United’s net deferred tax asset of $180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and December 31, 2015, unrecognized income tax benefits totaled $4.09 million and $3.98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2016,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interest rate lock commitments, which is related to mortgage loan commitments and is categorized as Level 3, is based on quoted market prices adjusted for commitments that United does not expect to fund.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Government Guaranteed Loans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United recognizes servicing rights upon the sale of government guaranteed loans sold with servicing retained. Management has elected to carry this asset at fair value. Given the nature of the asset, the key valuation inputs are unobservable and management classifies this asset as Level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17 in the Annual Report on Form 10-K for the year ended December 31,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r>
              <w:rPr>
                <w:rFonts w:ascii="Arial" w:cs="Arial" w:eastAsia="Arial" w:hAnsi="Arial"/>
                <w:sz w:val="18"/>
                <w:szCs w:val="18"/>
                <w:b w:val="1"/>
                <w:bCs w:val="1"/>
                <w:color w:val="auto"/>
              </w:rPr>
              <w:t>March 31, 2016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5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143,051</w:t>
            </w:r>
          </w:p>
        </w:tc>
        <w:tc>
          <w:tcPr>
            <w:tcW w:w="6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143,051</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U.S. Agencies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86,923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86,923</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74,140</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74,140</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1,267,335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1,267,335</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307,812</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308,462</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522,618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522,618</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2,938</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3,898</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55"/>
        </w:trPr>
        <w:tc>
          <w:tcPr>
            <w:tcW w:w="550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146,831</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2,281,339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8,463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2,436,633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3,780</w:t>
            </w:r>
          </w:p>
        </w:tc>
        <w:tc>
          <w:tcPr>
            <w:tcW w:w="6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10,151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31,374</w:t>
            </w:r>
          </w:p>
        </w:tc>
        <w:tc>
          <w:tcPr>
            <w:tcW w:w="0" w:type="dxa"/>
            <w:vAlign w:val="bottom"/>
          </w:tcPr>
          <w:p>
            <w:pPr>
              <w:spacing w:after="0"/>
              <w:rPr>
                <w:sz w:val="1"/>
                <w:szCs w:val="1"/>
                <w:color w:val="auto"/>
              </w:rPr>
            </w:pPr>
          </w:p>
        </w:tc>
      </w:tr>
      <w:tr>
        <w:trPr>
          <w:trHeight w:val="255"/>
        </w:trPr>
        <w:tc>
          <w:tcPr>
            <w:tcW w:w="550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3,780</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21,223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10,151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35,154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5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168,706</w:t>
            </w:r>
          </w:p>
        </w:tc>
        <w:tc>
          <w:tcPr>
            <w:tcW w:w="6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168,706</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U.S. Agencies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112,340</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56,268</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56,268</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1,113,118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1,113,118</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305,276</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306,026</w:t>
            </w:r>
          </w:p>
        </w:tc>
        <w:tc>
          <w:tcPr>
            <w:tcW w:w="0" w:type="dxa"/>
            <w:vAlign w:val="bottom"/>
          </w:tcPr>
          <w:p>
            <w:pPr>
              <w:spacing w:after="0"/>
              <w:rPr>
                <w:sz w:val="1"/>
                <w:szCs w:val="1"/>
                <w:color w:val="auto"/>
              </w:rPr>
            </w:pPr>
          </w:p>
        </w:tc>
      </w:tr>
      <w:tr>
        <w:trPr>
          <w:trHeight w:val="216"/>
        </w:trPr>
        <w:tc>
          <w:tcPr>
            <w:tcW w:w="550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533,242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533,242</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3,712</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55"/>
        </w:trPr>
        <w:tc>
          <w:tcPr>
            <w:tcW w:w="550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172,156</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2,132,719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13,880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2,318,755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3,450</w:t>
            </w:r>
          </w:p>
        </w:tc>
        <w:tc>
          <w:tcPr>
            <w:tcW w:w="64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7"/>
        </w:trPr>
        <w:tc>
          <w:tcPr>
            <w:tcW w:w="55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13,031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15,794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28,825</w:t>
            </w:r>
          </w:p>
        </w:tc>
        <w:tc>
          <w:tcPr>
            <w:tcW w:w="0" w:type="dxa"/>
            <w:vAlign w:val="bottom"/>
          </w:tcPr>
          <w:p>
            <w:pPr>
              <w:spacing w:after="0"/>
              <w:rPr>
                <w:sz w:val="1"/>
                <w:szCs w:val="1"/>
                <w:color w:val="auto"/>
              </w:rPr>
            </w:pPr>
          </w:p>
        </w:tc>
      </w:tr>
      <w:tr>
        <w:trPr>
          <w:trHeight w:val="255"/>
        </w:trPr>
        <w:tc>
          <w:tcPr>
            <w:tcW w:w="550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3,450</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13,031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15,794</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32,275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5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vMerge w:val="continue"/>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Servicing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rights 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government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Derivative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Derivative</w:t>
            </w:r>
          </w:p>
        </w:tc>
        <w:tc>
          <w:tcPr>
            <w:tcW w:w="20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guaranteed</w:t>
            </w:r>
          </w:p>
        </w:tc>
        <w:tc>
          <w:tcPr>
            <w:tcW w:w="2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Available-for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loans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8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9,418</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15,794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3,712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Additions</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Sales and settlements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Amounts included in earnings - fair value adjustments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3,915</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10,151</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3,898</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Three Months Ended March 31, 2015</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12,262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18,979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2,551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Additions</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Sales and settlements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ind w:left="140"/>
              <w:spacing w:after="0"/>
              <w:rPr>
                <w:sz w:val="20"/>
                <w:szCs w:val="20"/>
                <w:color w:val="auto"/>
              </w:rPr>
            </w:pPr>
            <w:r>
              <w:rPr>
                <w:rFonts w:ascii="Arial" w:cs="Arial" w:eastAsia="Arial" w:hAnsi="Arial"/>
                <w:sz w:val="18"/>
                <w:szCs w:val="18"/>
                <w:color w:val="auto"/>
              </w:rPr>
              <w:t>Amounts included in earnings - fair value adjustments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(4,145)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(4,450)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8,117</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14,529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2,717</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5"/>
          </w:tcPr>
          <w:p>
            <w:pPr>
              <w:ind w:left="6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Level 3 Assets</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8"/>
              <w:spacing w:after="0" w:line="126"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Unobservable Inputs</w:t>
            </w:r>
          </w:p>
        </w:tc>
        <w:tc>
          <w:tcPr>
            <w:tcW w:w="122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9"/>
              </w:rPr>
              <w:t>March 31,</w:t>
            </w:r>
          </w:p>
        </w:tc>
        <w:tc>
          <w:tcPr>
            <w:tcW w:w="1020" w:type="dxa"/>
            <w:vAlign w:val="bottom"/>
            <w:tcBorders>
              <w:top w:val="single" w:sz="8" w:color="auto"/>
            </w:tcBorders>
          </w:tcPr>
          <w:p>
            <w:pPr>
              <w:jc w:val="right"/>
              <w:ind w:right="8"/>
              <w:spacing w:after="0" w:line="126"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0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Servicing rights for</w:t>
            </w:r>
          </w:p>
        </w:tc>
        <w:tc>
          <w:tcPr>
            <w:tcW w:w="260" w:type="dxa"/>
            <w:vAlign w:val="bottom"/>
            <w:gridSpan w:val="2"/>
            <w:shd w:val="clear" w:color="auto" w:fill="F0FFFF"/>
          </w:tcPr>
          <w:p>
            <w:pPr>
              <w:jc w:val="right"/>
              <w:ind w:right="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3,898</w:t>
            </w:r>
          </w:p>
        </w:tc>
        <w:tc>
          <w:tcPr>
            <w:tcW w:w="8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60"/>
              <w:spacing w:after="0" w:line="130" w:lineRule="exact"/>
              <w:rPr>
                <w:sz w:val="20"/>
                <w:szCs w:val="20"/>
                <w:color w:val="auto"/>
              </w:rPr>
            </w:pPr>
            <w:r>
              <w:rPr>
                <w:rFonts w:ascii="Arial" w:cs="Arial" w:eastAsia="Arial" w:hAnsi="Arial"/>
                <w:sz w:val="14"/>
                <w:szCs w:val="14"/>
                <w:color w:val="auto"/>
              </w:rPr>
              <w:t>3,712</w:t>
            </w:r>
          </w:p>
        </w:tc>
        <w:tc>
          <w:tcPr>
            <w:tcW w:w="2120" w:type="dxa"/>
            <w:vAlign w:val="bottom"/>
            <w:gridSpan w:val="2"/>
            <w:shd w:val="clear" w:color="auto" w:fill="F0FFFF"/>
          </w:tcPr>
          <w:p>
            <w:pPr>
              <w:ind w:left="60"/>
              <w:spacing w:after="0" w:line="130" w:lineRule="exact"/>
              <w:rPr>
                <w:sz w:val="20"/>
                <w:szCs w:val="20"/>
                <w:color w:val="auto"/>
              </w:rPr>
            </w:pPr>
            <w:r>
              <w:rPr>
                <w:rFonts w:ascii="Arial" w:cs="Arial" w:eastAsia="Arial" w:hAnsi="Arial"/>
                <w:sz w:val="14"/>
                <w:szCs w:val="14"/>
                <w:color w:val="auto"/>
              </w:rPr>
              <w:t>Discounted</w:t>
            </w:r>
          </w:p>
        </w:tc>
        <w:tc>
          <w:tcPr>
            <w:tcW w:w="2940" w:type="dxa"/>
            <w:vAlign w:val="bottom"/>
            <w:gridSpan w:val="3"/>
            <w:shd w:val="clear" w:color="auto" w:fill="F0FF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220" w:type="dxa"/>
            <w:vAlign w:val="bottom"/>
            <w:gridSpan w:val="2"/>
            <w:shd w:val="clear" w:color="auto" w:fill="F0FFFF"/>
          </w:tcPr>
          <w:p>
            <w:pPr>
              <w:jc w:val="right"/>
              <w:ind w:right="100"/>
              <w:spacing w:after="0" w:line="130" w:lineRule="exact"/>
              <w:rPr>
                <w:sz w:val="20"/>
                <w:szCs w:val="20"/>
                <w:color w:val="auto"/>
              </w:rPr>
            </w:pPr>
            <w:r>
              <w:rPr>
                <w:rFonts w:ascii="Arial" w:cs="Arial" w:eastAsia="Arial" w:hAnsi="Arial"/>
                <w:sz w:val="14"/>
                <w:szCs w:val="14"/>
                <w:color w:val="auto"/>
              </w:rPr>
              <w:t>11.8%</w:t>
            </w:r>
          </w:p>
        </w:tc>
        <w:tc>
          <w:tcPr>
            <w:tcW w:w="1140" w:type="dxa"/>
            <w:vAlign w:val="bottom"/>
            <w:gridSpan w:val="2"/>
            <w:shd w:val="clear" w:color="auto" w:fill="F0FFFF"/>
          </w:tcPr>
          <w:p>
            <w:pPr>
              <w:jc w:val="right"/>
              <w:spacing w:after="0" w:line="130"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government</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120" w:type="dxa"/>
            <w:vAlign w:val="bottom"/>
            <w:gridSpan w:val="2"/>
            <w:shd w:val="clear" w:color="auto" w:fill="F0FFFF"/>
          </w:tcPr>
          <w:p>
            <w:pPr>
              <w:ind w:left="60"/>
              <w:spacing w:after="0" w:line="149" w:lineRule="exact"/>
              <w:rPr>
                <w:sz w:val="20"/>
                <w:szCs w:val="20"/>
                <w:color w:val="auto"/>
              </w:rPr>
            </w:pPr>
            <w:r>
              <w:rPr>
                <w:rFonts w:ascii="Arial" w:cs="Arial" w:eastAsia="Arial" w:hAnsi="Arial"/>
                <w:sz w:val="14"/>
                <w:szCs w:val="14"/>
                <w:color w:val="auto"/>
              </w:rPr>
              <w:t>cash flow</w:t>
            </w:r>
          </w:p>
        </w:tc>
        <w:tc>
          <w:tcPr>
            <w:tcW w:w="29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Prepayment rate</w:t>
            </w:r>
          </w:p>
        </w:tc>
        <w:tc>
          <w:tcPr>
            <w:tcW w:w="12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7.23%</w:t>
            </w:r>
          </w:p>
        </w:tc>
        <w:tc>
          <w:tcPr>
            <w:tcW w:w="11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F0FFFF"/>
          </w:tcPr>
          <w:p>
            <w:pPr>
              <w:spacing w:after="0"/>
              <w:rPr>
                <w:sz w:val="20"/>
                <w:szCs w:val="20"/>
                <w:color w:val="auto"/>
              </w:rPr>
            </w:pPr>
            <w:r>
              <w:rPr>
                <w:rFonts w:ascii="Arial" w:cs="Arial" w:eastAsia="Arial" w:hAnsi="Arial"/>
                <w:sz w:val="14"/>
                <w:szCs w:val="14"/>
                <w:color w:val="auto"/>
              </w:rPr>
              <w:t>guaranteed loans</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0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Corporate bonds</w:t>
            </w: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0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650</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shd w:val="clear" w:color="auto" w:fill="F0FFFF"/>
          </w:tcPr>
          <w:p>
            <w:pPr>
              <w:jc w:val="right"/>
              <w:spacing w:after="0" w:line="130" w:lineRule="exact"/>
              <w:rPr>
                <w:sz w:val="20"/>
                <w:szCs w:val="20"/>
                <w:color w:val="auto"/>
              </w:rPr>
            </w:pPr>
            <w:r>
              <w:rPr>
                <w:rFonts w:ascii="Arial" w:cs="Arial" w:eastAsia="Arial" w:hAnsi="Arial"/>
                <w:sz w:val="14"/>
                <w:szCs w:val="14"/>
                <w:color w:val="auto"/>
              </w:rPr>
              <w:t>750</w:t>
            </w:r>
          </w:p>
        </w:tc>
        <w:tc>
          <w:tcPr>
            <w:tcW w:w="60" w:type="dxa"/>
            <w:vAlign w:val="bottom"/>
            <w:shd w:val="clear" w:color="auto" w:fill="F0FFFF"/>
          </w:tcPr>
          <w:p>
            <w:pPr>
              <w:spacing w:after="0"/>
              <w:rPr>
                <w:sz w:val="11"/>
                <w:szCs w:val="11"/>
                <w:color w:val="auto"/>
              </w:rPr>
            </w:pPr>
          </w:p>
        </w:tc>
        <w:tc>
          <w:tcPr>
            <w:tcW w:w="2120" w:type="dxa"/>
            <w:vAlign w:val="bottom"/>
            <w:gridSpan w:val="2"/>
            <w:shd w:val="clear" w:color="auto" w:fill="F0FFFF"/>
          </w:tcPr>
          <w:p>
            <w:pPr>
              <w:ind w:left="60"/>
              <w:spacing w:after="0" w:line="130" w:lineRule="exact"/>
              <w:rPr>
                <w:sz w:val="20"/>
                <w:szCs w:val="20"/>
                <w:color w:val="auto"/>
              </w:rPr>
            </w:pPr>
            <w:r>
              <w:rPr>
                <w:rFonts w:ascii="Arial" w:cs="Arial" w:eastAsia="Arial" w:hAnsi="Arial"/>
                <w:sz w:val="14"/>
                <w:szCs w:val="14"/>
                <w:color w:val="auto"/>
                <w:w w:val="95"/>
              </w:rPr>
              <w:t>Indicative bid provided by a broker</w:t>
            </w:r>
          </w:p>
        </w:tc>
        <w:tc>
          <w:tcPr>
            <w:tcW w:w="2940" w:type="dxa"/>
            <w:vAlign w:val="bottom"/>
            <w:gridSpan w:val="3"/>
            <w:shd w:val="clear" w:color="auto" w:fill="F0FFFF"/>
          </w:tcPr>
          <w:p>
            <w:pPr>
              <w:ind w:left="100"/>
              <w:spacing w:after="0" w:line="130" w:lineRule="exact"/>
              <w:rPr>
                <w:sz w:val="20"/>
                <w:szCs w:val="20"/>
                <w:color w:val="auto"/>
              </w:rPr>
            </w:pPr>
            <w:r>
              <w:rPr>
                <w:rFonts w:ascii="Arial" w:cs="Arial" w:eastAsia="Arial" w:hAnsi="Arial"/>
                <w:sz w:val="14"/>
                <w:szCs w:val="14"/>
                <w:color w:val="auto"/>
              </w:rPr>
              <w:t>Multiple factors, including but not limited to,</w:t>
            </w:r>
          </w:p>
        </w:tc>
        <w:tc>
          <w:tcPr>
            <w:tcW w:w="1220" w:type="dxa"/>
            <w:vAlign w:val="bottom"/>
            <w:gridSpan w:val="2"/>
            <w:shd w:val="clear" w:color="auto" w:fill="F0FFFF"/>
          </w:tcPr>
          <w:p>
            <w:pPr>
              <w:jc w:val="right"/>
              <w:ind w:right="22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F0FFFF"/>
          </w:tcPr>
          <w:p>
            <w:pPr>
              <w:jc w:val="right"/>
              <w:ind w:right="120"/>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29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current operations, financial condition, cash</w:t>
            </w:r>
          </w:p>
        </w:tc>
        <w:tc>
          <w:tcPr>
            <w:tcW w:w="10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60" w:type="dxa"/>
            <w:vAlign w:val="bottom"/>
            <w:shd w:val="clear" w:color="auto" w:fill="F0FFFF"/>
          </w:tcPr>
          <w:p>
            <w:pPr>
              <w:spacing w:after="0"/>
              <w:rPr>
                <w:sz w:val="12"/>
                <w:szCs w:val="12"/>
                <w:color w:val="auto"/>
              </w:rPr>
            </w:pPr>
          </w:p>
        </w:tc>
        <w:tc>
          <w:tcPr>
            <w:tcW w:w="29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flows, and recently executed financing</w:t>
            </w:r>
          </w:p>
        </w:tc>
        <w:tc>
          <w:tcPr>
            <w:tcW w:w="10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060" w:type="dxa"/>
            <w:vAlign w:val="bottom"/>
            <w:shd w:val="clear" w:color="auto" w:fill="F0FFFF"/>
          </w:tcPr>
          <w:p>
            <w:pPr>
              <w:spacing w:after="0"/>
              <w:rPr>
                <w:sz w:val="14"/>
                <w:szCs w:val="14"/>
                <w:color w:val="auto"/>
              </w:rPr>
            </w:pPr>
          </w:p>
        </w:tc>
        <w:tc>
          <w:tcPr>
            <w:tcW w:w="2940" w:type="dxa"/>
            <w:vAlign w:val="bottom"/>
            <w:gridSpan w:val="3"/>
            <w:shd w:val="clear" w:color="auto" w:fill="F0FFFF"/>
          </w:tcPr>
          <w:p>
            <w:pPr>
              <w:ind w:left="100"/>
              <w:spacing w:after="0"/>
              <w:rPr>
                <w:sz w:val="20"/>
                <w:szCs w:val="20"/>
                <w:color w:val="auto"/>
              </w:rPr>
            </w:pPr>
            <w:r>
              <w:rPr>
                <w:rFonts w:ascii="Arial" w:cs="Arial" w:eastAsia="Arial" w:hAnsi="Arial"/>
                <w:sz w:val="14"/>
                <w:szCs w:val="14"/>
                <w:color w:val="auto"/>
              </w:rPr>
              <w:t>transactions related to the company</w:t>
            </w:r>
          </w:p>
        </w:tc>
        <w:tc>
          <w:tcPr>
            <w:tcW w:w="10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Derivative assets -</w:t>
            </w: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shd w:val="clear" w:color="auto" w:fill="F0FFFF"/>
          </w:tcPr>
          <w:p>
            <w:pPr>
              <w:spacing w:after="0"/>
              <w:rPr>
                <w:sz w:val="20"/>
                <w:szCs w:val="20"/>
                <w:color w:val="auto"/>
              </w:rPr>
            </w:pPr>
            <w:r>
              <w:rPr>
                <w:rFonts w:ascii="Arial" w:cs="Arial" w:eastAsia="Arial" w:hAnsi="Arial"/>
                <w:sz w:val="14"/>
                <w:szCs w:val="14"/>
                <w:color w:val="auto"/>
              </w:rPr>
              <w:t>mortgage</w:t>
            </w:r>
          </w:p>
        </w:tc>
        <w:tc>
          <w:tcPr>
            <w:tcW w:w="12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188</w:t>
            </w:r>
          </w:p>
        </w:tc>
        <w:tc>
          <w:tcPr>
            <w:tcW w:w="60" w:type="dxa"/>
            <w:vAlign w:val="bottom"/>
            <w:shd w:val="clear" w:color="auto" w:fill="F0FFFF"/>
          </w:tcPr>
          <w:p>
            <w:pPr>
              <w:spacing w:after="0"/>
              <w:rPr>
                <w:sz w:val="14"/>
                <w:szCs w:val="14"/>
                <w:color w:val="auto"/>
              </w:rPr>
            </w:pPr>
          </w:p>
        </w:tc>
        <w:tc>
          <w:tcPr>
            <w:tcW w:w="2120" w:type="dxa"/>
            <w:vAlign w:val="bottom"/>
            <w:gridSpan w:val="2"/>
            <w:shd w:val="clear" w:color="auto" w:fill="F0FFFF"/>
          </w:tcPr>
          <w:p>
            <w:pPr>
              <w:ind w:left="60"/>
              <w:spacing w:after="0"/>
              <w:rPr>
                <w:sz w:val="20"/>
                <w:szCs w:val="20"/>
                <w:color w:val="auto"/>
              </w:rPr>
            </w:pPr>
            <w:r>
              <w:rPr>
                <w:rFonts w:ascii="Arial" w:cs="Arial" w:eastAsia="Arial" w:hAnsi="Arial"/>
                <w:sz w:val="14"/>
                <w:szCs w:val="14"/>
                <w:color w:val="auto"/>
              </w:rPr>
              <w:t>Internal model</w:t>
            </w:r>
          </w:p>
        </w:tc>
        <w:tc>
          <w:tcPr>
            <w:tcW w:w="2940" w:type="dxa"/>
            <w:vAlign w:val="bottom"/>
            <w:gridSpan w:val="3"/>
            <w:shd w:val="clear" w:color="auto" w:fill="F0FFFF"/>
          </w:tcPr>
          <w:p>
            <w:pPr>
              <w:ind w:left="100"/>
              <w:spacing w:after="0"/>
              <w:rPr>
                <w:sz w:val="20"/>
                <w:szCs w:val="20"/>
                <w:color w:val="auto"/>
              </w:rPr>
            </w:pPr>
            <w:r>
              <w:rPr>
                <w:rFonts w:ascii="Arial" w:cs="Arial" w:eastAsia="Arial" w:hAnsi="Arial"/>
                <w:sz w:val="14"/>
                <w:szCs w:val="14"/>
                <w:color w:val="auto"/>
              </w:rPr>
              <w:t>Pull through rate</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85%</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Derivative assets - other</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3,727</w:t>
            </w:r>
          </w:p>
        </w:tc>
        <w:tc>
          <w:tcPr>
            <w:tcW w:w="8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9,230</w:t>
            </w:r>
          </w:p>
        </w:tc>
        <w:tc>
          <w:tcPr>
            <w:tcW w:w="2120" w:type="dxa"/>
            <w:vAlign w:val="bottom"/>
            <w:gridSpan w:val="2"/>
            <w:shd w:val="clear" w:color="auto" w:fill="F0FFFF"/>
          </w:tcPr>
          <w:p>
            <w:pPr>
              <w:ind w:left="60"/>
              <w:spacing w:after="0" w:line="149" w:lineRule="exact"/>
              <w:rPr>
                <w:sz w:val="20"/>
                <w:szCs w:val="20"/>
                <w:color w:val="auto"/>
              </w:rPr>
            </w:pPr>
            <w:r>
              <w:rPr>
                <w:rFonts w:ascii="Arial" w:cs="Arial" w:eastAsia="Arial" w:hAnsi="Arial"/>
                <w:sz w:val="14"/>
                <w:szCs w:val="14"/>
                <w:color w:val="auto"/>
              </w:rPr>
              <w:t>Dealer priced</w:t>
            </w:r>
          </w:p>
        </w:tc>
        <w:tc>
          <w:tcPr>
            <w:tcW w:w="29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12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Derivative liabilities</w:t>
            </w:r>
          </w:p>
        </w:tc>
        <w:tc>
          <w:tcPr>
            <w:tcW w:w="1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10,151</w:t>
            </w:r>
          </w:p>
        </w:tc>
        <w:tc>
          <w:tcPr>
            <w:tcW w:w="8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15,794</w:t>
            </w:r>
          </w:p>
        </w:tc>
        <w:tc>
          <w:tcPr>
            <w:tcW w:w="2120" w:type="dxa"/>
            <w:vAlign w:val="bottom"/>
            <w:gridSpan w:val="2"/>
            <w:shd w:val="clear" w:color="auto" w:fill="F0FFFF"/>
          </w:tcPr>
          <w:p>
            <w:pPr>
              <w:ind w:left="60"/>
              <w:spacing w:after="0" w:line="149" w:lineRule="exact"/>
              <w:rPr>
                <w:sz w:val="20"/>
                <w:szCs w:val="20"/>
                <w:color w:val="auto"/>
              </w:rPr>
            </w:pPr>
            <w:r>
              <w:rPr>
                <w:rFonts w:ascii="Arial" w:cs="Arial" w:eastAsia="Arial" w:hAnsi="Arial"/>
                <w:sz w:val="14"/>
                <w:szCs w:val="14"/>
                <w:color w:val="auto"/>
              </w:rPr>
              <w:t>Dealer priced</w:t>
            </w:r>
          </w:p>
        </w:tc>
        <w:tc>
          <w:tcPr>
            <w:tcW w:w="2940" w:type="dxa"/>
            <w:vAlign w:val="bottom"/>
            <w:gridSpan w:val="3"/>
            <w:shd w:val="clear" w:color="auto" w:fill="F0FF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12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March 31, 2016 and December 31, 2015, for which a nonrecurring fair value adjustment was recorded during the year to 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March 31, 2016</w:t>
            </w:r>
          </w:p>
        </w:tc>
        <w:tc>
          <w:tcPr>
            <w:tcW w:w="46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F0FFFF"/>
          </w:tcPr>
          <w:p>
            <w:pPr>
              <w:ind w:left="140"/>
              <w:spacing w:after="0"/>
              <w:rPr>
                <w:sz w:val="20"/>
                <w:szCs w:val="20"/>
                <w:color w:val="auto"/>
              </w:rPr>
            </w:pPr>
            <w:r>
              <w:rPr>
                <w:rFonts w:ascii="Arial" w:cs="Arial" w:eastAsia="Arial" w:hAnsi="Arial"/>
                <w:sz w:val="18"/>
                <w:szCs w:val="18"/>
                <w:color w:val="auto"/>
              </w:rPr>
              <w:t>Loans</w:t>
            </w:r>
          </w:p>
        </w:tc>
        <w:tc>
          <w:tcPr>
            <w:tcW w:w="46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ind w:right="69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ind w:right="69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7,700</w:t>
            </w:r>
          </w:p>
        </w:tc>
        <w:tc>
          <w:tcPr>
            <w:tcW w:w="4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7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2015</w:t>
            </w:r>
          </w:p>
        </w:tc>
        <w:tc>
          <w:tcPr>
            <w:tcW w:w="46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Loans</w:t>
            </w:r>
          </w:p>
        </w:tc>
        <w:tc>
          <w:tcPr>
            <w:tcW w:w="132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97"/>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7,589</w:t>
            </w:r>
          </w:p>
        </w:tc>
        <w:tc>
          <w:tcPr>
            <w:tcW w:w="6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inherently subjective in nature. Changes in assumptions could significantly affect the estimates.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Carrying</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16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Fair Value Level</w:t>
            </w:r>
          </w:p>
        </w:tc>
        <w:tc>
          <w:tcPr>
            <w:tcW w:w="3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Level 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3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351,700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363,092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6,039,879</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5,953,405</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5,953,405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26,578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3,111</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3,180</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7,960,323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7,967,317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7,967,317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510,125</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510,148</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510,148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163,955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165,971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920" w:type="dxa"/>
            <w:vAlign w:val="bottom"/>
            <w:tcBorders>
              <w:bottom w:val="single" w:sz="8" w:color="F0FFFF"/>
            </w:tcBorders>
          </w:tcPr>
          <w:p>
            <w:pPr>
              <w:spacing w:after="0"/>
              <w:rPr>
                <w:sz w:val="19"/>
                <w:szCs w:val="19"/>
                <w:color w:val="auto"/>
              </w:rPr>
            </w:pPr>
          </w:p>
        </w:tc>
        <w:tc>
          <w:tcPr>
            <w:tcW w:w="320" w:type="dxa"/>
            <w:vAlign w:val="bottom"/>
            <w:tcBorders>
              <w:bottom w:val="single" w:sz="8" w:color="F0FFFF"/>
            </w:tcBorders>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88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160" w:type="dxa"/>
            <w:vAlign w:val="bottom"/>
            <w:tcBorders>
              <w:bottom w:val="single" w:sz="8" w:color="F0FFFF"/>
            </w:tcBorders>
          </w:tcPr>
          <w:p>
            <w:pPr>
              <w:spacing w:after="0"/>
              <w:rPr>
                <w:sz w:val="19"/>
                <w:szCs w:val="19"/>
                <w:color w:val="auto"/>
              </w:rPr>
            </w:pPr>
          </w:p>
        </w:tc>
        <w:tc>
          <w:tcPr>
            <w:tcW w:w="86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86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200" w:type="dxa"/>
            <w:vAlign w:val="bottom"/>
            <w:tcBorders>
              <w:bottom w:val="single" w:sz="8" w:color="F0FFFF"/>
            </w:tcBorders>
          </w:tcPr>
          <w:p>
            <w:pPr>
              <w:spacing w:after="0"/>
              <w:rPr>
                <w:sz w:val="19"/>
                <w:szCs w:val="19"/>
                <w:color w:val="auto"/>
              </w:rPr>
            </w:pPr>
          </w:p>
        </w:tc>
        <w:tc>
          <w:tcPr>
            <w:tcW w:w="82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364,696</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371,658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5,926,993</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5,840,554</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9"/>
              </w:rPr>
              <w:t>5,840,554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24,660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3,370</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3,521</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7,873,193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7,881,109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7,881,109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430,125</w:t>
            </w:r>
          </w:p>
        </w:tc>
        <w:tc>
          <w:tcPr>
            <w:tcW w:w="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430,119</w:t>
            </w:r>
          </w:p>
        </w:tc>
        <w:tc>
          <w:tcPr>
            <w:tcW w:w="3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430,119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163,836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166,668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38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6160" w:type="dxa"/>
            <w:vAlign w:val="bottom"/>
            <w:tcBorders>
              <w:bottom w:val="single" w:sz="8" w:color="F0FFFF"/>
            </w:tcBorders>
          </w:tcPr>
          <w:p>
            <w:pPr>
              <w:spacing w:after="0"/>
              <w:rPr>
                <w:sz w:val="20"/>
                <w:szCs w:val="20"/>
                <w:color w:val="auto"/>
              </w:rPr>
            </w:pPr>
          </w:p>
        </w:tc>
        <w:tc>
          <w:tcPr>
            <w:tcW w:w="132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F0FFFF"/>
            </w:tcBorders>
          </w:tcPr>
          <w:p>
            <w:pPr>
              <w:spacing w:after="0"/>
              <w:rPr>
                <w:sz w:val="20"/>
                <w:szCs w:val="20"/>
                <w:color w:val="auto"/>
              </w:rPr>
            </w:pPr>
          </w:p>
        </w:tc>
      </w:tr>
      <w:tr>
        <w:trPr>
          <w:trHeight w:val="216"/>
        </w:trPr>
        <w:tc>
          <w:tcPr>
            <w:tcW w:w="6160" w:type="dxa"/>
            <w:vAlign w:val="bottom"/>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616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1,290,962</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1,351,446</w:t>
            </w:r>
          </w:p>
        </w:tc>
        <w:tc>
          <w:tcPr>
            <w:tcW w:w="120" w:type="dxa"/>
            <w:vAlign w:val="bottom"/>
          </w:tcPr>
          <w:p>
            <w:pPr>
              <w:spacing w:after="0"/>
              <w:rPr>
                <w:sz w:val="18"/>
                <w:szCs w:val="18"/>
                <w:color w:val="auto"/>
              </w:rPr>
            </w:pPr>
          </w:p>
        </w:tc>
      </w:tr>
      <w:tr>
        <w:trPr>
          <w:trHeight w:val="216"/>
        </w:trPr>
        <w:tc>
          <w:tcPr>
            <w:tcW w:w="6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1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20,769</w:t>
            </w:r>
          </w:p>
        </w:tc>
        <w:tc>
          <w:tcPr>
            <w:tcW w:w="3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23,373</w:t>
            </w:r>
          </w:p>
        </w:tc>
        <w:tc>
          <w:tcPr>
            <w:tcW w:w="120" w:type="dxa"/>
            <w:vAlign w:val="bottom"/>
            <w:shd w:val="clear" w:color="auto" w:fill="F0FF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March 31, 2016, the Bank had invested $2.48 million in these limited partnerships and had committed to fund an additional $2.02 million related to future capital calls.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2016, United announced that it had reached a definitive merger agreement to acquire Tidelands Bancshares, Inc. (“Tidelands”) and its wholly-owned bank subsidiary Tidelands Bank. Tidelands is headquartered in Mt. Pleasant, South Carolina and, as of December 31, 2015, had total assets of $466 million, loans of $325 million and deposits of $421 million. Tidelands Bank, which currently operates seven branches in coastal South Carolina, will merge into and operate under the brand of United Community Bank, United’s wholly-owned bank subsidiary.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merger agreement, which has been unanimously approved by the Boards of Directors of both companies, Tidelands shareholders will receive cash equal to $0.52 per share or an aggregate of approximately $2.22 million. Additionally, United has entered into an agreement with the Treasury whereby it will redeem all of Tidelands’ fixed-rate cumulative preferred stock that was issued to the Treasury under the Treasury’s Capital Purchase Program, plus unpaid dividends, for $8.98 million in aggregate, which represents a 56% discount. The merger agreement also provides that, at the effective time of the merger, United will assume all of Tidelands’ obligations relating to its outstanding trust preferred securities. The assumption is conditioned on United’s payment of all amounts required to bring current the payment of interest (including deferred interest) on the trust preferred securities.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merger, which is subject to regulatory approval, the approval of the shareholders of Tidelands, and other customary conditions, is expected to close in the third quarter of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2016, United announced the sale of 7.30 million shares of United's largest shareholder, Corsair Capital LLC ("Corsair"), to J.P. Morgan Securities LLC as the sole underwriter in the registered public offering of those shares. Corsair received all of the net proceeds from the offering and no longer holds any shares of United's common stock. In conjunction with the sale and subsequent to March 31, 2016, 4.03 million of these shares were transferred from non-voting shares to voting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2015 as well as the following factors:</w:t>
      </w:r>
    </w:p>
    <w:p>
      <w:pPr>
        <w:spacing w:after="0" w:line="1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and information contained herein have not been reviewed, or confirmed for accuracy or relevance, by the Federal Deposit Insurance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March 31, 2016, United had total consolidated assets of $9.78 billion, total loans of $6.11 billion, total deposits of $7.96 billion, and shareholders’ equity of $1.03 billion.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March 31, 2016, operated at 135 locations throughout the Atlanta-Sandy Springs-Roswell, Georgia, and Gainesville, Georgia metropolitan statistical areas, upstate South Carolina, north and coastal Georgia, western North Carolina, and east Tennessee. Also, United has commercial loan offices in Charlotte, North Carolina and Charleston, South Carolina.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United completed the acquisition of Palmetto Bancshares, Inc. (“Palmetto”) and its wholly-owned bank subsidiary, The Palmetto Bank. On May 1, 2015, United completed the acquisition of MoneyTree Corporation (“MoneyTree”) and its wholly-owned bank subsidiary, First National Bank (“FNB”). The acquired entities’ results are included in United’s consolidated results beginning on the respective acquisition dates. Also included in management’s discussion and analysis are certain non-GAAP (accounting principles generally accepted in the United States of America (“GAAP”)) performance measures.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pages 41 and 42.</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net income of $22.3 million, or $.31 per diluted share, for the first quarter of 2016. This compared to net income of $17.7 million, or $.29 per diluted share, for the first quarter of 2015. The increase in earnings per share resulted from an increase net interest revenue and fee revenue, partially offset by an increase in operating expenses.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Taxable equivalent net interest revenue increased to $75.2 million for the first quarter of 2016, compared to $57.6 million for the same period of 2015, primarily due to higher loan volume and a decrease in the cost of funds. Net interest margin increased to 3.41% for the three months ended March 31, 2016 from 3.31% for the same period in 2015 for the same reasons.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release of provision for credit losses was $200,000 for the first quarter of 2016, compared to provision expense of $1.80 million for the same period in 2015. Net charge-offs for the first quarter of 2016 were $2.14 million, compared to $2.56 million for the first quarter of 2015. Recoveries of previously charged-off amounts remained at elevated levels, with first quarter 2016 being the fourth consecutive quarter of recoveries greater than $1 million.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United’s allowance for loan losses was $66.3 million, or 1.09% of loans, compared to $68.4 million, or 1.14% of loans, at December 31, 2015. Nonperforming assets of $27.6 million were .28% of total assets at March 31, 2016, down from .29% at December 31, 2015. During the first quarter of 2016, $4.77 million in loans were placed on nonaccrual compared with $5.94 million in the first quarter of 2015.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 revenue of $18.6 million for the first quarter of 2016 was up $2.92 million, or 19%, from the first quarter of 2015. Service charges and fees in the first quarter of 2016 were $10.1 million compared to $7.62 million in the first quarter of 2015 primarily due to increased deposit balances and related fees. Mortgage fees of $3.29 million for the first quarter of 2016 increased from $2.76 million in the first quarter of 2015. The increase was due to United’s emphasis on growing its mortgage business by recruiting lenders in metropolitan markets and continued strong refinancing activity.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first quarter of 2016, operating expenses of $57.9 million were up $14.8 million from the first quarter of 2015, partially due to the addition of Palmetto and MoneyTree operating expenses since acquisition. Salaries and benefits expense increased $6.62 million from a year ago mostly due to the acquisitions of Palmetto and MoneyTree and investment in additional staff and new teams to expand the specialized lending area as well as higher incentive compensation in connection with increased lending activities and improvement in earnings performance. In addition, merger-related charges of $2.65 million were incurred in first quarter 2016.</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2016, United announced that it had reached a definitive merger agreement to acquire Tidelands Bancshares, Inc. (“Tidelands”) and its wholly-owned bank subsidiary Tidelands Bank. Tidelands is headquartered in Mt. Pleasant, South Carolina and, as of December 31, 2015, had total assets of $466 million, loans of $325 million and deposits of $421 million. Tidelands Bank, which currently operates seven branches in coastal South Carolina, will merge into and operate under the Bank’s brand.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merger agreement, which has been unanimously approved by the Boards of Directors of both companies, Tidelands shareholders will receive cash equal to $0.52 per share or an aggregate of approximately $2.22 million. Additionally, United has entered into an agreement with the United States Department of Treasury (“Treasury”) whereby it will redeem all of Tidelands’ fixed-rate cumulative preferred stock that was issued to the Treasury under the Treasury’s Capital Purchase Program, plus unpaid dividends, for $8.98 million in aggregate, which represents a 56% discount. The merger agreement also provides that, at the effective time of the merger, United will assume all of Tidelands’ obligations relating to its outstanding trust preferred securities. The assumption is conditioned on United’s payment of all amounts required to bring current the payment of interest (including deferred interest) on the trust preferred securities.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merger, which is subject to regulatory approval, the approval of the shareholders of Tidelands, and other customary conditions, is expected to close in the third quarter of 2016.</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2016, United announced the sale of 7.30 million shares of United’s largest shareholder, Corsair Capital LLC (“Corsair”), to J.P. Morgan Securities LLC as the sole underwriter in the registered public offering of those shares. Corsair received all of the net proceeds from the offering and no longer holds any shares of United’s common stock. In conjunction with the sale and subsequent to March 31, 2016, 4.03 million of these shares were transferred from non-voting shares to voting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United’s operations and performance over periods of time, as well as in managing and evaluating United’s business and in discussions about United’s operations and performance. Management believes these non-GAAP financial measures provide users of United’s financial information with a meaningful measure for assessing United’s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the table on pages 41 and 42.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$22.3 million for the first quarter of 2016. This compared to net income of $17.7 million for the same period in 2015. For the first quarter of 2016, diluted earnings per common share were $.31 compared to $.29 for the first quarter of 2015.</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United reported net operating income of $23.9 million for the first quarter of 2016, compared to $17.7 million for the same period in 2015. Operating earnings exclude the effects of merger-related charges, which, net of tax, totaled $1.65 million for the three months ended March 31,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vMerge w:val="restart"/>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6"/>
                <w:szCs w:val="16"/>
                <w:b w:val="1"/>
                <w:bCs w:val="1"/>
                <w:color w:val="auto"/>
                <w:w w:val="89"/>
              </w:rPr>
              <w:t>2016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198"/>
        </w:trPr>
        <w:tc>
          <w:tcPr>
            <w:tcW w:w="4660" w:type="dxa"/>
            <w:vAlign w:val="bottom"/>
            <w:gridSpan w:val="4"/>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60" w:type="dxa"/>
            <w:vAlign w:val="bottom"/>
          </w:tcPr>
          <w:p>
            <w:pPr>
              <w:spacing w:after="0"/>
              <w:rPr>
                <w:sz w:val="17"/>
                <w:szCs w:val="17"/>
                <w:color w:val="auto"/>
              </w:rPr>
            </w:pPr>
          </w:p>
        </w:tc>
        <w:tc>
          <w:tcPr>
            <w:tcW w:w="64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4"/>
              </w:rPr>
              <w:t>Fourth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82"/>
              </w:rPr>
              <w:t>Second</w:t>
            </w:r>
          </w:p>
        </w:tc>
        <w:tc>
          <w:tcPr>
            <w:tcW w:w="100" w:type="dxa"/>
            <w:vAlign w:val="bottom"/>
          </w:tcPr>
          <w:p>
            <w:pPr>
              <w:spacing w:after="0"/>
              <w:rPr>
                <w:sz w:val="17"/>
                <w:szCs w:val="17"/>
                <w:color w:val="auto"/>
              </w:rPr>
            </w:pPr>
          </w:p>
        </w:tc>
        <w:tc>
          <w:tcPr>
            <w:tcW w:w="68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First</w:t>
            </w:r>
          </w:p>
        </w:tc>
        <w:tc>
          <w:tcPr>
            <w:tcW w:w="3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8"/>
              </w:rPr>
              <w:t>2016-2015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60" w:type="dxa"/>
            <w:vAlign w:val="bottom"/>
            <w:gridSpan w:val="4"/>
          </w:tcPr>
          <w:p>
            <w:pPr>
              <w:spacing w:after="0"/>
              <w:rPr>
                <w:sz w:val="20"/>
                <w:szCs w:val="20"/>
                <w:color w:val="auto"/>
              </w:rPr>
            </w:pPr>
            <w:r>
              <w:rPr>
                <w:rFonts w:ascii="Arial" w:cs="Arial" w:eastAsia="Arial" w:hAnsi="Arial"/>
                <w:sz w:val="18"/>
                <w:szCs w:val="18"/>
                <w:i w:val="1"/>
                <w:iCs w:val="1"/>
                <w:color w:val="auto"/>
              </w:rPr>
              <w:t>data; fully taxable equivalent)</w:t>
            </w:r>
          </w:p>
        </w:tc>
        <w:tc>
          <w:tcPr>
            <w:tcW w:w="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0"/>
                <w:szCs w:val="20"/>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8"/>
                <w:szCs w:val="18"/>
                <w:b w:val="1"/>
                <w:bCs w:val="1"/>
                <w:color w:val="auto"/>
              </w:rPr>
              <w:t>INCOME SUMMARY</w:t>
            </w: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Interest revenue (FTE)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80,991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79,646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71,120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66,134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62,909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5,769</w:t>
            </w: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5,598</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5,292</w:t>
            </w:r>
          </w:p>
        </w:tc>
        <w:tc>
          <w:tcPr>
            <w:tcW w:w="7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Borders>
              <w:top w:val="single" w:sz="8" w:color="F0FFFF"/>
            </w:tcBorders>
            <w:gridSpan w:val="3"/>
          </w:tcPr>
          <w:p>
            <w:pPr>
              <w:ind w:left="160"/>
              <w:spacing w:after="0" w:line="203" w:lineRule="exact"/>
              <w:rPr>
                <w:sz w:val="20"/>
                <w:szCs w:val="20"/>
                <w:color w:val="auto"/>
              </w:rPr>
            </w:pPr>
            <w:r>
              <w:rPr>
                <w:rFonts w:ascii="Arial" w:cs="Arial" w:eastAsia="Arial" w:hAnsi="Arial"/>
                <w:sz w:val="18"/>
                <w:szCs w:val="18"/>
                <w:color w:val="auto"/>
              </w:rPr>
              <w:t>Net interest revenue (FTE)</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75,222</w:t>
            </w:r>
          </w:p>
        </w:tc>
        <w:tc>
          <w:tcPr>
            <w:tcW w:w="16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74,048</w:t>
            </w:r>
          </w:p>
        </w:tc>
        <w:tc>
          <w:tcPr>
            <w:tcW w:w="26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65,718</w:t>
            </w:r>
          </w:p>
        </w:tc>
        <w:tc>
          <w:tcPr>
            <w:tcW w:w="26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61,317</w:t>
            </w:r>
          </w:p>
        </w:tc>
        <w:tc>
          <w:tcPr>
            <w:tcW w:w="38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57,617</w:t>
            </w:r>
          </w:p>
        </w:tc>
        <w:tc>
          <w:tcPr>
            <w:tcW w:w="380" w:type="dxa"/>
            <w:vAlign w:val="bottom"/>
            <w:tcBorders>
              <w:top w:val="single" w:sz="8" w:color="F0FFFF"/>
            </w:tcBorders>
          </w:tcPr>
          <w:p>
            <w:pPr>
              <w:spacing w:after="0"/>
              <w:rPr>
                <w:sz w:val="17"/>
                <w:szCs w:val="17"/>
                <w:color w:val="auto"/>
              </w:rPr>
            </w:pPr>
          </w:p>
        </w:tc>
        <w:tc>
          <w:tcPr>
            <w:tcW w:w="940" w:type="dxa"/>
            <w:vAlign w:val="bottom"/>
            <w:tcBorders>
              <w:top w:val="single" w:sz="8" w:color="F0FF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1,800</w:t>
            </w: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9"/>
              </w:rPr>
              <w:t>Fee revenue</w:t>
            </w: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18,606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21,284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17,266</w:t>
            </w: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15,682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b w:val="1"/>
                <w:bCs w:val="1"/>
                <w:color w:val="auto"/>
              </w:rPr>
              <w:t>Total revenue (FTE)</w:t>
            </w: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94,028</w:t>
            </w:r>
          </w:p>
        </w:tc>
        <w:tc>
          <w:tcPr>
            <w:tcW w:w="1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95,032</w:t>
            </w: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83,315</w:t>
            </w: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77,683</w:t>
            </w:r>
          </w:p>
        </w:tc>
        <w:tc>
          <w:tcPr>
            <w:tcW w:w="3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71,499</w:t>
            </w:r>
          </w:p>
        </w:tc>
        <w:tc>
          <w:tcPr>
            <w:tcW w:w="380" w:type="dxa"/>
            <w:vAlign w:val="bottom"/>
            <w:tcBorders>
              <w:top w:val="single" w:sz="8" w:color="F0FFFF"/>
            </w:tcBorders>
            <w:shd w:val="clear" w:color="auto" w:fill="F0FFFF"/>
          </w:tcPr>
          <w:p>
            <w:pPr>
              <w:spacing w:after="0"/>
              <w:rPr>
                <w:sz w:val="18"/>
                <w:szCs w:val="18"/>
                <w:color w:val="auto"/>
              </w:rPr>
            </w:pPr>
          </w:p>
        </w:tc>
        <w:tc>
          <w:tcPr>
            <w:tcW w:w="940" w:type="dxa"/>
            <w:vAlign w:val="bottom"/>
            <w:tcBorders>
              <w:top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F0FFFF"/>
            </w:tcBorders>
            <w:gridSpan w:val="3"/>
          </w:tcPr>
          <w:p>
            <w:pPr>
              <w:spacing w:after="0" w:line="243" w:lineRule="exact"/>
              <w:rPr>
                <w:sz w:val="20"/>
                <w:szCs w:val="20"/>
                <w:color w:val="auto"/>
              </w:rPr>
            </w:pPr>
            <w:r>
              <w:rPr>
                <w:rFonts w:ascii="Arial" w:cs="Arial" w:eastAsia="Arial" w:hAnsi="Arial"/>
                <w:sz w:val="17"/>
                <w:szCs w:val="17"/>
                <w:color w:val="auto"/>
              </w:rPr>
              <w:t xml:space="preserve">Expenses - operating </w:t>
            </w:r>
            <w:r>
              <w:rPr>
                <w:rFonts w:ascii="Arial" w:cs="Arial" w:eastAsia="Arial" w:hAnsi="Arial"/>
                <w:sz w:val="28"/>
                <w:szCs w:val="28"/>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55,232</w:t>
            </w:r>
          </w:p>
        </w:tc>
        <w:tc>
          <w:tcPr>
            <w:tcW w:w="160" w:type="dxa"/>
            <w:vAlign w:val="bottom"/>
            <w:tcBorders>
              <w:bottom w:val="single" w:sz="8" w:color="F0FFFF"/>
            </w:tcBorders>
          </w:tcPr>
          <w:p>
            <w:pPr>
              <w:spacing w:after="0"/>
              <w:rPr>
                <w:sz w:val="21"/>
                <w:szCs w:val="21"/>
                <w:color w:val="auto"/>
              </w:rPr>
            </w:pPr>
          </w:p>
        </w:tc>
        <w:tc>
          <w:tcPr>
            <w:tcW w:w="20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56,410</w:t>
            </w:r>
          </w:p>
        </w:tc>
        <w:tc>
          <w:tcPr>
            <w:tcW w:w="2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48,525</w:t>
            </w:r>
          </w:p>
        </w:tc>
        <w:tc>
          <w:tcPr>
            <w:tcW w:w="2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45,247</w:t>
            </w:r>
          </w:p>
        </w:tc>
        <w:tc>
          <w:tcPr>
            <w:tcW w:w="38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43,061</w:t>
            </w:r>
          </w:p>
        </w:tc>
        <w:tc>
          <w:tcPr>
            <w:tcW w:w="380" w:type="dxa"/>
            <w:vAlign w:val="bottom"/>
            <w:tcBorders>
              <w:bottom w:val="single" w:sz="8" w:color="F0FFFF"/>
            </w:tcBorders>
          </w:tcPr>
          <w:p>
            <w:pPr>
              <w:spacing w:after="0"/>
              <w:rPr>
                <w:sz w:val="21"/>
                <w:szCs w:val="21"/>
                <w:color w:val="auto"/>
              </w:rPr>
            </w:pPr>
          </w:p>
        </w:tc>
        <w:tc>
          <w:tcPr>
            <w:tcW w:w="940" w:type="dxa"/>
            <w:vAlign w:val="bottom"/>
            <w:tcBorders>
              <w:bottom w:val="single" w:sz="8" w:color="F0FFFF"/>
            </w:tcBorders>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shd w:val="clear" w:color="auto" w:fill="F0FFFF"/>
          </w:tcPr>
          <w:p>
            <w:pPr>
              <w:ind w:left="140"/>
              <w:spacing w:after="0" w:line="243" w:lineRule="exact"/>
              <w:rPr>
                <w:sz w:val="20"/>
                <w:szCs w:val="20"/>
                <w:color w:val="auto"/>
              </w:rPr>
            </w:pPr>
            <w:r>
              <w:rPr>
                <w:rFonts w:ascii="Arial" w:cs="Arial" w:eastAsia="Arial" w:hAnsi="Arial"/>
                <w:sz w:val="17"/>
                <w:szCs w:val="17"/>
                <w:color w:val="auto"/>
              </w:rPr>
              <w:t xml:space="preserve">Income before income tax expense - (FTE) operating </w:t>
            </w:r>
            <w:r>
              <w:rPr>
                <w:rFonts w:ascii="Arial" w:cs="Arial" w:eastAsia="Arial" w:hAnsi="Arial"/>
                <w:sz w:val="28"/>
                <w:szCs w:val="28"/>
                <w:color w:val="auto"/>
                <w:vertAlign w:val="superscript"/>
              </w:rPr>
              <w:t>(1)</w:t>
            </w:r>
          </w:p>
        </w:tc>
        <w:tc>
          <w:tcPr>
            <w:tcW w:w="16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38,796</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38,622</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34,790</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32,436</w:t>
            </w: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28,438</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F0FFFF"/>
            </w:tcBorders>
            <w:gridSpan w:val="3"/>
          </w:tcPr>
          <w:p>
            <w:pPr>
              <w:spacing w:after="0" w:line="243" w:lineRule="exact"/>
              <w:rPr>
                <w:sz w:val="20"/>
                <w:szCs w:val="20"/>
                <w:color w:val="auto"/>
              </w:rPr>
            </w:pPr>
            <w:r>
              <w:rPr>
                <w:rFonts w:ascii="Arial" w:cs="Arial" w:eastAsia="Arial" w:hAnsi="Arial"/>
                <w:sz w:val="17"/>
                <w:szCs w:val="17"/>
                <w:color w:val="auto"/>
              </w:rPr>
              <w:t xml:space="preserve">Income tax expense - (FTE) operating </w:t>
            </w:r>
            <w:r>
              <w:rPr>
                <w:rFonts w:ascii="Arial" w:cs="Arial" w:eastAsia="Arial" w:hAnsi="Arial"/>
                <w:sz w:val="28"/>
                <w:szCs w:val="28"/>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160" w:type="dxa"/>
            <w:vAlign w:val="bottom"/>
            <w:tcBorders>
              <w:bottom w:val="single" w:sz="8" w:color="F0FFFF"/>
            </w:tcBorders>
          </w:tcPr>
          <w:p>
            <w:pPr>
              <w:spacing w:after="0"/>
              <w:rPr>
                <w:sz w:val="21"/>
                <w:szCs w:val="21"/>
                <w:color w:val="auto"/>
              </w:rPr>
            </w:pPr>
          </w:p>
        </w:tc>
        <w:tc>
          <w:tcPr>
            <w:tcW w:w="20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w:t>
            </w:r>
          </w:p>
        </w:tc>
        <w:tc>
          <w:tcPr>
            <w:tcW w:w="2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c>
          <w:tcPr>
            <w:tcW w:w="2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12,447</w:t>
            </w:r>
          </w:p>
        </w:tc>
        <w:tc>
          <w:tcPr>
            <w:tcW w:w="3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380" w:type="dxa"/>
            <w:vAlign w:val="bottom"/>
            <w:tcBorders>
              <w:bottom w:val="single" w:sz="8" w:color="F0FFFF"/>
            </w:tcBorders>
          </w:tcPr>
          <w:p>
            <w:pPr>
              <w:spacing w:after="0"/>
              <w:rPr>
                <w:sz w:val="21"/>
                <w:szCs w:val="21"/>
                <w:color w:val="auto"/>
              </w:rPr>
            </w:pPr>
          </w:p>
        </w:tc>
        <w:tc>
          <w:tcPr>
            <w:tcW w:w="940" w:type="dxa"/>
            <w:vAlign w:val="bottom"/>
            <w:tcBorders>
              <w:bottom w:val="single" w:sz="8" w:color="F0FFFF"/>
            </w:tcBorders>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shd w:val="clear" w:color="auto" w:fill="F0FFFF"/>
          </w:tcPr>
          <w:p>
            <w:pPr>
              <w:ind w:left="140"/>
              <w:spacing w:after="0" w:line="243" w:lineRule="exact"/>
              <w:rPr>
                <w:sz w:val="20"/>
                <w:szCs w:val="20"/>
                <w:color w:val="auto"/>
              </w:rPr>
            </w:pPr>
            <w:r>
              <w:rPr>
                <w:rFonts w:ascii="Arial" w:cs="Arial" w:eastAsia="Arial" w:hAnsi="Arial"/>
                <w:sz w:val="17"/>
                <w:szCs w:val="17"/>
                <w:b w:val="1"/>
                <w:bCs w:val="1"/>
                <w:color w:val="auto"/>
              </w:rPr>
              <w:t xml:space="preserve">Net income - operating </w:t>
            </w:r>
            <w:r>
              <w:rPr>
                <w:rFonts w:ascii="Arial" w:cs="Arial" w:eastAsia="Arial" w:hAnsi="Arial"/>
                <w:sz w:val="28"/>
                <w:szCs w:val="28"/>
                <w:color w:val="auto"/>
                <w:vertAlign w:val="superscript"/>
              </w:rPr>
              <w:t>(1)</w:t>
            </w:r>
          </w:p>
        </w:tc>
        <w:tc>
          <w:tcPr>
            <w:tcW w:w="16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23,944</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23,800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21,726</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19,989</w:t>
            </w: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17,670</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Preferred dividends and discount accretion</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F0FFFF"/>
            </w:tcBorders>
            <w:shd w:val="clear" w:color="auto" w:fill="F0FFFF"/>
          </w:tcPr>
          <w:p>
            <w:pPr>
              <w:spacing w:after="0"/>
              <w:rPr>
                <w:sz w:val="18"/>
                <w:szCs w:val="18"/>
                <w:color w:val="auto"/>
              </w:rPr>
            </w:pPr>
          </w:p>
        </w:tc>
        <w:tc>
          <w:tcPr>
            <w:tcW w:w="35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40" w:type="dxa"/>
            <w:vAlign w:val="bottom"/>
            <w:gridSpan w:val="3"/>
          </w:tcPr>
          <w:p>
            <w:pPr>
              <w:spacing w:after="0" w:line="206" w:lineRule="exact"/>
              <w:rPr>
                <w:sz w:val="20"/>
                <w:szCs w:val="20"/>
                <w:color w:val="auto"/>
              </w:rPr>
            </w:pPr>
            <w:r>
              <w:rPr>
                <w:rFonts w:ascii="Arial" w:cs="Arial" w:eastAsia="Arial" w:hAnsi="Arial"/>
                <w:sz w:val="18"/>
                <w:szCs w:val="18"/>
                <w:b w:val="1"/>
                <w:bCs w:val="1"/>
                <w:color w:val="auto"/>
              </w:rPr>
              <w:t>Net income available to common shareholders -</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w w:val="92"/>
              </w:rPr>
              <w:t>operating</w:t>
            </w:r>
          </w:p>
        </w:tc>
        <w:tc>
          <w:tcPr>
            <w:tcW w:w="3520" w:type="dxa"/>
            <w:vAlign w:val="bottom"/>
          </w:tcPr>
          <w:p>
            <w:pPr>
              <w:jc w:val="right"/>
              <w:ind w:right="3225"/>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23,923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23,775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21,701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23"/>
                <w:szCs w:val="2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17,670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w w:val="97"/>
              </w:rPr>
              <w:t>Merger-related and other charges, net of income tax benefit</w:t>
            </w:r>
          </w:p>
        </w:tc>
        <w:tc>
          <w:tcPr>
            <w:tcW w:w="160" w:type="dxa"/>
            <w:vAlign w:val="bottom"/>
            <w:tcBorders>
              <w:bottom w:val="single" w:sz="8" w:color="auto"/>
            </w:tcBorders>
            <w:shd w:val="clear" w:color="auto" w:fill="F0FFFF"/>
          </w:tcPr>
          <w:p>
            <w:pPr>
              <w:spacing w:after="0"/>
              <w:rPr>
                <w:sz w:val="20"/>
                <w:szCs w:val="20"/>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5,592</w:t>
            </w:r>
          </w:p>
        </w:tc>
        <w:tc>
          <w:tcPr>
            <w:tcW w:w="2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6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3,839</w:t>
            </w:r>
          </w:p>
        </w:tc>
        <w:tc>
          <w:tcPr>
            <w:tcW w:w="2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2,176</w:t>
            </w:r>
          </w:p>
        </w:tc>
        <w:tc>
          <w:tcPr>
            <w:tcW w:w="3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60" w:type="dxa"/>
            <w:vAlign w:val="bottom"/>
            <w:gridSpan w:val="4"/>
          </w:tcPr>
          <w:p>
            <w:pPr>
              <w:spacing w:after="0" w:line="203" w:lineRule="exact"/>
              <w:rPr>
                <w:sz w:val="20"/>
                <w:szCs w:val="20"/>
                <w:color w:val="auto"/>
              </w:rPr>
            </w:pPr>
            <w:r>
              <w:rPr>
                <w:rFonts w:ascii="Arial" w:cs="Arial" w:eastAsia="Arial" w:hAnsi="Arial"/>
                <w:sz w:val="18"/>
                <w:szCs w:val="18"/>
                <w:b w:val="1"/>
                <w:bCs w:val="1"/>
                <w:color w:val="auto"/>
                <w:w w:val="99"/>
              </w:rPr>
              <w:t>Net income available to common shareholders - GAAP</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17,862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17,796</w:t>
            </w:r>
          </w:p>
        </w:tc>
        <w:tc>
          <w:tcPr>
            <w:tcW w:w="3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17,670</w:t>
            </w:r>
          </w:p>
        </w:tc>
        <w:tc>
          <w:tcPr>
            <w:tcW w:w="380" w:type="dxa"/>
            <w:vAlign w:val="bottom"/>
          </w:tcPr>
          <w:p>
            <w:pPr>
              <w:spacing w:after="0"/>
              <w:rPr>
                <w:sz w:val="17"/>
                <w:szCs w:val="17"/>
                <w:color w:val="auto"/>
              </w:rPr>
            </w:pPr>
          </w:p>
        </w:tc>
        <w:tc>
          <w:tcPr>
            <w:tcW w:w="9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F0FFFF"/>
            </w:tcBorders>
          </w:tcPr>
          <w:p>
            <w:pPr>
              <w:spacing w:after="0" w:line="20" w:lineRule="exact"/>
              <w:rPr>
                <w:sz w:val="1"/>
                <w:szCs w:val="1"/>
                <w:color w:val="auto"/>
              </w:rPr>
            </w:pPr>
          </w:p>
        </w:tc>
        <w:tc>
          <w:tcPr>
            <w:tcW w:w="35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5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PERFORMANCE MEASURES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Per common share:</w:t>
            </w: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300"/>
              <w:spacing w:after="0" w:line="256" w:lineRule="exact"/>
              <w:rPr>
                <w:sz w:val="20"/>
                <w:szCs w:val="20"/>
                <w:color w:val="auto"/>
              </w:rPr>
            </w:pPr>
            <w:r>
              <w:rPr>
                <w:rFonts w:ascii="Arial" w:cs="Arial" w:eastAsia="Arial" w:hAnsi="Arial"/>
                <w:sz w:val="18"/>
                <w:szCs w:val="18"/>
                <w:color w:val="auto"/>
              </w:rPr>
              <w:t xml:space="preserve">Diluted income - operating </w:t>
            </w:r>
            <w:r>
              <w:rPr>
                <w:rFonts w:ascii="Arial" w:cs="Arial" w:eastAsia="Arial" w:hAnsi="Arial"/>
                <w:sz w:val="29"/>
                <w:szCs w:val="29"/>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Diluted income - GAAP</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Cash dividends declared</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Book value</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14.35</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12.58</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300"/>
              <w:spacing w:after="0" w:line="25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12.53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gridSpan w:val="2"/>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Key performance ratios: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shd w:val="clear" w:color="auto" w:fill="F0FFFF"/>
          </w:tcPr>
          <w:p>
            <w:pPr>
              <w:ind w:left="140"/>
              <w:spacing w:after="0" w:line="256" w:lineRule="exact"/>
              <w:rPr>
                <w:sz w:val="20"/>
                <w:szCs w:val="20"/>
                <w:color w:val="auto"/>
              </w:rPr>
            </w:pPr>
            <w:r>
              <w:rPr>
                <w:rFonts w:ascii="Arial" w:cs="Arial" w:eastAsia="Arial" w:hAnsi="Arial"/>
                <w:sz w:val="18"/>
                <w:szCs w:val="18"/>
                <w:color w:val="auto"/>
                <w:w w:val="96"/>
              </w:rPr>
              <w:t xml:space="preserve">Return on tangible common equity - operating </w:t>
            </w:r>
            <w:r>
              <w:rPr>
                <w:rFonts w:ascii="Arial" w:cs="Arial" w:eastAsia="Arial" w:hAnsi="Arial"/>
                <w:sz w:val="29"/>
                <w:szCs w:val="29"/>
                <w:color w:val="auto"/>
                <w:w w:val="96"/>
                <w:vertAlign w:val="superscript"/>
              </w:rPr>
              <w:t>(1)(2)(3)(4)</w:t>
            </w:r>
          </w:p>
        </w:tc>
        <w:tc>
          <w:tcPr>
            <w:tcW w:w="16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10.91%</w:t>
            </w:r>
          </w:p>
        </w:tc>
        <w:tc>
          <w:tcPr>
            <w:tcW w:w="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9.46%</w:t>
            </w:r>
          </w:p>
        </w:tc>
        <w:tc>
          <w:tcPr>
            <w:tcW w:w="7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Return on common equity - operating </w:t>
            </w:r>
            <w:r>
              <w:rPr>
                <w:rFonts w:ascii="Arial" w:cs="Arial" w:eastAsia="Arial" w:hAnsi="Arial"/>
                <w:sz w:val="29"/>
                <w:szCs w:val="29"/>
                <w:color w:val="auto"/>
                <w:vertAlign w:val="superscript"/>
              </w:rPr>
              <w:t>(1)(2)(4)</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9.34</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shd w:val="clear" w:color="auto" w:fill="F0FFFF"/>
          </w:tcPr>
          <w:p>
            <w:pPr>
              <w:ind w:left="140"/>
              <w:spacing w:after="0" w:line="256" w:lineRule="exact"/>
              <w:rPr>
                <w:sz w:val="20"/>
                <w:szCs w:val="20"/>
                <w:color w:val="auto"/>
              </w:rPr>
            </w:pPr>
            <w:r>
              <w:rPr>
                <w:rFonts w:ascii="Arial" w:cs="Arial" w:eastAsia="Arial" w:hAnsi="Arial"/>
                <w:sz w:val="18"/>
                <w:szCs w:val="18"/>
                <w:color w:val="auto"/>
              </w:rPr>
              <w:t xml:space="preserve">Return on common equity - GAAP </w:t>
            </w:r>
            <w:r>
              <w:rPr>
                <w:rFonts w:ascii="Arial" w:cs="Arial" w:eastAsia="Arial" w:hAnsi="Arial"/>
                <w:sz w:val="29"/>
                <w:szCs w:val="29"/>
                <w:color w:val="auto"/>
                <w:vertAlign w:val="superscript"/>
              </w:rPr>
              <w:t>(2)(4)</w:t>
            </w:r>
          </w:p>
        </w:tc>
        <w:tc>
          <w:tcPr>
            <w:tcW w:w="16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9.34</w:t>
            </w:r>
          </w:p>
        </w:tc>
        <w:tc>
          <w:tcPr>
            <w:tcW w:w="7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Return on assets - operating </w:t>
            </w:r>
            <w:r>
              <w:rPr>
                <w:rFonts w:ascii="Arial" w:cs="Arial" w:eastAsia="Arial" w:hAnsi="Arial"/>
                <w:sz w:val="29"/>
                <w:szCs w:val="29"/>
                <w:color w:val="auto"/>
                <w:vertAlign w:val="superscript"/>
              </w:rPr>
              <w:t>(1)(4)</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shd w:val="clear" w:color="auto" w:fill="F0FFFF"/>
          </w:tcPr>
          <w:p>
            <w:pPr>
              <w:ind w:left="140"/>
              <w:spacing w:after="0" w:line="256" w:lineRule="exact"/>
              <w:rPr>
                <w:sz w:val="20"/>
                <w:szCs w:val="20"/>
                <w:color w:val="auto"/>
              </w:rPr>
            </w:pPr>
            <w:r>
              <w:rPr>
                <w:rFonts w:ascii="Arial" w:cs="Arial" w:eastAsia="Arial" w:hAnsi="Arial"/>
                <w:sz w:val="18"/>
                <w:szCs w:val="18"/>
                <w:color w:val="auto"/>
              </w:rPr>
              <w:t xml:space="preserve">Return on assets - GAAP </w:t>
            </w:r>
            <w:r>
              <w:rPr>
                <w:rFonts w:ascii="Arial" w:cs="Arial" w:eastAsia="Arial" w:hAnsi="Arial"/>
                <w:sz w:val="29"/>
                <w:szCs w:val="29"/>
                <w:color w:val="auto"/>
                <w:vertAlign w:val="superscript"/>
              </w:rPr>
              <w:t>(4)</w:t>
            </w:r>
          </w:p>
        </w:tc>
        <w:tc>
          <w:tcPr>
            <w:tcW w:w="16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.93</w:t>
            </w:r>
          </w:p>
        </w:tc>
        <w:tc>
          <w:tcPr>
            <w:tcW w:w="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.94</w:t>
            </w:r>
          </w:p>
        </w:tc>
        <w:tc>
          <w:tcPr>
            <w:tcW w:w="7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Dividend payout ratio - operating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21.21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17.24</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Dividend payout ratio - GAAP</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22.58</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17.24</w:t>
            </w: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Net interest margin (FTE) </w:t>
            </w:r>
            <w:r>
              <w:rPr>
                <w:rFonts w:ascii="Arial" w:cs="Arial" w:eastAsia="Arial" w:hAnsi="Arial"/>
                <w:sz w:val="29"/>
                <w:szCs w:val="29"/>
                <w:color w:val="auto"/>
                <w:vertAlign w:val="superscript"/>
              </w:rPr>
              <w:t>(4)</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3.31</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shd w:val="clear" w:color="auto" w:fill="F0FFFF"/>
          </w:tcPr>
          <w:p>
            <w:pPr>
              <w:ind w:left="140"/>
              <w:spacing w:after="0" w:line="256" w:lineRule="exact"/>
              <w:rPr>
                <w:sz w:val="20"/>
                <w:szCs w:val="20"/>
                <w:color w:val="auto"/>
              </w:rPr>
            </w:pPr>
            <w:r>
              <w:rPr>
                <w:rFonts w:ascii="Arial" w:cs="Arial" w:eastAsia="Arial" w:hAnsi="Arial"/>
                <w:sz w:val="18"/>
                <w:szCs w:val="18"/>
                <w:color w:val="auto"/>
              </w:rPr>
              <w:t xml:space="preserve">Efficiency ratio - operating </w:t>
            </w:r>
            <w:r>
              <w:rPr>
                <w:rFonts w:ascii="Arial" w:cs="Arial" w:eastAsia="Arial" w:hAnsi="Arial"/>
                <w:sz w:val="29"/>
                <w:szCs w:val="29"/>
                <w:color w:val="auto"/>
                <w:vertAlign w:val="superscript"/>
              </w:rPr>
              <w:t>(1)</w:t>
            </w:r>
          </w:p>
        </w:tc>
        <w:tc>
          <w:tcPr>
            <w:tcW w:w="16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59.10</w:t>
            </w:r>
          </w:p>
        </w:tc>
        <w:tc>
          <w:tcPr>
            <w:tcW w:w="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59.41</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57.81</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59.15</w:t>
            </w:r>
          </w:p>
        </w:tc>
        <w:tc>
          <w:tcPr>
            <w:tcW w:w="7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ind w:left="140"/>
              <w:spacing w:after="0"/>
              <w:rPr>
                <w:sz w:val="20"/>
                <w:szCs w:val="20"/>
                <w:color w:val="auto"/>
              </w:rPr>
            </w:pPr>
            <w:r>
              <w:rPr>
                <w:rFonts w:ascii="Arial" w:cs="Arial" w:eastAsia="Arial" w:hAnsi="Arial"/>
                <w:sz w:val="18"/>
                <w:szCs w:val="18"/>
                <w:color w:val="auto"/>
              </w:rPr>
              <w:t>Efficiency ratio - GAAP</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59.15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Average equity to average assets</w:t>
            </w:r>
          </w:p>
        </w:tc>
        <w:tc>
          <w:tcPr>
            <w:tcW w:w="16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10.68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9.86</w:t>
            </w:r>
          </w:p>
        </w:tc>
        <w:tc>
          <w:tcPr>
            <w:tcW w:w="7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tcPr>
          <w:p>
            <w:pPr>
              <w:ind w:left="140"/>
              <w:spacing w:after="0" w:line="256" w:lineRule="exact"/>
              <w:rPr>
                <w:sz w:val="20"/>
                <w:szCs w:val="20"/>
                <w:color w:val="auto"/>
              </w:rPr>
            </w:pPr>
            <w:r>
              <w:rPr>
                <w:rFonts w:ascii="Arial" w:cs="Arial" w:eastAsia="Arial" w:hAnsi="Arial"/>
                <w:sz w:val="18"/>
                <w:szCs w:val="18"/>
                <w:color w:val="auto"/>
              </w:rPr>
              <w:t xml:space="preserve">Average tangible equity to average assets </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9.82</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gridSpan w:val="3"/>
            <w:shd w:val="clear" w:color="auto" w:fill="F0FFFF"/>
          </w:tcPr>
          <w:p>
            <w:pPr>
              <w:ind w:left="140"/>
              <w:spacing w:after="0" w:line="256" w:lineRule="exact"/>
              <w:rPr>
                <w:sz w:val="20"/>
                <w:szCs w:val="20"/>
                <w:color w:val="auto"/>
              </w:rPr>
            </w:pPr>
            <w:r>
              <w:rPr>
                <w:rFonts w:ascii="Arial" w:cs="Arial" w:eastAsia="Arial" w:hAnsi="Arial"/>
                <w:sz w:val="18"/>
                <w:szCs w:val="18"/>
                <w:color w:val="auto"/>
              </w:rPr>
              <w:t xml:space="preserve">Average tangible common equity to average assets </w:t>
            </w:r>
            <w:r>
              <w:rPr>
                <w:rFonts w:ascii="Arial" w:cs="Arial" w:eastAsia="Arial" w:hAnsi="Arial"/>
                <w:sz w:val="29"/>
                <w:szCs w:val="29"/>
                <w:color w:val="auto"/>
                <w:vertAlign w:val="superscript"/>
              </w:rPr>
              <w:t>(3)</w:t>
            </w:r>
          </w:p>
        </w:tc>
        <w:tc>
          <w:tcPr>
            <w:tcW w:w="16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9.82</w:t>
            </w:r>
          </w:p>
        </w:tc>
        <w:tc>
          <w:tcPr>
            <w:tcW w:w="7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640" w:type="dxa"/>
            <w:vAlign w:val="bottom"/>
            <w:gridSpan w:val="3"/>
          </w:tcPr>
          <w:p>
            <w:pPr>
              <w:ind w:left="140"/>
              <w:spacing w:after="0"/>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30"/>
                <w:szCs w:val="30"/>
                <w:color w:val="auto"/>
                <w:vertAlign w:val="superscript"/>
              </w:rPr>
              <w:t>(3)(5)</w:t>
            </w:r>
          </w:p>
        </w:tc>
        <w:tc>
          <w:tcPr>
            <w:tcW w:w="1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13.53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35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w w:val="79"/>
              </w:rPr>
              <w:t>39</w:t>
            </w:r>
          </w:p>
        </w:tc>
        <w:tc>
          <w:tcPr>
            <w:tcW w:w="1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Table 1 (Continued)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2015</w:t>
            </w: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First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198"/>
        </w:trPr>
        <w:tc>
          <w:tcPr>
            <w:tcW w:w="4720" w:type="dxa"/>
            <w:vAlign w:val="bottom"/>
            <w:gridSpan w:val="3"/>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40" w:type="dxa"/>
            <w:vAlign w:val="bottom"/>
          </w:tcPr>
          <w:p>
            <w:pPr>
              <w:spacing w:after="0"/>
              <w:rPr>
                <w:sz w:val="17"/>
                <w:szCs w:val="17"/>
                <w:color w:val="auto"/>
              </w:rPr>
            </w:pPr>
          </w:p>
        </w:tc>
        <w:tc>
          <w:tcPr>
            <w:tcW w:w="64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4"/>
              </w:rPr>
              <w:t>Fourth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7"/>
                <w:szCs w:val="17"/>
                <w:color w:val="auto"/>
              </w:rPr>
            </w:pPr>
          </w:p>
        </w:tc>
        <w:tc>
          <w:tcPr>
            <w:tcW w:w="106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86"/>
              </w:rPr>
              <w:t>Second</w:t>
            </w:r>
          </w:p>
        </w:tc>
        <w:tc>
          <w:tcPr>
            <w:tcW w:w="160" w:type="dxa"/>
            <w:vAlign w:val="bottom"/>
          </w:tcPr>
          <w:p>
            <w:pPr>
              <w:spacing w:after="0"/>
              <w:rPr>
                <w:sz w:val="17"/>
                <w:szCs w:val="17"/>
                <w:color w:val="auto"/>
              </w:rPr>
            </w:pPr>
          </w:p>
        </w:tc>
        <w:tc>
          <w:tcPr>
            <w:tcW w:w="6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First</w:t>
            </w:r>
          </w:p>
        </w:tc>
        <w:tc>
          <w:tcPr>
            <w:tcW w:w="36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0"/>
              </w:rPr>
              <w:t>2016-2015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20" w:type="dxa"/>
            <w:vAlign w:val="bottom"/>
            <w:gridSpan w:val="3"/>
          </w:tcPr>
          <w:p>
            <w:pPr>
              <w:spacing w:after="0"/>
              <w:rPr>
                <w:sz w:val="20"/>
                <w:szCs w:val="20"/>
                <w:color w:val="auto"/>
              </w:rPr>
            </w:pPr>
            <w:r>
              <w:rPr>
                <w:rFonts w:ascii="Arial" w:cs="Arial" w:eastAsia="Arial" w:hAnsi="Arial"/>
                <w:sz w:val="18"/>
                <w:szCs w:val="18"/>
                <w:i w:val="1"/>
                <w:iCs w:val="1"/>
                <w:color w:val="auto"/>
              </w:rPr>
              <w:t>data; fully taxable equivalent)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0" w:type="dxa"/>
            <w:vAlign w:val="bottom"/>
          </w:tcPr>
          <w:p>
            <w:pPr>
              <w:spacing w:after="0"/>
              <w:rPr>
                <w:sz w:val="20"/>
                <w:szCs w:val="20"/>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 QUALITY</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spacing w:after="0"/>
              <w:rPr>
                <w:sz w:val="18"/>
                <w:szCs w:val="18"/>
                <w:color w:val="auto"/>
              </w:rPr>
            </w:pPr>
          </w:p>
        </w:tc>
        <w:tc>
          <w:tcPr>
            <w:tcW w:w="3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360" w:type="dxa"/>
            <w:vAlign w:val="bottom"/>
            <w:tcBorders>
              <w:top w:val="single" w:sz="8" w:color="F0FFFF"/>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Nonperforming 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22,419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22,653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18,805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19,015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Foreclosed properties</w:t>
            </w:r>
          </w:p>
        </w:tc>
        <w:tc>
          <w:tcPr>
            <w:tcW w:w="1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5,163</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F0FFFF"/>
          </w:tcPr>
          <w:p>
            <w:pPr>
              <w:spacing w:after="0"/>
              <w:rPr>
                <w:sz w:val="20"/>
                <w:szCs w:val="20"/>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2,356</w:t>
            </w:r>
          </w:p>
        </w:tc>
        <w:tc>
          <w:tcPr>
            <w:tcW w:w="3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1,158</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top w:val="single" w:sz="8" w:color="F0FFFF"/>
            </w:tcBorders>
            <w:gridSpan w:val="2"/>
          </w:tcPr>
          <w:p>
            <w:pPr>
              <w:ind w:left="320"/>
              <w:spacing w:after="0" w:line="203" w:lineRule="exact"/>
              <w:rPr>
                <w:sz w:val="20"/>
                <w:szCs w:val="20"/>
                <w:color w:val="auto"/>
              </w:rPr>
            </w:pPr>
            <w:r>
              <w:rPr>
                <w:rFonts w:ascii="Arial" w:cs="Arial" w:eastAsia="Arial" w:hAnsi="Arial"/>
                <w:sz w:val="18"/>
                <w:szCs w:val="18"/>
                <w:color w:val="auto"/>
              </w:rPr>
              <w:t>Total nonperforming assets (NPAs)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27,582</w:t>
            </w:r>
          </w:p>
        </w:tc>
        <w:tc>
          <w:tcPr>
            <w:tcW w:w="26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27,536</w:t>
            </w:r>
          </w:p>
        </w:tc>
        <w:tc>
          <w:tcPr>
            <w:tcW w:w="28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27,733</w:t>
            </w:r>
          </w:p>
        </w:tc>
        <w:tc>
          <w:tcPr>
            <w:tcW w:w="38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21,161</w:t>
            </w:r>
          </w:p>
        </w:tc>
        <w:tc>
          <w:tcPr>
            <w:tcW w:w="3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20,173</w:t>
            </w:r>
          </w:p>
        </w:tc>
        <w:tc>
          <w:tcPr>
            <w:tcW w:w="360" w:type="dxa"/>
            <w:vAlign w:val="bottom"/>
            <w:tcBorders>
              <w:top w:val="single" w:sz="8" w:color="F0FFFF"/>
            </w:tcBorders>
          </w:tcPr>
          <w:p>
            <w:pPr>
              <w:spacing w:after="0"/>
              <w:rPr>
                <w:sz w:val="17"/>
                <w:szCs w:val="17"/>
                <w:color w:val="auto"/>
              </w:rPr>
            </w:pPr>
          </w:p>
        </w:tc>
        <w:tc>
          <w:tcPr>
            <w:tcW w:w="900" w:type="dxa"/>
            <w:vAlign w:val="bottom"/>
            <w:tcBorders>
              <w:top w:val="single" w:sz="8" w:color="F0FF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66,310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68,448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69,062</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70,129</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70,007</w:t>
            </w: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2,562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Allowance for loan losses to loans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1.46%</w:t>
            </w: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NPAs to loans and foreclosed properties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.42</w:t>
            </w: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NPAs to total assets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6,004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5,975</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5,017</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4,725</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Investment securities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2,203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Earning assets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8,876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8,792</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7,444</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7,070</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7,617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7,947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8,028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6,669</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6,369</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751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72,162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72,135</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66,294</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62,549</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60,905</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72,140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66,300</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62,553</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60,909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6,106</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5,995</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6,024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5,174</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4,788</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Investment securities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2,201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9,781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9,616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9,404</w:t>
            </w: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8,237</w:t>
            </w: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7,655</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7,960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6,430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80"/>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764</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71,544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71,484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71,472</w:t>
            </w: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62,700</w:t>
            </w:r>
          </w:p>
        </w:tc>
        <w:tc>
          <w:tcPr>
            <w:tcW w:w="16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60,309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firstLine="8"/>
        <w:spacing w:after="0" w:line="219" w:lineRule="auto"/>
        <w:tabs>
          <w:tab w:leader="none" w:pos="212"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Excludes merger-related charges and impairment losses on surplus bank property. </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Excludes effect of</w:t>
      </w:r>
    </w:p>
    <w:p>
      <w:pPr>
        <w:spacing w:after="0" w:line="1" w:lineRule="exact"/>
        <w:rPr>
          <w:sz w:val="20"/>
          <w:szCs w:val="20"/>
          <w:color w:val="auto"/>
        </w:rPr>
      </w:pPr>
    </w:p>
    <w:p>
      <w:pPr>
        <w:ind w:right="600"/>
        <w:spacing w:after="0" w:line="204" w:lineRule="auto"/>
        <w:rPr>
          <w:sz w:val="20"/>
          <w:szCs w:val="20"/>
          <w:color w:val="auto"/>
        </w:rPr>
      </w:pPr>
      <w:r>
        <w:rPr>
          <w:rFonts w:ascii="Arial" w:cs="Arial" w:eastAsia="Arial" w:hAnsi="Arial"/>
          <w:sz w:val="18"/>
          <w:szCs w:val="18"/>
          <w:color w:val="auto"/>
        </w:rPr>
        <w:t xml:space="preserve">acquisition related intangibles and associated amortization. </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Annualized. </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All periods are calculated under Basel III rules, which became effective January 1, 2015.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Table 1 (Continued)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5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20" w:type="dxa"/>
            <w:vAlign w:val="bottom"/>
            <w:gridSpan w:val="3"/>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40" w:type="dxa"/>
            <w:vAlign w:val="bottom"/>
          </w:tcPr>
          <w:p>
            <w:pPr>
              <w:spacing w:after="0"/>
              <w:rPr>
                <w:sz w:val="17"/>
                <w:szCs w:val="17"/>
                <w:color w:val="auto"/>
              </w:rPr>
            </w:pPr>
          </w:p>
        </w:tc>
        <w:tc>
          <w:tcPr>
            <w:tcW w:w="9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First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Fourth</w:t>
            </w:r>
          </w:p>
        </w:tc>
        <w:tc>
          <w:tcPr>
            <w:tcW w:w="140" w:type="dxa"/>
            <w:vAlign w:val="bottom"/>
          </w:tcPr>
          <w:p>
            <w:pPr>
              <w:spacing w:after="0"/>
              <w:rPr>
                <w:sz w:val="17"/>
                <w:szCs w:val="17"/>
                <w:color w:val="auto"/>
              </w:rPr>
            </w:pPr>
          </w:p>
        </w:tc>
        <w:tc>
          <w:tcPr>
            <w:tcW w:w="1220" w:type="dxa"/>
            <w:vAlign w:val="bottom"/>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7"/>
                <w:szCs w:val="17"/>
                <w:color w:val="auto"/>
              </w:rPr>
            </w:pPr>
          </w:p>
        </w:tc>
        <w:tc>
          <w:tcPr>
            <w:tcW w:w="10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5"/>
              </w:rPr>
              <w:t>Second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First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20" w:type="dxa"/>
            <w:vAlign w:val="bottom"/>
            <w:gridSpan w:val="3"/>
          </w:tcPr>
          <w:p>
            <w:pPr>
              <w:spacing w:after="0"/>
              <w:rPr>
                <w:sz w:val="20"/>
                <w:szCs w:val="20"/>
                <w:color w:val="auto"/>
              </w:rPr>
            </w:pPr>
            <w:r>
              <w:rPr>
                <w:rFonts w:ascii="Arial" w:cs="Arial" w:eastAsia="Arial" w:hAnsi="Arial"/>
                <w:sz w:val="18"/>
                <w:szCs w:val="18"/>
                <w:i w:val="1"/>
                <w:iCs w:val="1"/>
                <w:color w:val="auto"/>
              </w:rPr>
              <w:t>data; fully taxable equivalent)</w:t>
            </w:r>
          </w:p>
        </w:tc>
        <w:tc>
          <w:tcPr>
            <w:tcW w:w="14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80,991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79,646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71,120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66,134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F0FFFF"/>
            </w:tcBorders>
            <w:gridSpan w:val="2"/>
          </w:tcPr>
          <w:p>
            <w:pPr>
              <w:ind w:left="140"/>
              <w:spacing w:after="0" w:line="203" w:lineRule="exact"/>
              <w:rPr>
                <w:sz w:val="20"/>
                <w:szCs w:val="20"/>
                <w:color w:val="auto"/>
              </w:rPr>
            </w:pPr>
            <w:r>
              <w:rPr>
                <w:rFonts w:ascii="Arial" w:cs="Arial" w:eastAsia="Arial" w:hAnsi="Arial"/>
                <w:sz w:val="18"/>
                <w:szCs w:val="18"/>
                <w:color w:val="auto"/>
              </w:rPr>
              <w:t>Interest revenue (GAAP)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80,721</w:t>
            </w:r>
          </w:p>
        </w:tc>
        <w:tc>
          <w:tcPr>
            <w:tcW w:w="34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79,362</w:t>
            </w:r>
          </w:p>
        </w:tc>
        <w:tc>
          <w:tcPr>
            <w:tcW w:w="36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70,828</w:t>
            </w:r>
          </w:p>
        </w:tc>
        <w:tc>
          <w:tcPr>
            <w:tcW w:w="32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65,808</w:t>
            </w:r>
          </w:p>
        </w:tc>
        <w:tc>
          <w:tcPr>
            <w:tcW w:w="1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62,534</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interest revenue - taxable equivalent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75,222</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74,048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65,718</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61,317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Net interest revenue (GAAP)</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74,952</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73,764</w:t>
            </w: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65,426</w:t>
            </w: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60,991</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57,242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Total revenue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94,028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83,315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77,683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71,499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F0FFFF"/>
            </w:tcBorders>
            <w:gridSpan w:val="2"/>
          </w:tcPr>
          <w:p>
            <w:pPr>
              <w:ind w:left="140"/>
              <w:spacing w:after="0" w:line="203" w:lineRule="exact"/>
              <w:rPr>
                <w:sz w:val="20"/>
                <w:szCs w:val="20"/>
                <w:color w:val="auto"/>
              </w:rPr>
            </w:pPr>
            <w:r>
              <w:rPr>
                <w:rFonts w:ascii="Arial" w:cs="Arial" w:eastAsia="Arial" w:hAnsi="Arial"/>
                <w:sz w:val="18"/>
                <w:szCs w:val="18"/>
                <w:color w:val="auto"/>
              </w:rPr>
              <w:t>Total revenue (GAAP)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93,758</w:t>
            </w:r>
          </w:p>
        </w:tc>
        <w:tc>
          <w:tcPr>
            <w:tcW w:w="34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94,748</w:t>
            </w:r>
          </w:p>
        </w:tc>
        <w:tc>
          <w:tcPr>
            <w:tcW w:w="36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83,023</w:t>
            </w:r>
          </w:p>
        </w:tc>
        <w:tc>
          <w:tcPr>
            <w:tcW w:w="32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77,357</w:t>
            </w:r>
          </w:p>
        </w:tc>
        <w:tc>
          <w:tcPr>
            <w:tcW w:w="1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71,124</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Expense reconciliation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Expenses - operating</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55,232</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56,410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48,525</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45,247</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Merger-related and other charges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9,078</w:t>
            </w:r>
          </w:p>
        </w:tc>
        <w:tc>
          <w:tcPr>
            <w:tcW w:w="1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5,744</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Expenses (GAAP)</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57,885</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65,488</w:t>
            </w: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54,269</w:t>
            </w: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48,420</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43,061</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Income before taxes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before taxes - operating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38,796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38,622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34,790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32,436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Merger-related and other charges</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(2,653)</w:t>
            </w: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(9,078)</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(5,744)</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Income before taxes (GAAP)</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35,873</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29,260</w:t>
            </w: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28,754</w:t>
            </w: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28,937</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28,063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Income tax expense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 - operating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14,852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14,822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13,064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12,447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Merger-related and other charges, tax benefit</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(1,004)</w:t>
            </w: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(3,486)</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Income tax expense (GAAP)</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13,578</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11,052</w:t>
            </w: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10,867</w:t>
            </w: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11,124</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Net income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 operating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23,944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23,800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21,726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Merger-related and other charges, net of income tax benefit</w:t>
            </w: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(5,592)</w:t>
            </w:r>
          </w:p>
        </w:tc>
        <w:tc>
          <w:tcPr>
            <w:tcW w:w="14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(3,839)</w:t>
            </w:r>
          </w:p>
        </w:tc>
        <w:tc>
          <w:tcPr>
            <w:tcW w:w="1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(2,176)</w:t>
            </w:r>
          </w:p>
        </w:tc>
        <w:tc>
          <w:tcPr>
            <w:tcW w:w="1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F0FFFF"/>
            </w:tcBorders>
            <w:gridSpan w:val="2"/>
          </w:tcPr>
          <w:p>
            <w:pPr>
              <w:ind w:left="140"/>
              <w:spacing w:after="0" w:line="203" w:lineRule="exact"/>
              <w:rPr>
                <w:sz w:val="20"/>
                <w:szCs w:val="20"/>
                <w:color w:val="auto"/>
              </w:rPr>
            </w:pPr>
            <w:r>
              <w:rPr>
                <w:rFonts w:ascii="Arial" w:cs="Arial" w:eastAsia="Arial" w:hAnsi="Arial"/>
                <w:sz w:val="18"/>
                <w:szCs w:val="18"/>
                <w:color w:val="auto"/>
              </w:rPr>
              <w:t>Net income (GAAP)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22,295</w:t>
            </w:r>
          </w:p>
        </w:tc>
        <w:tc>
          <w:tcPr>
            <w:tcW w:w="34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18,208</w:t>
            </w:r>
          </w:p>
        </w:tc>
        <w:tc>
          <w:tcPr>
            <w:tcW w:w="36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17,887</w:t>
            </w:r>
          </w:p>
        </w:tc>
        <w:tc>
          <w:tcPr>
            <w:tcW w:w="32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17,813</w:t>
            </w:r>
          </w:p>
        </w:tc>
        <w:tc>
          <w:tcPr>
            <w:tcW w:w="1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17,670</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income available to common shareholders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reconciliation</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 available to common shareholders - operating</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23,923</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23,775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21,701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19,972</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Merger-related and other charges, net of income tax benefit</w:t>
            </w:r>
          </w:p>
        </w:tc>
        <w:tc>
          <w:tcPr>
            <w:tcW w:w="1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(5,592)</w:t>
            </w:r>
          </w:p>
        </w:tc>
        <w:tc>
          <w:tcPr>
            <w:tcW w:w="1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(3,839)</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top w:val="single" w:sz="8" w:color="F0FFFF"/>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Net income available to common shareholders (GAAP)</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22,274</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18,183</w:t>
            </w: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17,862</w:t>
            </w: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17,796</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17,670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Diluted income per common share reconciliation</w:t>
            </w: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Diluted income per common share - operating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top w:val="single" w:sz="8" w:color="F0FFFF"/>
            </w:tcBorders>
            <w:gridSpan w:val="2"/>
          </w:tcPr>
          <w:p>
            <w:pPr>
              <w:ind w:left="140"/>
              <w:spacing w:after="0" w:line="203" w:lineRule="exact"/>
              <w:rPr>
                <w:sz w:val="20"/>
                <w:szCs w:val="20"/>
                <w:color w:val="auto"/>
              </w:rPr>
            </w:pPr>
            <w:r>
              <w:rPr>
                <w:rFonts w:ascii="Arial" w:cs="Arial" w:eastAsia="Arial" w:hAnsi="Arial"/>
                <w:sz w:val="18"/>
                <w:szCs w:val="18"/>
                <w:color w:val="auto"/>
              </w:rPr>
              <w:t>Diluted income per common share (GAAP)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34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36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w:t>
            </w:r>
          </w:p>
        </w:tc>
        <w:tc>
          <w:tcPr>
            <w:tcW w:w="32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6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Table 1 (Continued)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 thousands, except per share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First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Fourth</w:t>
            </w:r>
          </w:p>
        </w:tc>
        <w:tc>
          <w:tcPr>
            <w:tcW w:w="180" w:type="dxa"/>
            <w:vAlign w:val="bottom"/>
          </w:tcPr>
          <w:p>
            <w:pPr>
              <w:spacing w:after="0"/>
              <w:rPr>
                <w:sz w:val="17"/>
                <w:szCs w:val="17"/>
                <w:color w:val="auto"/>
              </w:rPr>
            </w:pPr>
          </w:p>
        </w:tc>
        <w:tc>
          <w:tcPr>
            <w:tcW w:w="122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Third</w:t>
            </w:r>
          </w:p>
        </w:tc>
        <w:tc>
          <w:tcPr>
            <w:tcW w:w="180" w:type="dxa"/>
            <w:vAlign w:val="bottom"/>
          </w:tcPr>
          <w:p>
            <w:pPr>
              <w:spacing w:after="0"/>
              <w:rPr>
                <w:sz w:val="17"/>
                <w:szCs w:val="17"/>
                <w:color w:val="auto"/>
              </w:rPr>
            </w:pPr>
          </w:p>
        </w:tc>
        <w:tc>
          <w:tcPr>
            <w:tcW w:w="1100" w:type="dxa"/>
            <w:vAlign w:val="bottom"/>
            <w:gridSpan w:val="2"/>
          </w:tcPr>
          <w:p>
            <w:pPr>
              <w:jc w:val="right"/>
              <w:ind w:right="390"/>
              <w:spacing w:after="0"/>
              <w:rPr>
                <w:sz w:val="20"/>
                <w:szCs w:val="20"/>
                <w:color w:val="auto"/>
              </w:rPr>
            </w:pPr>
            <w:r>
              <w:rPr>
                <w:rFonts w:ascii="Arial" w:cs="Arial" w:eastAsia="Arial" w:hAnsi="Arial"/>
                <w:sz w:val="16"/>
                <w:szCs w:val="16"/>
                <w:b w:val="1"/>
                <w:bCs w:val="1"/>
                <w:color w:val="auto"/>
              </w:rPr>
              <w:t>Second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1"/>
              <w:spacing w:after="0"/>
              <w:rPr>
                <w:sz w:val="20"/>
                <w:szCs w:val="20"/>
                <w:color w:val="auto"/>
              </w:rPr>
            </w:pPr>
            <w:r>
              <w:rPr>
                <w:rFonts w:ascii="Arial" w:cs="Arial" w:eastAsia="Arial" w:hAnsi="Arial"/>
                <w:sz w:val="16"/>
                <w:szCs w:val="16"/>
                <w:b w:val="1"/>
                <w:bCs w:val="1"/>
                <w:color w:val="auto"/>
              </w:rPr>
              <w:t>First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data; fully taxable equivalent)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Quarter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45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21"/>
                <w:szCs w:val="21"/>
                <w:color w:val="auto"/>
              </w:rPr>
            </w:pPr>
          </w:p>
        </w:tc>
        <w:tc>
          <w:tcPr>
            <w:tcW w:w="1220" w:type="dxa"/>
            <w:vAlign w:val="bottom"/>
            <w:gridSpan w:val="2"/>
          </w:tcPr>
          <w:p>
            <w:pPr>
              <w:jc w:val="right"/>
              <w:ind w:right="470"/>
              <w:spacing w:after="0"/>
              <w:rPr>
                <w:sz w:val="20"/>
                <w:szCs w:val="20"/>
                <w:color w:val="auto"/>
              </w:rPr>
            </w:pPr>
            <w:r>
              <w:rPr>
                <w:rFonts w:ascii="Arial" w:cs="Arial" w:eastAsia="Arial" w:hAnsi="Arial"/>
                <w:sz w:val="16"/>
                <w:szCs w:val="16"/>
                <w:b w:val="1"/>
                <w:bCs w:val="1"/>
                <w:color w:val="auto"/>
              </w:rPr>
              <w:t>Quarter</w:t>
            </w:r>
          </w:p>
        </w:tc>
        <w:tc>
          <w:tcPr>
            <w:tcW w:w="180" w:type="dxa"/>
            <w:vAlign w:val="bottom"/>
          </w:tcPr>
          <w:p>
            <w:pPr>
              <w:spacing w:after="0"/>
              <w:rPr>
                <w:sz w:val="21"/>
                <w:szCs w:val="21"/>
                <w:color w:val="auto"/>
              </w:rPr>
            </w:pPr>
          </w:p>
        </w:tc>
        <w:tc>
          <w:tcPr>
            <w:tcW w:w="1100" w:type="dxa"/>
            <w:vAlign w:val="bottom"/>
            <w:gridSpan w:val="2"/>
          </w:tcPr>
          <w:p>
            <w:pPr>
              <w:jc w:val="right"/>
              <w:ind w:right="350"/>
              <w:spacing w:after="0"/>
              <w:rPr>
                <w:sz w:val="20"/>
                <w:szCs w:val="20"/>
                <w:color w:val="auto"/>
              </w:rPr>
            </w:pPr>
            <w:r>
              <w:rPr>
                <w:rFonts w:ascii="Arial" w:cs="Arial" w:eastAsia="Arial" w:hAnsi="Arial"/>
                <w:sz w:val="16"/>
                <w:szCs w:val="16"/>
                <w:b w:val="1"/>
                <w:bCs w:val="1"/>
                <w:color w:val="auto"/>
              </w:rPr>
              <w:t>Quarter</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Tangible book value per common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12.40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12.06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12.66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Effect of goodwill and other intangibles</w:t>
            </w: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Borders>
              <w:top w:val="single" w:sz="8" w:color="F0FFFF"/>
            </w:tcBorders>
          </w:tcPr>
          <w:p>
            <w:pPr>
              <w:ind w:left="140"/>
              <w:spacing w:after="0" w:line="203" w:lineRule="exact"/>
              <w:rPr>
                <w:sz w:val="20"/>
                <w:szCs w:val="20"/>
                <w:color w:val="auto"/>
              </w:rPr>
            </w:pPr>
            <w:r>
              <w:rPr>
                <w:rFonts w:ascii="Arial" w:cs="Arial" w:eastAsia="Arial" w:hAnsi="Arial"/>
                <w:sz w:val="18"/>
                <w:szCs w:val="18"/>
                <w:color w:val="auto"/>
              </w:rPr>
              <w:t>Book value per common share (GAAP)</w:t>
            </w: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14.35</w:t>
            </w:r>
          </w:p>
        </w:tc>
        <w:tc>
          <w:tcPr>
            <w:tcW w:w="26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w:t>
            </w:r>
          </w:p>
        </w:tc>
        <w:tc>
          <w:tcPr>
            <w:tcW w:w="38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w:t>
            </w:r>
          </w:p>
        </w:tc>
        <w:tc>
          <w:tcPr>
            <w:tcW w:w="38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12.95</w:t>
            </w:r>
          </w:p>
        </w:tc>
        <w:tc>
          <w:tcPr>
            <w:tcW w:w="28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12.58</w:t>
            </w: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Return on tangible common equity reconciliation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Return on tangible common equity - operating</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10.87%</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10.29%</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Return on common equity - operating</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9.18</w:t>
            </w:r>
          </w:p>
        </w:tc>
        <w:tc>
          <w:tcPr>
            <w:tcW w:w="3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9.54</w:t>
            </w:r>
          </w:p>
        </w:tc>
        <w:tc>
          <w:tcPr>
            <w:tcW w:w="3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9.90</w:t>
            </w:r>
          </w:p>
        </w:tc>
        <w:tc>
          <w:tcPr>
            <w:tcW w:w="2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Return on common equity (GAAP)</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7.02</w:t>
            </w:r>
          </w:p>
        </w:tc>
        <w:tc>
          <w:tcPr>
            <w:tcW w:w="380" w:type="dxa"/>
            <w:vAlign w:val="bottom"/>
            <w:tcBorders>
              <w:top w:val="single" w:sz="8" w:color="F0FFFF"/>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7.85</w:t>
            </w:r>
          </w:p>
        </w:tc>
        <w:tc>
          <w:tcPr>
            <w:tcW w:w="380" w:type="dxa"/>
            <w:vAlign w:val="bottom"/>
            <w:tcBorders>
              <w:top w:val="single" w:sz="8" w:color="F0FFFF"/>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Return on assets reconciliation</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Return on assets - operating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vMerge w:val="restart"/>
          </w:tcPr>
          <w:p>
            <w:pPr>
              <w:ind w:left="140"/>
              <w:spacing w:after="0"/>
              <w:rPr>
                <w:sz w:val="20"/>
                <w:szCs w:val="20"/>
                <w:color w:val="auto"/>
              </w:rPr>
            </w:pPr>
            <w:r>
              <w:rPr>
                <w:rFonts w:ascii="Arial" w:cs="Arial" w:eastAsia="Arial" w:hAnsi="Arial"/>
                <w:sz w:val="18"/>
                <w:szCs w:val="18"/>
                <w:color w:val="auto"/>
              </w:rPr>
              <w:t>Return on assets (GAAP)</w:t>
            </w: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122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.82%</w:t>
            </w:r>
          </w:p>
        </w:tc>
        <w:tc>
          <w:tcPr>
            <w:tcW w:w="180" w:type="dxa"/>
            <w:vAlign w:val="bottom"/>
          </w:tcPr>
          <w:p>
            <w:pPr>
              <w:spacing w:after="0"/>
              <w:rPr>
                <w:sz w:val="17"/>
                <w:szCs w:val="17"/>
                <w:color w:val="auto"/>
              </w:rPr>
            </w:pPr>
          </w:p>
        </w:tc>
        <w:tc>
          <w:tcPr>
            <w:tcW w:w="11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Dividend payout ratio reconciliation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Dividend payout ratio - operating</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21.21%</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18.18%</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18.18%</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shd w:val="clear" w:color="auto" w:fill="F0FFFF"/>
          </w:tcPr>
          <w:p>
            <w:pPr>
              <w:ind w:left="140"/>
              <w:spacing w:after="0"/>
              <w:rPr>
                <w:sz w:val="20"/>
                <w:szCs w:val="20"/>
                <w:color w:val="auto"/>
              </w:rPr>
            </w:pPr>
            <w:r>
              <w:rPr>
                <w:rFonts w:ascii="Arial" w:cs="Arial" w:eastAsia="Arial" w:hAnsi="Arial"/>
                <w:sz w:val="18"/>
                <w:szCs w:val="18"/>
                <w:color w:val="auto"/>
              </w:rPr>
              <w:t>Dividend payout ratio (GAAP)</w:t>
            </w: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vMerge w:val="restart"/>
            <w:shd w:val="clear" w:color="auto" w:fill="F0FF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vMerge w:val="continue"/>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22.22</w:t>
            </w:r>
          </w:p>
        </w:tc>
        <w:tc>
          <w:tcPr>
            <w:tcW w:w="380" w:type="dxa"/>
            <w:vAlign w:val="bottom"/>
            <w:vMerge w:val="continue"/>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17.86%</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Efficiency ratio reconciliation</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Efficiency ratio - operating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59.41%</w:t>
            </w:r>
          </w:p>
        </w:tc>
        <w:tc>
          <w:tcPr>
            <w:tcW w:w="18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57.81%</w:t>
            </w: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6.84</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vMerge w:val="restart"/>
          </w:tcPr>
          <w:p>
            <w:pPr>
              <w:ind w:left="140"/>
              <w:spacing w:after="0"/>
              <w:rPr>
                <w:sz w:val="20"/>
                <w:szCs w:val="20"/>
                <w:color w:val="auto"/>
              </w:rPr>
            </w:pPr>
            <w:r>
              <w:rPr>
                <w:rFonts w:ascii="Arial" w:cs="Arial" w:eastAsia="Arial" w:hAnsi="Arial"/>
                <w:sz w:val="18"/>
                <w:szCs w:val="18"/>
                <w:color w:val="auto"/>
              </w:rPr>
              <w:t>Efficiency ratio (GAAP)</w:t>
            </w: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61.94%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68.97%</w:t>
            </w:r>
          </w:p>
        </w:tc>
        <w:tc>
          <w:tcPr>
            <w:tcW w:w="180" w:type="dxa"/>
            <w:vAlign w:val="bottom"/>
          </w:tcPr>
          <w:p>
            <w:pPr>
              <w:spacing w:after="0"/>
              <w:rPr>
                <w:sz w:val="17"/>
                <w:szCs w:val="17"/>
                <w:color w:val="auto"/>
              </w:rPr>
            </w:pPr>
          </w:p>
        </w:tc>
        <w:tc>
          <w:tcPr>
            <w:tcW w:w="1220" w:type="dxa"/>
            <w:vAlign w:val="bottom"/>
            <w:gridSpan w:val="2"/>
          </w:tcPr>
          <w:p>
            <w:pPr>
              <w:jc w:val="right"/>
              <w:ind w:right="150"/>
              <w:spacing w:after="0" w:line="203" w:lineRule="exact"/>
              <w:rPr>
                <w:sz w:val="20"/>
                <w:szCs w:val="20"/>
                <w:color w:val="auto"/>
              </w:rPr>
            </w:pPr>
            <w:r>
              <w:rPr>
                <w:rFonts w:ascii="Arial" w:cs="Arial" w:eastAsia="Arial" w:hAnsi="Arial"/>
                <w:sz w:val="18"/>
                <w:szCs w:val="18"/>
                <w:color w:val="auto"/>
              </w:rPr>
              <w:t>64.65%</w:t>
            </w:r>
          </w:p>
        </w:tc>
        <w:tc>
          <w:tcPr>
            <w:tcW w:w="180" w:type="dxa"/>
            <w:vAlign w:val="bottom"/>
          </w:tcPr>
          <w:p>
            <w:pPr>
              <w:spacing w:after="0"/>
              <w:rPr>
                <w:sz w:val="17"/>
                <w:szCs w:val="17"/>
                <w:color w:val="auto"/>
              </w:rPr>
            </w:pPr>
          </w:p>
        </w:tc>
        <w:tc>
          <w:tcPr>
            <w:tcW w:w="110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61.63%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Tangible common equity to assets</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Tangible equity to assets</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9.41</w:t>
            </w: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9.40</w:t>
            </w:r>
          </w:p>
        </w:tc>
        <w:tc>
          <w:tcPr>
            <w:tcW w:w="3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9.88</w:t>
            </w:r>
          </w:p>
        </w:tc>
        <w:tc>
          <w:tcPr>
            <w:tcW w:w="3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vMerge w:val="restart"/>
            <w:shd w:val="clear" w:color="auto" w:fill="F0FFFF"/>
          </w:tcPr>
          <w:p>
            <w:pPr>
              <w:ind w:left="140"/>
              <w:spacing w:after="0"/>
              <w:rPr>
                <w:sz w:val="20"/>
                <w:szCs w:val="20"/>
                <w:color w:val="auto"/>
              </w:rPr>
            </w:pPr>
            <w:r>
              <w:rPr>
                <w:rFonts w:ascii="Arial" w:cs="Arial" w:eastAsia="Arial" w:hAnsi="Arial"/>
                <w:sz w:val="18"/>
                <w:szCs w:val="18"/>
                <w:color w:val="auto"/>
              </w:rPr>
              <w:t>Equity to assets (GAAP)</w:t>
            </w: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vMerge w:val="continue"/>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40" w:type="dxa"/>
            <w:vAlign w:val="bottom"/>
            <w:shd w:val="clear" w:color="auto" w:fill="F0FFFF"/>
          </w:tcPr>
          <w:p>
            <w:pPr>
              <w:spacing w:after="0" w:line="198" w:lineRule="exact"/>
              <w:rPr>
                <w:sz w:val="20"/>
                <w:szCs w:val="20"/>
                <w:color w:val="auto"/>
              </w:rPr>
            </w:pPr>
            <w:r>
              <w:rPr>
                <w:rFonts w:ascii="Arial" w:cs="Arial" w:eastAsia="Arial" w:hAnsi="Arial"/>
                <w:sz w:val="18"/>
                <w:szCs w:val="18"/>
                <w:b w:val="1"/>
                <w:bCs w:val="1"/>
                <w:color w:val="auto"/>
              </w:rPr>
              <w:t>Tangible common equity to risk-weighted assets</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40" w:type="dxa"/>
            <w:vAlign w:val="bottom"/>
            <w:shd w:val="clear" w:color="auto" w:fill="F0FFFF"/>
          </w:tcPr>
          <w:p>
            <w:pPr>
              <w:ind w:left="140"/>
              <w:spacing w:after="0"/>
              <w:rPr>
                <w:sz w:val="20"/>
                <w:szCs w:val="20"/>
                <w:color w:val="auto"/>
              </w:rPr>
            </w:pPr>
            <w:r>
              <w:rPr>
                <w:rFonts w:ascii="Arial" w:cs="Arial" w:eastAsia="Arial" w:hAnsi="Arial"/>
                <w:sz w:val="18"/>
                <w:szCs w:val="18"/>
                <w:b w:val="1"/>
                <w:bCs w:val="1"/>
                <w:color w:val="auto"/>
              </w:rPr>
              <w:t>reconciliation</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Effect of other comprehensive income</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Effect of trust preferred</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Basel III intangibles transition adjustment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9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Basel III disallowed investments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Tier I capital ratio (Regulatory)</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11.32</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11.45</w:t>
            </w:r>
          </w:p>
        </w:tc>
        <w:tc>
          <w:tcPr>
            <w:tcW w:w="380" w:type="dxa"/>
            <w:vAlign w:val="bottom"/>
            <w:tcBorders>
              <w:top w:val="single" w:sz="8" w:color="F0FFFF"/>
              <w:bottom w:val="single" w:sz="8" w:color="F0FFFF"/>
            </w:tcBorders>
            <w:shd w:val="clear" w:color="auto" w:fill="F0FFFF"/>
          </w:tcPr>
          <w:p>
            <w:pPr>
              <w:jc w:val="right"/>
              <w:ind w:right="1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11.40</w:t>
            </w:r>
          </w:p>
        </w:tc>
        <w:tc>
          <w:tcPr>
            <w:tcW w:w="380" w:type="dxa"/>
            <w:vAlign w:val="bottom"/>
            <w:tcBorders>
              <w:top w:val="single" w:sz="8" w:color="F0FFFF"/>
              <w:bottom w:val="single" w:sz="8" w:color="F0FFFF"/>
            </w:tcBorders>
            <w:shd w:val="clear" w:color="auto" w:fill="F0FF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11.86</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11.53</w:t>
            </w:r>
          </w:p>
        </w:tc>
        <w:tc>
          <w:tcPr>
            <w:tcW w:w="16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44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gridSpan w:val="2"/>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Net Interest Revenue (Fully Taxable Equivalent)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its balance sheet to provide optimal levels of revenue while balancing interest rate, credit and liquidity risks. Taxable equivalent net interest revenue for the first quarter of 2016 was $75.2 million, up $17.6 million from the first quarter of 2015. The combination of the larger earning asset base from the acquisitions of Palmetto and MoneyTree, growth in the loan portfolio and lower interest costs on deposits and borrowed funds were responsible for the increase in net interest revenue. United continues to focus on loan and deposit pricing in an effort to maintain a steady level of net interest revenue. The acquisition of Palmetto on September 1, 2015 and MoneyTree on May 1, 2015 contributed to the increase as the acquired entities’ results are included in consolidated results beginning on the acquisition date.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loans increased $1.28 billion, or 27%, from the first quarter of last year, and the yield on loans increased one basis point, reflecting higher short-term interest rates on the floating-rate portion of United’s loan portfolio.</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Average interest-earning assets for the first quarter of 2016 increased $1.81 billion, or 26%, from the first quarter of 2015, which was due primarily to the increase in loans, including the acquisition of Palmetto and MoneyTree loans. Average investment securities for the first quarter of 2016 increased $515 million from a year ago, partially due to the Palmetto and MoneyTree acquisitions. The average yield on the taxable investment portfolio increased 14 basis points from a year ago, partially due to the impact of higher short-term interest rates on the floating rate portion of United’s securities portfolio.</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Average interest-bearing liabilities of $6.25 billion for the first quarter of 2016 increased $1.10 billion from the first quarter of 2015. Average noninterest bearing deposits increased $626 million from the first quarter of 2015 to $2.25 billion for the first quarter of 2016. The average cost of interest-bearing liabilities for the first quarter of 2016 was .37% compared to .42% for the same period of 2015, reflecting United’s concerted efforts to reduce its cost of funds and Palmetto’s attractive deposit mix. In 2015, United redeemed $49.2 million in higher-rate trust preferred securities, with rates ranging from 8.125% to 11.295%. In the third quarter of 2015, United issued $50 million aggregate principal amount of 5.00% Senior Fixed to Floating Rate Notes due February 14, 2022 and $35 million aggregate principal amount of 5.50% Senior Fixed to Floating Rate Notes due February 14, 2027. Also contributing to the overall lower rate on interest-bearing liabilities was a shift in the mix of deposits away from more expensive time deposits toward lower-rate transaction deposits.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quarters of 2016 and 2015, the net interest spread was 3.30% and 3.18%, respectively, while the net interest margin was 3.41% and 3.31%, respectively. The increase in both ratios reflects the impact of higher short-term interest rates on floating-rate loans and securities, while deposit pricing remained flat. Additionally, United was able to improve its overall yield on interest earning assets through growth in the loan portfolio. Likewise, United was able to lower its overall cost of funds by increasing non-interest bearing and other low cost deposits.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periods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Avg.</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2"/>
              </w:rPr>
              <w:t>Average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Avg.</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00" w:type="dxa"/>
            <w:vAlign w:val="bottom"/>
          </w:tcPr>
          <w:p>
            <w:pPr>
              <w:ind w:left="260"/>
              <w:spacing w:after="0"/>
              <w:rPr>
                <w:sz w:val="20"/>
                <w:szCs w:val="20"/>
                <w:color w:val="auto"/>
              </w:rPr>
            </w:pPr>
            <w:r>
              <w:rPr>
                <w:rFonts w:ascii="Arial" w:cs="Arial" w:eastAsia="Arial" w:hAnsi="Arial"/>
                <w:sz w:val="18"/>
                <w:szCs w:val="18"/>
                <w:i w:val="1"/>
                <w:iCs w:val="1"/>
                <w:color w:val="auto"/>
                <w:w w:val="99"/>
              </w:rPr>
              <w:t>(dollars in thousands, fully taxable equivalent)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Interest</w:t>
            </w:r>
          </w:p>
        </w:tc>
        <w:tc>
          <w:tcPr>
            <w:tcW w:w="11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Interest</w:t>
            </w:r>
          </w:p>
        </w:tc>
        <w:tc>
          <w:tcPr>
            <w:tcW w:w="10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9"/>
                <w:szCs w:val="29"/>
                <w:color w:val="auto"/>
                <w:vertAlign w:val="superscript"/>
              </w:rPr>
              <w:t>(1)(2)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6,003,568</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64,044</w:t>
            </w:r>
          </w:p>
        </w:tc>
        <w:tc>
          <w:tcPr>
            <w:tcW w:w="12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4,725,304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49,865</w:t>
            </w:r>
          </w:p>
        </w:tc>
        <w:tc>
          <w:tcPr>
            <w:tcW w:w="120" w:type="dxa"/>
            <w:vAlign w:val="bottom"/>
            <w:shd w:val="clear" w:color="auto" w:fill="F0FFFF"/>
          </w:tcPr>
          <w:p>
            <w:pPr>
              <w:spacing w:after="0"/>
              <w:rPr>
                <w:sz w:val="22"/>
                <w:szCs w:val="22"/>
                <w:color w:val="auto"/>
              </w:rPr>
            </w:pPr>
          </w:p>
        </w:tc>
        <w:tc>
          <w:tcPr>
            <w:tcW w:w="106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57"/>
        </w:trPr>
        <w:tc>
          <w:tcPr>
            <w:tcW w:w="39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2,688,564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22"/>
                <w:szCs w:val="22"/>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2,186,756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11,900</w:t>
            </w: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(1)(3)</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29,744</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16,236</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F0FFFF"/>
          </w:tcPr>
          <w:p>
            <w:pPr>
              <w:spacing w:after="0"/>
              <w:rPr>
                <w:sz w:val="22"/>
                <w:szCs w:val="22"/>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60"/>
              <w:spacing w:after="0"/>
              <w:rPr>
                <w:sz w:val="20"/>
                <w:szCs w:val="20"/>
                <w:color w:val="auto"/>
              </w:rPr>
            </w:pPr>
            <w:r>
              <w:rPr>
                <w:rFonts w:ascii="Arial" w:cs="Arial" w:eastAsia="Arial" w:hAnsi="Arial"/>
                <w:sz w:val="18"/>
                <w:szCs w:val="18"/>
                <w:color w:val="auto"/>
                <w:w w:val="89"/>
              </w:rPr>
              <w:t>Federal funds sold and other interest-earning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153,759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141,414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8,875,635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80,991</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100" w:type="dxa"/>
            <w:vAlign w:val="bottom"/>
            <w:tcBorders>
              <w:top w:val="single" w:sz="8" w:color="F0FFFF"/>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3.67</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7,069,710</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62,909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2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8"/>
                <w:szCs w:val="18"/>
                <w:color w:val="auto"/>
              </w:rPr>
              <w:t>Non-interest-earning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(68,473)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(72,192)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85,635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79,025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Premises and equipment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180,090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159,502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561,261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381,300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390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9,634,148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0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7,617,345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NOW</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1,886,472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1,475,913</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1,840,584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1,466,913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480,238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.02</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300,344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2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1,259,689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1,231,705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Brokered time deposits</w:t>
            </w:r>
          </w:p>
        </w:tc>
        <w:tc>
          <w:tcPr>
            <w:tcW w:w="1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233,213</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(.30)</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273,327</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F0FFFF"/>
          </w:tcPr>
          <w:p>
            <w:pPr>
              <w:spacing w:after="0"/>
              <w:rPr>
                <w:sz w:val="20"/>
                <w:szCs w:val="20"/>
                <w:color w:val="auto"/>
              </w:rPr>
            </w:pPr>
          </w:p>
        </w:tc>
        <w:tc>
          <w:tcPr>
            <w:tcW w:w="10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3900" w:type="dxa"/>
            <w:vAlign w:val="bottom"/>
            <w:tcBorders>
              <w:top w:val="single" w:sz="8" w:color="F0FFFF"/>
              <w:bottom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interest-bearing deposits</w:t>
            </w:r>
          </w:p>
        </w:tc>
        <w:tc>
          <w:tcPr>
            <w:tcW w:w="12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5,700,196</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2,264</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100" w:type="dxa"/>
            <w:vAlign w:val="bottom"/>
            <w:tcBorders>
              <w:top w:val="single" w:sz="8" w:color="F0FFFF"/>
              <w:bottom w:val="single" w:sz="8" w:color="F0FFFF"/>
            </w:tcBorders>
            <w:gridSpan w:val="2"/>
          </w:tcPr>
          <w:p>
            <w:pPr>
              <w:jc w:val="right"/>
              <w:ind w:right="110"/>
              <w:spacing w:after="0" w:line="203" w:lineRule="exact"/>
              <w:rPr>
                <w:sz w:val="20"/>
                <w:szCs w:val="20"/>
                <w:color w:val="auto"/>
              </w:rPr>
            </w:pPr>
            <w:r>
              <w:rPr>
                <w:rFonts w:ascii="Arial" w:cs="Arial" w:eastAsia="Arial" w:hAnsi="Arial"/>
                <w:sz w:val="18"/>
                <w:szCs w:val="18"/>
                <w:color w:val="auto"/>
              </w:rPr>
              <w:t>.16</w:t>
            </w:r>
          </w:p>
        </w:tc>
        <w:tc>
          <w:tcPr>
            <w:tcW w:w="6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4,748,202</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2,196</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920" w:type="dxa"/>
            <w:vAlign w:val="bottom"/>
            <w:tcBorders>
              <w:top w:val="single" w:sz="8" w:color="F0FFFF"/>
              <w:bottom w:val="single" w:sz="8" w:color="F0FFFF"/>
            </w:tcBorders>
            <w:gridSpan w:val="2"/>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320"/>
              <w:spacing w:after="0"/>
              <w:rPr>
                <w:sz w:val="20"/>
                <w:szCs w:val="20"/>
                <w:color w:val="auto"/>
              </w:rPr>
            </w:pPr>
            <w:r>
              <w:rPr>
                <w:rFonts w:ascii="Arial" w:cs="Arial" w:eastAsia="Arial" w:hAnsi="Arial"/>
                <w:sz w:val="18"/>
                <w:szCs w:val="18"/>
                <w:color w:val="auto"/>
                <w:w w:val="95"/>
              </w:rPr>
              <w:t>Federal funds purchased and other borrowings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34,906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36,145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346,169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239,181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165,419</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2,685</w:t>
            </w:r>
          </w:p>
        </w:tc>
        <w:tc>
          <w:tcPr>
            <w:tcW w:w="12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6.53</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127,740</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8.27</w:t>
            </w:r>
          </w:p>
        </w:tc>
        <w:tc>
          <w:tcPr>
            <w:tcW w:w="14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F0FFFF"/>
              <w:bottom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borrowed funds</w:t>
            </w:r>
          </w:p>
        </w:tc>
        <w:tc>
          <w:tcPr>
            <w:tcW w:w="12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546,494</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3,505</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100" w:type="dxa"/>
            <w:vAlign w:val="bottom"/>
            <w:tcBorders>
              <w:top w:val="single" w:sz="8" w:color="F0FFFF"/>
              <w:bottom w:val="single" w:sz="8" w:color="F0FFFF"/>
            </w:tcBorders>
            <w:gridSpan w:val="2"/>
          </w:tcPr>
          <w:p>
            <w:pPr>
              <w:jc w:val="right"/>
              <w:ind w:right="110"/>
              <w:spacing w:after="0" w:line="203" w:lineRule="exact"/>
              <w:rPr>
                <w:sz w:val="20"/>
                <w:szCs w:val="20"/>
                <w:color w:val="auto"/>
              </w:rPr>
            </w:pPr>
            <w:r>
              <w:rPr>
                <w:rFonts w:ascii="Arial" w:cs="Arial" w:eastAsia="Arial" w:hAnsi="Arial"/>
                <w:sz w:val="18"/>
                <w:szCs w:val="18"/>
                <w:color w:val="auto"/>
              </w:rPr>
              <w:t>2.58</w:t>
            </w:r>
          </w:p>
        </w:tc>
        <w:tc>
          <w:tcPr>
            <w:tcW w:w="6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403,066</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3,096</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920" w:type="dxa"/>
            <w:vAlign w:val="bottom"/>
            <w:tcBorders>
              <w:top w:val="single" w:sz="8" w:color="F0FFFF"/>
              <w:bottom w:val="single" w:sz="8" w:color="F0FFFF"/>
            </w:tcBorders>
            <w:gridSpan w:val="2"/>
          </w:tcPr>
          <w:p>
            <w:pPr>
              <w:jc w:val="right"/>
              <w:spacing w:after="0" w:line="203" w:lineRule="exact"/>
              <w:rPr>
                <w:sz w:val="20"/>
                <w:szCs w:val="20"/>
                <w:color w:val="auto"/>
              </w:rPr>
            </w:pPr>
            <w:r>
              <w:rPr>
                <w:rFonts w:ascii="Arial" w:cs="Arial" w:eastAsia="Arial" w:hAnsi="Arial"/>
                <w:sz w:val="18"/>
                <w:szCs w:val="18"/>
                <w:color w:val="auto"/>
              </w:rPr>
              <w:t>3.12</w:t>
            </w:r>
          </w:p>
        </w:tc>
        <w:tc>
          <w:tcPr>
            <w:tcW w:w="14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6,246,690</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5,769</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5,151,268</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Arial" w:cs="Arial" w:eastAsia="Arial" w:hAnsi="Arial"/>
                <w:sz w:val="18"/>
                <w:szCs w:val="18"/>
                <w:color w:val="auto"/>
              </w:rPr>
              <w:t>Non-interest-bearing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2,247,041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1,620,984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107,320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94,207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8,601,051</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6,866,459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1,033,097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750,886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9,634,148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0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7,617,345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6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line="203" w:lineRule="exact"/>
              <w:rPr>
                <w:sz w:val="20"/>
                <w:szCs w:val="20"/>
                <w:color w:val="auto"/>
              </w:rPr>
            </w:pPr>
            <w:r>
              <w:rPr>
                <w:rFonts w:ascii="Arial" w:cs="Arial" w:eastAsia="Arial" w:hAnsi="Arial"/>
                <w:sz w:val="18"/>
                <w:szCs w:val="18"/>
                <w:b w:val="1"/>
                <w:bCs w:val="1"/>
                <w:color w:val="auto"/>
              </w:rPr>
              <w:t>Net interest revenue</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F0FFFF"/>
            </w:tcBorders>
            <w:gridSpan w:val="2"/>
            <w:vMerge w:val="restart"/>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F0FFFF"/>
              <w:bottom w:val="single" w:sz="8" w:color="F0FFFF"/>
            </w:tcBorders>
            <w:gridSpan w:val="2"/>
            <w:vMerge w:val="restart"/>
          </w:tcPr>
          <w:p>
            <w:pPr>
              <w:jc w:val="right"/>
              <w:ind w:right="220"/>
              <w:spacing w:after="0" w:line="203" w:lineRule="exact"/>
              <w:rPr>
                <w:sz w:val="20"/>
                <w:szCs w:val="20"/>
                <w:color w:val="auto"/>
              </w:rPr>
            </w:pPr>
            <w:r>
              <w:rPr>
                <w:rFonts w:ascii="Arial" w:cs="Arial" w:eastAsia="Arial" w:hAnsi="Arial"/>
                <w:sz w:val="18"/>
                <w:szCs w:val="18"/>
                <w:color w:val="auto"/>
              </w:rPr>
              <w:t>75,222</w:t>
            </w:r>
          </w:p>
        </w:tc>
        <w:tc>
          <w:tcPr>
            <w:tcW w:w="120" w:type="dxa"/>
            <w:vAlign w:val="bottom"/>
            <w:tcBorders>
              <w:top w:val="single" w:sz="8" w:color="F0FFFF"/>
              <w:bottom w:val="single" w:sz="8" w:color="F0FFFF"/>
            </w:tcBorders>
            <w:vMerge w:val="restart"/>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F0FFFF"/>
            </w:tcBorders>
            <w:gridSpan w:val="2"/>
            <w:vMerge w:val="restart"/>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F0FFFF"/>
              <w:bottom w:val="single" w:sz="8" w:color="F0FFFF"/>
            </w:tcBorders>
            <w:gridSpan w:val="2"/>
            <w:vMerge w:val="restart"/>
          </w:tcPr>
          <w:p>
            <w:pPr>
              <w:jc w:val="right"/>
              <w:ind w:right="220"/>
              <w:spacing w:after="0" w:line="203" w:lineRule="exact"/>
              <w:rPr>
                <w:sz w:val="20"/>
                <w:szCs w:val="20"/>
                <w:color w:val="auto"/>
              </w:rPr>
            </w:pPr>
            <w:r>
              <w:rPr>
                <w:rFonts w:ascii="Arial" w:cs="Arial" w:eastAsia="Arial" w:hAnsi="Arial"/>
                <w:sz w:val="18"/>
                <w:szCs w:val="18"/>
                <w:color w:val="auto"/>
              </w:rPr>
              <w:t>57,617</w:t>
            </w:r>
          </w:p>
        </w:tc>
        <w:tc>
          <w:tcPr>
            <w:tcW w:w="120" w:type="dxa"/>
            <w:vAlign w:val="bottom"/>
            <w:tcBorders>
              <w:top w:val="single" w:sz="8" w:color="F0FFFF"/>
              <w:bottom w:val="single" w:sz="8" w:color="F0FFFF"/>
            </w:tcBorders>
            <w:vMerge w:val="restart"/>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F0FFFF"/>
          </w:tcPr>
          <w:p>
            <w:pPr>
              <w:spacing w:after="0" w:line="196" w:lineRule="exact"/>
              <w:rPr>
                <w:sz w:val="20"/>
                <w:szCs w:val="20"/>
                <w:color w:val="auto"/>
              </w:rPr>
            </w:pPr>
            <w:r>
              <w:rPr>
                <w:rFonts w:ascii="Arial" w:cs="Arial" w:eastAsia="Arial" w:hAnsi="Arial"/>
                <w:sz w:val="18"/>
                <w:szCs w:val="18"/>
                <w:color w:val="auto"/>
              </w:rPr>
              <w:t>Net interest-rate spread</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spacing w:after="0" w:line="196" w:lineRule="exact"/>
              <w:rPr>
                <w:sz w:val="20"/>
                <w:szCs w:val="20"/>
                <w:color w:val="auto"/>
              </w:rPr>
            </w:pPr>
            <w:r>
              <w:rPr>
                <w:rFonts w:ascii="Arial" w:cs="Arial" w:eastAsia="Arial" w:hAnsi="Arial"/>
                <w:sz w:val="18"/>
                <w:szCs w:val="18"/>
                <w:color w:val="auto"/>
              </w:rPr>
              <w:t>3.30%</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60" w:type="dxa"/>
            <w:vAlign w:val="bottom"/>
            <w:gridSpan w:val="3"/>
            <w:shd w:val="clear" w:color="auto" w:fill="F0FFFF"/>
          </w:tcPr>
          <w:p>
            <w:pPr>
              <w:jc w:val="right"/>
              <w:ind w:right="20"/>
              <w:spacing w:after="0" w:line="196" w:lineRule="exact"/>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3900" w:type="dxa"/>
            <w:vAlign w:val="bottom"/>
            <w:tcBorders>
              <w:top w:val="single" w:sz="8" w:color="F0FFFF"/>
              <w:bottom w:val="single" w:sz="8" w:color="F0FFFF"/>
            </w:tcBorders>
            <w:vMerge w:val="restart"/>
          </w:tcPr>
          <w:p>
            <w:pPr>
              <w:spacing w:after="0" w:line="264"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30"/>
                <w:szCs w:val="30"/>
                <w:color w:val="auto"/>
                <w:vertAlign w:val="superscript"/>
              </w:rPr>
              <w:t>(4)</w:t>
            </w: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right="60" w:hanging="332"/>
        <w:spacing w:after="0" w:line="187"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$2.20 million in 2016 and pretax unrealized gains of $10.8 million in 2015 are included in other assets for purposes of this presentation.</w:t>
      </w:r>
    </w:p>
    <w:p>
      <w:pPr>
        <w:ind w:left="340" w:hanging="332"/>
        <w:spacing w:after="0" w:line="18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left="1720" w:right="3480"/>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92"/>
              </w:rPr>
              <w:t>Three Months Ended March 31, 2016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Compared to 2015</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Volume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Rate</w:t>
            </w: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13,630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20"/>
                <w:szCs w:val="20"/>
                <w:color w:val="auto"/>
              </w:rPr>
            </w:pPr>
            <w:r>
              <w:rPr>
                <w:rFonts w:ascii="Arial" w:cs="Arial" w:eastAsia="Arial" w:hAnsi="Arial"/>
                <w:sz w:val="18"/>
                <w:szCs w:val="18"/>
                <w:color w:val="auto"/>
              </w:rPr>
              <w:t>Taxable securities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3,722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Tax-exempt securities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sold and other interest-earning</w:t>
            </w:r>
          </w:p>
        </w:tc>
        <w:tc>
          <w:tcPr>
            <w:tcW w:w="220" w:type="dxa"/>
            <w:vAlign w:val="bottom"/>
            <w:shd w:val="clear" w:color="auto" w:fill="F0FFFF"/>
          </w:tcPr>
          <w:p>
            <w:pPr>
              <w:spacing w:after="0"/>
              <w:rPr>
                <w:sz w:val="17"/>
                <w:szCs w:val="17"/>
                <w:color w:val="auto"/>
              </w:rPr>
            </w:pPr>
          </w:p>
        </w:tc>
        <w:tc>
          <w:tcPr>
            <w:tcW w:w="10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60" w:type="dxa"/>
            <w:vAlign w:val="bottom"/>
            <w:gridSpan w:val="2"/>
            <w:vMerge w:val="restart"/>
            <w:shd w:val="clear" w:color="auto" w:fill="F0FFFF"/>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F0FFFF"/>
          </w:tcPr>
          <w:p>
            <w:pPr>
              <w:spacing w:after="0"/>
              <w:rPr>
                <w:sz w:val="20"/>
                <w:szCs w:val="20"/>
                <w:color w:val="auto"/>
              </w:rPr>
            </w:pPr>
          </w:p>
        </w:tc>
        <w:tc>
          <w:tcPr>
            <w:tcW w:w="1040" w:type="dxa"/>
            <w:vAlign w:val="bottom"/>
            <w:vMerge w:val="continue"/>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00" w:type="dxa"/>
            <w:vAlign w:val="bottom"/>
            <w:vMerge w:val="continue"/>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60" w:type="dxa"/>
            <w:vAlign w:val="bottom"/>
            <w:gridSpan w:val="2"/>
            <w:vMerge w:val="continue"/>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b w:val="1"/>
                <w:bCs w:val="1"/>
                <w:color w:val="auto"/>
              </w:rPr>
              <w:t>Total interest-earning assets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16,740</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w:t>
            </w:r>
          </w:p>
        </w:tc>
        <w:tc>
          <w:tcPr>
            <w:tcW w:w="18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18,082</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Savings deposits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F0FFFF"/>
          </w:tcPr>
          <w:p>
            <w:pPr>
              <w:spacing w:after="0"/>
              <w:rPr>
                <w:sz w:val="18"/>
                <w:szCs w:val="18"/>
                <w:color w:val="auto"/>
              </w:rPr>
            </w:pPr>
          </w:p>
        </w:tc>
        <w:tc>
          <w:tcPr>
            <w:tcW w:w="11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Brokered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Arial" w:cs="Arial" w:eastAsia="Arial" w:hAnsi="Arial"/>
                <w:sz w:val="18"/>
                <w:szCs w:val="18"/>
                <w:color w:val="auto"/>
              </w:rPr>
              <w:t>Federal funds purchased &amp; other borrowings</w:t>
            </w:r>
          </w:p>
        </w:tc>
        <w:tc>
          <w:tcPr>
            <w:tcW w:w="220" w:type="dxa"/>
            <w:vAlign w:val="bottom"/>
          </w:tcPr>
          <w:p>
            <w:pPr>
              <w:spacing w:after="0"/>
              <w:rPr>
                <w:sz w:val="17"/>
                <w:szCs w:val="17"/>
                <w:color w:val="auto"/>
              </w:rPr>
            </w:pPr>
          </w:p>
        </w:tc>
        <w:tc>
          <w:tcPr>
            <w:tcW w:w="1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borrowed funds</w:t>
            </w: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Borders>
              <w:top w:val="single" w:sz="8" w:color="F0FFFF"/>
              <w:bottom w:val="single" w:sz="8" w:color="F0FFFF"/>
            </w:tcBorders>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F0FFFF"/>
            </w:tcBorders>
          </w:tcPr>
          <w:p>
            <w:pPr>
              <w:ind w:left="320"/>
              <w:spacing w:after="0" w:line="203" w:lineRule="exact"/>
              <w:rPr>
                <w:sz w:val="20"/>
                <w:szCs w:val="20"/>
                <w:color w:val="auto"/>
              </w:rPr>
            </w:pPr>
            <w:r>
              <w:rPr>
                <w:rFonts w:ascii="Arial" w:cs="Arial" w:eastAsia="Arial" w:hAnsi="Arial"/>
                <w:sz w:val="18"/>
                <w:szCs w:val="18"/>
                <w:b w:val="1"/>
                <w:bCs w:val="1"/>
                <w:color w:val="auto"/>
              </w:rPr>
              <w:t>Total interest-bearing liabilities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1,259</w:t>
            </w:r>
          </w:p>
        </w:tc>
        <w:tc>
          <w:tcPr>
            <w:tcW w:w="100" w:type="dxa"/>
            <w:vAlign w:val="bottom"/>
            <w:tcBorders>
              <w:bottom w:val="single" w:sz="8" w:color="F0FFFF"/>
            </w:tcBorders>
          </w:tcPr>
          <w:p>
            <w:pPr>
              <w:spacing w:after="0"/>
              <w:rPr>
                <w:sz w:val="18"/>
                <w:szCs w:val="18"/>
                <w:color w:val="auto"/>
              </w:rPr>
            </w:pPr>
          </w:p>
        </w:tc>
        <w:tc>
          <w:tcPr>
            <w:tcW w:w="100" w:type="dxa"/>
            <w:vAlign w:val="bottom"/>
            <w:tcBorders>
              <w:bottom w:val="single" w:sz="8" w:color="F0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(782</w:t>
            </w:r>
          </w:p>
        </w:tc>
        <w:tc>
          <w:tcPr>
            <w:tcW w:w="180" w:type="dxa"/>
            <w:vAlign w:val="bottom"/>
            <w:tcBorders>
              <w:bottom w:val="single" w:sz="8" w:color="F0FFFF"/>
            </w:tcBorders>
          </w:tcPr>
          <w:p>
            <w:pPr>
              <w:jc w:val="right"/>
              <w:ind w:right="4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w:t>
            </w:r>
          </w:p>
        </w:tc>
        <w:tc>
          <w:tcPr>
            <w:tcW w:w="20" w:type="dxa"/>
            <w:vAlign w:val="bottom"/>
            <w:tcBorders>
              <w:bottom w:val="single" w:sz="8" w:color="F0FFFF"/>
            </w:tcBorders>
          </w:tcPr>
          <w:p>
            <w:pPr>
              <w:spacing w:after="0"/>
              <w:rPr>
                <w:sz w:val="18"/>
                <w:szCs w:val="18"/>
                <w:color w:val="auto"/>
              </w:rPr>
            </w:pPr>
          </w:p>
        </w:tc>
        <w:tc>
          <w:tcPr>
            <w:tcW w:w="8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60"/>
              <w:spacing w:after="0"/>
              <w:rPr>
                <w:sz w:val="20"/>
                <w:szCs w:val="20"/>
                <w:color w:val="auto"/>
              </w:rPr>
            </w:pPr>
            <w:r>
              <w:rPr>
                <w:rFonts w:ascii="Arial" w:cs="Arial" w:eastAsia="Arial" w:hAnsi="Arial"/>
                <w:sz w:val="18"/>
                <w:szCs w:val="18"/>
                <w:b w:val="1"/>
                <w:bCs w:val="1"/>
                <w:color w:val="auto"/>
              </w:rPr>
              <w:t>Increase in net interest 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15,481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corresponding analysis of the allowance for credit losses at quarter-end. The provision for credit losses was negative $200,000 for the first quarter of 2016, compared to $300,000 in the fourth quarter of 2015 and $1.80 million for the first quarter of 2015. The amount of provision recorded in each period was the amount required such that the total allowance for loan losses reflected the appropriate balance, in the estimation of management, sufficient to cover incurred losses in the loan portfolio. The first quarter 2016 negative loan loss provision was partially due to the overall improvement in a number of troubled debt restructurings (“TDRs”) as well as continued strong credit quality and a low overall level of net charge-offs. For the three months ended March 31, 2016, net loan charge-offs as an annualized percentage of average outstanding loans were .14% compared to .22% for the same period in 2015.</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49.</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for the three months ended March 31, 2016 was $18.6 million, an increase of $2.92 million, or 19%, compared to the first quarter of 2015. The following table presents the components of fee revenue for the first quarters of 2016 and 2015.</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9"/>
              </w:rPr>
              <w:t>Change</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92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3,393</w:t>
            </w:r>
          </w:p>
        </w:tc>
        <w:tc>
          <w:tcPr>
            <w:tcW w:w="62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w:t>
            </w:r>
          </w:p>
        </w:tc>
        <w:tc>
          <w:tcPr>
            <w:tcW w:w="24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service charges and fees</w:t>
            </w:r>
          </w:p>
        </w:tc>
        <w:tc>
          <w:tcPr>
            <w:tcW w:w="64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1,760</w:t>
            </w:r>
          </w:p>
        </w:tc>
        <w:tc>
          <w:tcPr>
            <w:tcW w:w="24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line="203" w:lineRule="exact"/>
              <w:rPr>
                <w:sz w:val="20"/>
                <w:szCs w:val="20"/>
                <w:color w:val="auto"/>
              </w:rPr>
            </w:pPr>
            <w:r>
              <w:rPr>
                <w:rFonts w:ascii="Arial" w:cs="Arial" w:eastAsia="Arial" w:hAnsi="Arial"/>
                <w:sz w:val="18"/>
                <w:szCs w:val="18"/>
                <w:color w:val="auto"/>
              </w:rPr>
              <w:t>Service charges and fees</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10,126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7,615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2,511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Mortgage loan and related fees</w:t>
            </w:r>
          </w:p>
        </w:tc>
        <w:tc>
          <w:tcPr>
            <w:tcW w:w="6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3,289</w:t>
            </w: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2,755</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Brokerage fees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Gains on sales of government guaranteed loans</w:t>
            </w:r>
          </w:p>
        </w:tc>
        <w:tc>
          <w:tcPr>
            <w:tcW w:w="6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1,237</w:t>
            </w: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Customer derivatives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6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1,539</w:t>
            </w:r>
          </w:p>
        </w:tc>
        <w:tc>
          <w:tcPr>
            <w:tcW w:w="2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(1,160)</w:t>
            </w:r>
          </w:p>
        </w:tc>
        <w:tc>
          <w:tcPr>
            <w:tcW w:w="2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Losses from prepayment of debt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1,767</w:t>
            </w:r>
          </w:p>
        </w:tc>
        <w:tc>
          <w:tcPr>
            <w:tcW w:w="24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1,756</w:t>
            </w:r>
          </w:p>
        </w:tc>
        <w:tc>
          <w:tcPr>
            <w:tcW w:w="24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line="203" w:lineRule="exact"/>
              <w:rPr>
                <w:sz w:val="20"/>
                <w:szCs w:val="20"/>
                <w:color w:val="auto"/>
              </w:rPr>
            </w:pPr>
            <w:r>
              <w:rPr>
                <w:rFonts w:ascii="Arial" w:cs="Arial" w:eastAsia="Arial" w:hAnsi="Arial"/>
                <w:sz w:val="18"/>
                <w:szCs w:val="18"/>
                <w:color w:val="auto"/>
              </w:rPr>
              <w:t>Total fee revenue</w:t>
            </w:r>
          </w:p>
        </w:tc>
        <w:tc>
          <w:tcPr>
            <w:tcW w:w="640" w:type="dxa"/>
            <w:vAlign w:val="bottom"/>
          </w:tcPr>
          <w:p>
            <w:pPr>
              <w:spacing w:after="0"/>
              <w:rPr>
                <w:sz w:val="17"/>
                <w:szCs w:val="17"/>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18,606</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15,682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and fees of $10.1 million for the first quarter of 2016 were up $2.51 million, or 33%, from the first quarter of 2015. Overdraft fees, ATM and debit card fees, and other service charges and fees increased year over year based on increased deposit balances driven by the 2015 acquisitions of Palmetto and MoneyTree.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Mortgage loan and related fees for the first quarter of 2016 were up $534,000, or 19%, from the same period in 2015. The increase reflects United’s focus on growing the mortgage business by recruiting new mortgage lenders in key metropolitan markets and an increase in refinancing activity. In the first quarter of 2016, United closed 650 loans totaling $147 million compared with 473 loans totaling $87.9 million in the first quarter of 2015. United had $81.0 million in home purchase mortgage originations in the first quarter of 2016, compared with $41.5 million for the same period a year ago. The volume of home purchase mortgages in the first quarter of 2016 was 55% compared with 47% in the first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Brokerage fees in the first quarter of 2016 were down $498,000, or 32%, from the first quarter of 2015, reflecting weak market activity.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2016, United realized $1.24 million in gains from the sales of the guaranteed portion of Small Business Administration (“SBA”) and United States Department of Agriculture (“USDA”) loans, compared to $1.14 million in first quarter 2015. United’s SBA/USDA lending strategy includes selling a portion of the loan production each quarter. United retains the servicing rights on the sold loans and earns a fee for servicing the loans. In each of the first quarters of 2016 and 2015, United sold the guaranteed portion of loans in the amount of $13.0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derivative fees were up $392,000 from the first quarter of 2015 due to an increase in customer demand for this product as commercial customers sought to lock in low fixed rates on their loans.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realized net securities gains of $379,000 in the first quarter of 2016 compared with securities gains of $1.54 million in the first quarter of 2015. In the first quarter of 2015, United incurred $1.04 million in charges from the prepayment of $6 million in structured repurchase agreements that paid interest at a rate of 4% and $15 million in trust preferred securities that paid interest at an average rate in excess of 11%. The securities gains and prepayment charges in 2015 were mostly offsetting and were part of the same overall balance sheet management activities that were intended to lower the overall cost of wholesale borrowings going forward.</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months ended March 31, 2016 and 2015.</w:t>
      </w:r>
    </w:p>
    <w:p>
      <w:pPr>
        <w:spacing w:after="0" w:line="200" w:lineRule="exact"/>
        <w:rPr>
          <w:sz w:val="20"/>
          <w:szCs w:val="20"/>
          <w:color w:val="auto"/>
        </w:rPr>
      </w:pP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9"/>
              </w:rPr>
              <w:t>Change</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Percent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w:t>
            </w:r>
          </w:p>
        </w:tc>
        <w:tc>
          <w:tcPr>
            <w:tcW w:w="78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33,062</w:t>
            </w:r>
          </w:p>
        </w:tc>
        <w:tc>
          <w:tcPr>
            <w:tcW w:w="60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26,446</w:t>
            </w:r>
          </w:p>
        </w:tc>
        <w:tc>
          <w:tcPr>
            <w:tcW w:w="40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6,616</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5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4,723</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3,278</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1,445</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Postage, printing and supplies</w:t>
            </w:r>
          </w:p>
        </w:tc>
        <w:tc>
          <w:tcPr>
            <w:tcW w:w="5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1,280</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FDIC assessments and other regulatory charges</w:t>
            </w:r>
          </w:p>
        </w:tc>
        <w:tc>
          <w:tcPr>
            <w:tcW w:w="5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5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2,653</w:t>
            </w:r>
          </w:p>
        </w:tc>
        <w:tc>
          <w:tcPr>
            <w:tcW w:w="2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2,653</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22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00" w:type="dxa"/>
            <w:vAlign w:val="bottom"/>
            <w:tcBorders>
              <w:bottom w:val="single" w:sz="8" w:color="F0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bottom w:val="single" w:sz="8" w:color="F0FFFF"/>
            </w:tcBorders>
          </w:tcPr>
          <w:p>
            <w:pPr>
              <w:spacing w:after="0"/>
              <w:rPr>
                <w:sz w:val="19"/>
                <w:szCs w:val="19"/>
                <w:color w:val="auto"/>
              </w:rPr>
            </w:pPr>
          </w:p>
        </w:tc>
        <w:tc>
          <w:tcPr>
            <w:tcW w:w="260" w:type="dxa"/>
            <w:vAlign w:val="bottom"/>
            <w:tcBorders>
              <w:bottom w:val="single" w:sz="8" w:color="F0FFFF"/>
            </w:tcBorders>
          </w:tcPr>
          <w:p>
            <w:pPr>
              <w:spacing w:after="0"/>
              <w:rPr>
                <w:sz w:val="19"/>
                <w:szCs w:val="19"/>
                <w:color w:val="auto"/>
              </w:rPr>
            </w:pPr>
          </w:p>
        </w:tc>
        <w:tc>
          <w:tcPr>
            <w:tcW w:w="100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57,885</w:t>
            </w:r>
          </w:p>
        </w:tc>
        <w:tc>
          <w:tcPr>
            <w:tcW w:w="22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auto"/>
            </w:tcBorders>
            <w:shd w:val="clear" w:color="auto" w:fill="F0FF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43,061</w:t>
            </w:r>
          </w:p>
        </w:tc>
        <w:tc>
          <w:tcPr>
            <w:tcW w:w="2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14,824</w:t>
            </w:r>
          </w:p>
        </w:tc>
        <w:tc>
          <w:tcPr>
            <w:tcW w:w="2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for the first quarter of 2016 totaled $57.9 million, up $14.8 million, or 34%, from the first quarter of 2015. The increase mostly reflects the inclusion of the operating expenses of the two banks acquired in 2015, higher salaries and employee benefits expense resulting from investing in specialized lending areas and other strategic hiring and merger-related charges.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employee benefits for the first quarter of 2016 were $33.1 million, up $6.62 million, or 25%, from the first quarter of 2015. The increase was due to a number of factors including investments in additional staff and new teams to expand specialized lending and new talent in other key areas and additional staff resulting from the Palmetto and MoneyTree acquisitions. Full time equivalent headcount totaled 1,876 at March 31, 2016, up 354 from 1,522 at March 31, 2015.</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for the first quarter of 2016 of $2.70 million were up $781,000, or 41%, from the first quarter of 2015. The increase was due primarily to ongoing projects in anticipation of being regulated as a large financial institution in the event United’s total assets exceed $10 billion.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Merger-related charges in first quarter 2016 of $2.65 million mostly related to the Palmetto acquisition and consisted primarily of severance, conversion costs, and legal and professional fees.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of $5.78 million for the first quarter of 2016 increased $771,000, or 15%, from the first quarter of 2015. The increase from the first quarter of 2015 was primarily due to higher lending support costs due to increased lending activity, higher ATM and internet banking costs due to higher volume, and higher servicing costs on United’s indirect auto loan portfolio due to growth in that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tax provision for the three months ended March 31, 2016 and 2015 was $13.6 million and $10.4 million, respectively, which represents effective tax rates of 37.9% and 37.0%, respectively. At March 31, 2016 and December 31, 2015, United maintained a valuation allowance on its net deferred tax asset of $4.42 million and $4.28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March 31, 2016. Based on the assessment of all the positive and negative evidence, management concluded that it is more likely than not that nearly all of its net deferred tax asset will be realized based upon future taxable income. The remaining valuation allowance of $4.42 million is related to specific state income tax credits that have short carryforward periods and are expected to expire unused.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March 31, 2016 that it was more likely than not that United’s net deferred tax asset of $180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2012. Although United is unable to determine the ultimate outcome of future examinations, United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2016 and December 31, 2015 were $9.78 billion and $9.62 billion, respectively. Average total assets for the first quarter of 2016 were $9.63 billion, up from $7.62 billion in the first quarter of 2015.</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2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6 - Loans Outstanding</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640" w:type="dxa"/>
            <w:vAlign w:val="bottom"/>
            <w:tcBorders>
              <w:bottom w:val="single" w:sz="8" w:color="F0FFFF"/>
            </w:tcBorders>
          </w:tcPr>
          <w:p>
            <w:pPr>
              <w:spacing w:after="0"/>
              <w:rPr>
                <w:sz w:val="20"/>
                <w:szCs w:val="20"/>
                <w:color w:val="auto"/>
              </w:rPr>
            </w:pPr>
          </w:p>
        </w:tc>
        <w:tc>
          <w:tcPr>
            <w:tcW w:w="1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Loan Type</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1,434,152</w:t>
            </w:r>
          </w:p>
        </w:tc>
        <w:tc>
          <w:tcPr>
            <w:tcW w:w="200" w:type="dxa"/>
            <w:vAlign w:val="bottom"/>
          </w:tcPr>
          <w:p>
            <w:pPr>
              <w:spacing w:after="0"/>
              <w:rPr>
                <w:sz w:val="18"/>
                <w:szCs w:val="18"/>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1,493,966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879,880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823,729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854,794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7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353,855</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342,078</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40" w:type="dxa"/>
            <w:vAlign w:val="bottom"/>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3,522,681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3,445,190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1,031,653</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1,029,663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604,208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347,864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351,700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Consumer installment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125,303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7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474,480</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455,971</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6,106,189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40" w:type="dxa"/>
            <w:vAlign w:val="bottom"/>
            <w:tcBorders>
              <w:bottom w:val="single" w:sz="8" w:color="F0FFFF"/>
            </w:tcBorders>
          </w:tcPr>
          <w:p>
            <w:pPr>
              <w:spacing w:after="0" w:line="20" w:lineRule="exact"/>
              <w:rPr>
                <w:sz w:val="1"/>
                <w:szCs w:val="1"/>
                <w:color w:val="auto"/>
              </w:rPr>
            </w:pPr>
          </w:p>
        </w:tc>
        <w:tc>
          <w:tcPr>
            <w:tcW w:w="17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5640" w:type="dxa"/>
            <w:vAlign w:val="bottom"/>
            <w:shd w:val="clear" w:color="auto" w:fill="F0FFFF"/>
          </w:tcPr>
          <w:p>
            <w:pPr>
              <w:spacing w:after="0"/>
              <w:rPr>
                <w:sz w:val="18"/>
                <w:szCs w:val="18"/>
                <w:color w:val="auto"/>
              </w:rPr>
            </w:pP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6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Commercial construction</w:t>
            </w:r>
          </w:p>
        </w:tc>
        <w:tc>
          <w:tcPr>
            <w:tcW w:w="1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6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Indirect auto</w:t>
            </w:r>
          </w:p>
        </w:tc>
        <w:tc>
          <w:tcPr>
            <w:tcW w:w="1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40" w:type="dxa"/>
            <w:vAlign w:val="bottom"/>
            <w:tcBorders>
              <w:top w:val="single" w:sz="8" w:color="F0FFFF"/>
            </w:tcBorders>
          </w:tcPr>
          <w:p>
            <w:pPr>
              <w:spacing w:after="0" w:line="20" w:lineRule="exact"/>
              <w:rPr>
                <w:sz w:val="1"/>
                <w:szCs w:val="1"/>
                <w:color w:val="auto"/>
              </w:rPr>
            </w:pPr>
          </w:p>
        </w:tc>
        <w:tc>
          <w:tcPr>
            <w:tcW w:w="17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restart"/>
          </w:tcPr>
          <w:p>
            <w:pPr>
              <w:spacing w:after="0"/>
              <w:rPr>
                <w:sz w:val="16"/>
                <w:szCs w:val="16"/>
                <w:color w:val="auto"/>
              </w:rPr>
            </w:pPr>
          </w:p>
        </w:tc>
        <w:tc>
          <w:tcPr>
            <w:tcW w:w="5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Geographic Location</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North Georgia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1,096,547</w:t>
            </w:r>
          </w:p>
        </w:tc>
        <w:tc>
          <w:tcPr>
            <w:tcW w:w="200" w:type="dxa"/>
            <w:vAlign w:val="bottom"/>
          </w:tcPr>
          <w:p>
            <w:pPr>
              <w:spacing w:after="0"/>
              <w:rPr>
                <w:sz w:val="18"/>
                <w:szCs w:val="18"/>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1,125,123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1,256,898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1,259,377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North Carolina</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543,307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542,836</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536,598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Gainesville MSA</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247,825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495,264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504,277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South Carolina</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820,750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Specialized Lending</w:t>
            </w:r>
          </w:p>
        </w:tc>
        <w:tc>
          <w:tcPr>
            <w:tcW w:w="1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628,282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491,928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6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178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474,480</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455,971</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0" w:type="dxa"/>
            <w:vAlign w:val="bottom"/>
          </w:tcPr>
          <w:p>
            <w:pPr>
              <w:spacing w:after="0"/>
              <w:rPr>
                <w:sz w:val="21"/>
                <w:szCs w:val="21"/>
                <w:color w:val="auto"/>
              </w:rPr>
            </w:pPr>
          </w:p>
        </w:tc>
        <w:tc>
          <w:tcPr>
            <w:tcW w:w="5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7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6,106,189</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5,995,441</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40" w:type="dxa"/>
            <w:vAlign w:val="bottom"/>
            <w:tcBorders>
              <w:top w:val="single" w:sz="8" w:color="F0FFFF"/>
            </w:tcBorders>
          </w:tcPr>
          <w:p>
            <w:pPr>
              <w:spacing w:after="0" w:line="20" w:lineRule="exact"/>
              <w:rPr>
                <w:sz w:val="1"/>
                <w:szCs w:val="1"/>
                <w:color w:val="auto"/>
              </w:rPr>
            </w:pPr>
          </w:p>
        </w:tc>
        <w:tc>
          <w:tcPr>
            <w:tcW w:w="17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except for specific specialized lending strategies such as SBA and franchise lending. More than 76% of the loans are secured by real estate. Total loans averaged $6.00 billion in the first quarter of 2016, compared with $4.73 billion in the first quarter of 2015, an increase of 27% primarily due to the acquisitions of Palmetto and MoneyTree. At March 31, 2016, total loans were $6.11 billion, an increase of $111 million, or 2%, from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March 31, 2016 and December 31, 2015, the funded portion of home equity lines totaled $604 million and $598 million, respectively. Approximately 3% of the home equity lines at March 31, 2016 were amortizing. Of the $604 million in balances outstanding at March 31, 2016, $362 million, or 60%, were secured by first liens. At March 31, 2016, 56% of the total available home equity lines were drawn upon.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reviews current valuations to determine if any additional charge-offs are warranted.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Performing Classified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2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32,916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39,886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42,409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39,618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29,984</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30,047</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29,856</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18,775</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19,881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5,967</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6,200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F0FFFF"/>
          </w:tcPr>
          <w:p>
            <w:pPr>
              <w:spacing w:after="0"/>
              <w:rPr>
                <w:sz w:val="21"/>
                <w:szCs w:val="21"/>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2,877</w:t>
            </w:r>
          </w:p>
        </w:tc>
        <w:tc>
          <w:tcPr>
            <w:tcW w:w="22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3,255</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3,528</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73,383</w:t>
            </w: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77,306</w:t>
            </w: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81,342</w:t>
            </w:r>
          </w:p>
        </w:tc>
        <w:tc>
          <w:tcPr>
            <w:tcW w:w="2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68,042</w:t>
            </w: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74,000</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32,547</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30,519</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35,849</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30,579</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30,382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6,615</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5,591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6,838</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10,764</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10,180</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9,686</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F0FFFF"/>
          </w:tcPr>
          <w:p>
            <w:pPr>
              <w:spacing w:after="0"/>
              <w:rPr>
                <w:sz w:val="21"/>
                <w:szCs w:val="21"/>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top w:val="single" w:sz="8" w:color="F0FFFF"/>
            </w:tcBorders>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121,070</w:t>
            </w: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127,527</w:t>
            </w: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136,038</w:t>
            </w: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115,701</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121,717</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36,692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46,668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50,695</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51,938</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52,652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Atlanta MSA</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21,075</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25,723</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28,390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31,681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13,757</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14,087</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13,914</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15,514</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13,871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Coastal Georgia</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6,882</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6,977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5,886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East Tennessee</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9,699</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7,369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7,688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5,936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South Carolina</w:t>
            </w: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30,280</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23,620</w:t>
            </w:r>
          </w:p>
        </w:tc>
        <w:tc>
          <w:tcPr>
            <w:tcW w:w="12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25,873</w:t>
            </w:r>
          </w:p>
        </w:tc>
        <w:tc>
          <w:tcPr>
            <w:tcW w:w="22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Specialized lending</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F0FFFF"/>
          </w:tcPr>
          <w:p>
            <w:pPr>
              <w:spacing w:after="0"/>
              <w:rPr>
                <w:sz w:val="21"/>
                <w:szCs w:val="21"/>
                <w:color w:val="auto"/>
              </w:rPr>
            </w:pPr>
          </w:p>
        </w:tc>
        <w:tc>
          <w:tcPr>
            <w:tcW w:w="1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1,265</w:t>
            </w:r>
          </w:p>
        </w:tc>
        <w:tc>
          <w:tcPr>
            <w:tcW w:w="220" w:type="dxa"/>
            <w:vAlign w:val="bottom"/>
            <w:shd w:val="clear" w:color="auto" w:fill="F0FFFF"/>
          </w:tcPr>
          <w:p>
            <w:pPr>
              <w:spacing w:after="0"/>
              <w:rPr>
                <w:sz w:val="21"/>
                <w:szCs w:val="21"/>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121,070</w:t>
            </w: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127,527</w:t>
            </w:r>
          </w:p>
        </w:tc>
        <w:tc>
          <w:tcPr>
            <w:tcW w:w="24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136,038</w:t>
            </w: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115,701</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121,717</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2016, performing classified loans totaled $121 million and decreased $6.46 million from the prior quarter-end, and decreased $647,000 from a year ago. Performing classified loans reflect a general downward trend, partially offset by the acquisitions in 2015. The increase in performing classified loans in South Carolina in the third quarter of 2015 and in east Tennessee in the second quarter of 2015 were attributable to the Palmetto and MoneyTree acquisitions,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internal loan review, United also uses external loan review to ensure the objectivity of the loan review process.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8 - Allowance for Credit Losses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37"/>
        </w:trPr>
        <w:tc>
          <w:tcPr>
            <w:tcW w:w="5940" w:type="dxa"/>
            <w:vAlign w:val="bottom"/>
            <w:tcBorders>
              <w:bottom w:val="single" w:sz="8" w:color="F0FFFF"/>
            </w:tcBorders>
          </w:tcPr>
          <w:p>
            <w:pPr>
              <w:spacing w:after="0"/>
              <w:rPr>
                <w:sz w:val="20"/>
                <w:szCs w:val="20"/>
                <w:color w:val="auto"/>
              </w:rPr>
            </w:pPr>
          </w:p>
        </w:tc>
        <w:tc>
          <w:tcPr>
            <w:tcW w:w="1480" w:type="dxa"/>
            <w:vAlign w:val="bottom"/>
            <w:tcBorders>
              <w:bottom w:val="single" w:sz="8" w:color="F0FF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F0FFFF"/>
            </w:tcBorders>
          </w:tcPr>
          <w:p>
            <w:pPr>
              <w:spacing w:after="0"/>
              <w:rPr>
                <w:sz w:val="20"/>
                <w:szCs w:val="20"/>
                <w:color w:val="auto"/>
              </w:rPr>
            </w:pPr>
          </w:p>
        </w:tc>
        <w:tc>
          <w:tcPr>
            <w:tcW w:w="60" w:type="dxa"/>
            <w:vAlign w:val="bottom"/>
            <w:tcBorders>
              <w:top w:val="single" w:sz="8" w:color="auto"/>
              <w:bottom w:val="single" w:sz="8" w:color="F0FF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r>
      <w:tr>
        <w:trPr>
          <w:trHeight w:val="216"/>
        </w:trPr>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at beginning of period</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68,448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Charge-offs: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578</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r>
      <w:tr>
        <w:trPr>
          <w:trHeight w:val="250"/>
        </w:trPr>
        <w:tc>
          <w:tcPr>
            <w:tcW w:w="59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14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Borders>
              <w:bottom w:val="single" w:sz="8" w:color="F0FFFF"/>
            </w:tcBorders>
            <w:shd w:val="clear" w:color="auto" w:fill="F0FFFF"/>
          </w:tcPr>
          <w:p>
            <w:pPr>
              <w:spacing w:after="0"/>
              <w:rPr>
                <w:sz w:val="21"/>
                <w:szCs w:val="21"/>
                <w:color w:val="auto"/>
              </w:rPr>
            </w:pPr>
          </w:p>
        </w:tc>
      </w:tr>
      <w:tr>
        <w:trPr>
          <w:trHeight w:val="210"/>
        </w:trPr>
        <w:tc>
          <w:tcPr>
            <w:tcW w:w="5940" w:type="dxa"/>
            <w:vAlign w:val="bottom"/>
            <w:tcBorders>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loans charged-off</w:t>
            </w:r>
          </w:p>
        </w:tc>
        <w:tc>
          <w:tcPr>
            <w:tcW w:w="14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3,153</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3,352</w:t>
            </w:r>
          </w:p>
        </w:tc>
        <w:tc>
          <w:tcPr>
            <w:tcW w:w="160" w:type="dxa"/>
            <w:vAlign w:val="bottom"/>
            <w:tcBorders>
              <w:bottom w:val="single" w:sz="8" w:color="F0FFFF"/>
            </w:tcBorders>
          </w:tcPr>
          <w:p>
            <w:pPr>
              <w:spacing w:after="0"/>
              <w:rPr>
                <w:sz w:val="18"/>
                <w:szCs w:val="18"/>
                <w:color w:val="auto"/>
              </w:rPr>
            </w:pPr>
          </w:p>
        </w:tc>
      </w:tr>
      <w:tr>
        <w:trPr>
          <w:trHeight w:val="216"/>
        </w:trPr>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F0FFFF"/>
          </w:tcPr>
          <w:p>
            <w:pPr>
              <w:spacing w:after="0"/>
              <w:rPr>
                <w:sz w:val="18"/>
                <w:szCs w:val="18"/>
                <w:color w:val="auto"/>
              </w:rPr>
            </w:pPr>
          </w:p>
        </w:tc>
      </w:tr>
      <w:tr>
        <w:trPr>
          <w:trHeight w:val="237"/>
        </w:trPr>
        <w:tc>
          <w:tcPr>
            <w:tcW w:w="594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Indirect auto</w:t>
            </w:r>
          </w:p>
        </w:tc>
        <w:tc>
          <w:tcPr>
            <w:tcW w:w="148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F0FFFF"/>
            </w:tcBorders>
          </w:tcPr>
          <w:p>
            <w:pPr>
              <w:spacing w:after="0"/>
              <w:rPr>
                <w:sz w:val="20"/>
                <w:szCs w:val="20"/>
                <w:color w:val="auto"/>
              </w:rPr>
            </w:pPr>
          </w:p>
        </w:tc>
      </w:tr>
      <w:tr>
        <w:trPr>
          <w:trHeight w:val="236"/>
        </w:trPr>
        <w:tc>
          <w:tcPr>
            <w:tcW w:w="594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recoveries</w:t>
            </w:r>
          </w:p>
        </w:tc>
        <w:tc>
          <w:tcPr>
            <w:tcW w:w="14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Borders>
              <w:bottom w:val="single" w:sz="8" w:color="F0FFFF"/>
            </w:tcBorders>
            <w:shd w:val="clear" w:color="auto" w:fill="F0FFFF"/>
          </w:tcPr>
          <w:p>
            <w:pPr>
              <w:spacing w:after="0"/>
              <w:rPr>
                <w:sz w:val="20"/>
                <w:szCs w:val="20"/>
                <w:color w:val="auto"/>
              </w:rPr>
            </w:pPr>
          </w:p>
        </w:tc>
      </w:tr>
      <w:tr>
        <w:trPr>
          <w:trHeight w:val="210"/>
        </w:trPr>
        <w:tc>
          <w:tcPr>
            <w:tcW w:w="5940" w:type="dxa"/>
            <w:vAlign w:val="bottom"/>
            <w:tcBorders>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charge-offs</w:t>
            </w:r>
          </w:p>
        </w:tc>
        <w:tc>
          <w:tcPr>
            <w:tcW w:w="1480" w:type="dxa"/>
            <w:vAlign w:val="bottom"/>
            <w:tcBorders>
              <w:bottom w:val="single" w:sz="8" w:color="F0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2,138</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2,562</w:t>
            </w:r>
          </w:p>
        </w:tc>
        <w:tc>
          <w:tcPr>
            <w:tcW w:w="160" w:type="dxa"/>
            <w:vAlign w:val="bottom"/>
            <w:tcBorders>
              <w:bottom w:val="single" w:sz="8" w:color="F0FFFF"/>
            </w:tcBorders>
          </w:tcPr>
          <w:p>
            <w:pPr>
              <w:spacing w:after="0"/>
              <w:rPr>
                <w:sz w:val="18"/>
                <w:szCs w:val="18"/>
                <w:color w:val="auto"/>
              </w:rPr>
            </w:pPr>
          </w:p>
        </w:tc>
      </w:tr>
      <w:tr>
        <w:trPr>
          <w:trHeight w:val="236"/>
        </w:trPr>
        <w:tc>
          <w:tcPr>
            <w:tcW w:w="59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14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tcBorders>
              <w:bottom w:val="single" w:sz="8" w:color="F0FFFF"/>
            </w:tcBorders>
            <w:shd w:val="clear" w:color="auto" w:fill="F0FFFF"/>
          </w:tcPr>
          <w:p>
            <w:pPr>
              <w:spacing w:after="0"/>
              <w:rPr>
                <w:sz w:val="20"/>
                <w:szCs w:val="20"/>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1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70,007</w:t>
            </w:r>
          </w:p>
        </w:tc>
        <w:tc>
          <w:tcPr>
            <w:tcW w:w="160" w:type="dxa"/>
            <w:vAlign w:val="bottom"/>
          </w:tcPr>
          <w:p>
            <w:pPr>
              <w:spacing w:after="0"/>
              <w:rPr>
                <w:sz w:val="18"/>
                <w:szCs w:val="18"/>
                <w:color w:val="auto"/>
              </w:rPr>
            </w:pPr>
          </w:p>
        </w:tc>
      </w:tr>
      <w:tr>
        <w:trPr>
          <w:trHeight w:val="20"/>
        </w:trPr>
        <w:tc>
          <w:tcPr>
            <w:tcW w:w="5940" w:type="dxa"/>
            <w:vAlign w:val="bottom"/>
            <w:tcBorders>
              <w:bottom w:val="single" w:sz="8" w:color="F0FFFF"/>
            </w:tcBorders>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r>
      <w:tr>
        <w:trPr>
          <w:trHeight w:val="210"/>
        </w:trPr>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F0FFFF"/>
          </w:tcPr>
          <w:p>
            <w:pPr>
              <w:spacing w:after="0"/>
              <w:rPr>
                <w:sz w:val="18"/>
                <w:szCs w:val="18"/>
                <w:color w:val="auto"/>
              </w:rPr>
            </w:pPr>
          </w:p>
        </w:tc>
      </w:tr>
      <w:tr>
        <w:trPr>
          <w:trHeight w:val="237"/>
        </w:trPr>
        <w:tc>
          <w:tcPr>
            <w:tcW w:w="5940" w:type="dxa"/>
            <w:vAlign w:val="bottom"/>
          </w:tcPr>
          <w:p>
            <w:pPr>
              <w:ind w:left="160"/>
              <w:spacing w:after="0"/>
              <w:rPr>
                <w:sz w:val="20"/>
                <w:szCs w:val="20"/>
                <w:color w:val="auto"/>
              </w:rPr>
            </w:pPr>
            <w:r>
              <w:rPr>
                <w:rFonts w:ascii="Arial" w:cs="Arial" w:eastAsia="Arial" w:hAnsi="Arial"/>
                <w:sz w:val="18"/>
                <w:szCs w:val="18"/>
                <w:color w:val="auto"/>
              </w:rPr>
              <w:t>Provision for losses on unfunded commitments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0"/>
                <w:szCs w:val="20"/>
                <w:color w:val="auto"/>
              </w:rPr>
            </w:pPr>
          </w:p>
        </w:tc>
      </w:tr>
      <w:tr>
        <w:trPr>
          <w:trHeight w:val="236"/>
        </w:trPr>
        <w:tc>
          <w:tcPr>
            <w:tcW w:w="59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14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1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r>
      <w:tr>
        <w:trPr>
          <w:trHeight w:val="20"/>
        </w:trPr>
        <w:tc>
          <w:tcPr>
            <w:tcW w:w="5940" w:type="dxa"/>
            <w:vAlign w:val="bottom"/>
            <w:tcBorders>
              <w:bottom w:val="single" w:sz="8" w:color="F0FFFF"/>
            </w:tcBorders>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r>
      <w:tr>
        <w:trPr>
          <w:trHeight w:val="210"/>
        </w:trPr>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Total loans:</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At period-end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6,106,189</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4,787,689</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6,003,568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4,725,304</w:t>
            </w: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Allowance for loan losses as a percentage of period-end loans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6"/>
        </w:trPr>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As a percentage of average loans (annualized):</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Provision for loan losses</w:t>
            </w: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F0FFFF"/>
          </w:tcPr>
          <w:p>
            <w:pPr>
              <w:spacing w:after="0"/>
              <w:rPr>
                <w:sz w:val="18"/>
                <w:szCs w:val="18"/>
                <w:color w:val="auto"/>
              </w:rPr>
            </w:pP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$68.7 million at March 31, 2016, compared with $71.0 million at December 31, 2015. At March 31, 2016, the allowance for loan losses was $66.3 million, or 1.09% of loans, compared with $68.4 million, or 1.14% of total loans, at December 31, 2015.</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the allowance for credit losses at March 31, 2016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color w:val="auto"/>
              </w:rPr>
              <w:t>The table below summarizes nonperforming assets.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6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9 - Nonperforming Assets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980" w:type="dxa"/>
            <w:vAlign w:val="bottom"/>
            <w:tcBorders>
              <w:bottom w:val="single" w:sz="8" w:color="F0FFFF"/>
            </w:tcBorders>
          </w:tcPr>
          <w:p>
            <w:pPr>
              <w:spacing w:after="0"/>
              <w:rPr>
                <w:sz w:val="20"/>
                <w:szCs w:val="20"/>
                <w:color w:val="auto"/>
              </w:rPr>
            </w:pPr>
          </w:p>
        </w:tc>
        <w:tc>
          <w:tcPr>
            <w:tcW w:w="14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Nonperforming loans</w:t>
            </w:r>
          </w:p>
        </w:tc>
        <w:tc>
          <w:tcPr>
            <w:tcW w:w="14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22,419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7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9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Foreclosed properties (OREO)</w:t>
            </w:r>
          </w:p>
        </w:tc>
        <w:tc>
          <w:tcPr>
            <w:tcW w:w="144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20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8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Total nonperforming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27,582</w:t>
            </w:r>
          </w:p>
        </w:tc>
        <w:tc>
          <w:tcPr>
            <w:tcW w:w="200" w:type="dxa"/>
            <w:vAlign w:val="bottom"/>
          </w:tcPr>
          <w:p>
            <w:pPr>
              <w:spacing w:after="0"/>
              <w:rPr>
                <w:sz w:val="21"/>
                <w:szCs w:val="21"/>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27,536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80" w:type="dxa"/>
            <w:vAlign w:val="bottom"/>
            <w:tcBorders>
              <w:bottom w:val="single" w:sz="8" w:color="F0FFFF"/>
            </w:tcBorders>
          </w:tcPr>
          <w:p>
            <w:pPr>
              <w:spacing w:after="0" w:line="20" w:lineRule="exact"/>
              <w:rPr>
                <w:sz w:val="1"/>
                <w:szCs w:val="1"/>
                <w:color w:val="auto"/>
              </w:rPr>
            </w:pPr>
          </w:p>
        </w:tc>
        <w:tc>
          <w:tcPr>
            <w:tcW w:w="144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restart"/>
          </w:tcPr>
          <w:p>
            <w:pPr>
              <w:spacing w:after="0"/>
              <w:rPr>
                <w:sz w:val="17"/>
                <w:szCs w:val="17"/>
                <w:color w:val="auto"/>
              </w:rPr>
            </w:pPr>
          </w:p>
        </w:tc>
        <w:tc>
          <w:tcPr>
            <w:tcW w:w="5980" w:type="dxa"/>
            <w:vAlign w:val="bottom"/>
            <w:shd w:val="clear" w:color="auto" w:fill="F0FFFF"/>
          </w:tcPr>
          <w:p>
            <w:pPr>
              <w:spacing w:after="0"/>
              <w:rPr>
                <w:sz w:val="17"/>
                <w:szCs w:val="17"/>
                <w:color w:val="auto"/>
              </w:rPr>
            </w:pPr>
          </w:p>
        </w:tc>
        <w:tc>
          <w:tcPr>
            <w:tcW w:w="14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80" w:type="dxa"/>
            <w:vAlign w:val="bottom"/>
            <w:shd w:val="clear" w:color="auto" w:fill="F0FF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4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nonperforming loans were $22.4 million compared to $22.7 million at December 31, 2015. Nonperforming assets, which include nonperforming loans and foreclosed real estate, totaled $27.6 million at March 31, 2016 compared with $27.5 million at December 31, 2015. United sold $1.52 million of foreclosed properties and added $1.59 million in new foreclosures during the first quarter of 2016.</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No PCI loans were classified as nonaccrual at March 31, 2016 or December 31, 2015 as the carrying value of the respective loan or pool of loans cash flows were considered estimable and probable of collection. Therefore, interest income, through accretion of the difference between the carrying value of the loans and the expected cash flows, is being recognized on all PCI loans.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March 31, 2016</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3"/>
              </w:rPr>
              <w:t>Nonaccrual</w:t>
            </w:r>
          </w:p>
        </w:tc>
        <w:tc>
          <w:tcPr>
            <w:tcW w:w="180" w:type="dxa"/>
            <w:vAlign w:val="bottom"/>
          </w:tcPr>
          <w:p>
            <w:pPr>
              <w:spacing w:after="0"/>
              <w:rPr>
                <w:sz w:val="17"/>
                <w:szCs w:val="17"/>
                <w:color w:val="auto"/>
              </w:rPr>
            </w:pPr>
          </w:p>
        </w:tc>
        <w:tc>
          <w:tcPr>
            <w:tcW w:w="1180" w:type="dxa"/>
            <w:vAlign w:val="bottom"/>
            <w:tcBorders>
              <w:right w:val="single" w:sz="8" w:color="auto"/>
            </w:tcBorders>
            <w:gridSpan w:val="3"/>
          </w:tcPr>
          <w:p>
            <w:pPr>
              <w:ind w:left="60"/>
              <w:spacing w:after="0" w:line="198" w:lineRule="exact"/>
              <w:rPr>
                <w:sz w:val="20"/>
                <w:szCs w:val="20"/>
                <w:color w:val="auto"/>
              </w:rPr>
            </w:pPr>
            <w:r>
              <w:rPr>
                <w:rFonts w:ascii="Arial" w:cs="Arial" w:eastAsia="Arial" w:hAnsi="Arial"/>
                <w:sz w:val="18"/>
                <w:szCs w:val="18"/>
                <w:b w:val="1"/>
                <w:bCs w:val="1"/>
                <w:color w:val="auto"/>
              </w:rPr>
              <w:t>Foreclosed</w:t>
            </w:r>
          </w:p>
        </w:tc>
        <w:tc>
          <w:tcPr>
            <w:tcW w:w="180" w:type="dxa"/>
            <w:vAlign w:val="bottom"/>
          </w:tcPr>
          <w:p>
            <w:pPr>
              <w:spacing w:after="0"/>
              <w:rPr>
                <w:sz w:val="17"/>
                <w:szCs w:val="17"/>
                <w:color w:val="auto"/>
              </w:rPr>
            </w:pPr>
          </w:p>
        </w:tc>
        <w:tc>
          <w:tcPr>
            <w:tcW w:w="1000" w:type="dxa"/>
            <w:vAlign w:val="bottom"/>
            <w:tcBorders>
              <w:right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5"/>
              </w:rPr>
              <w:t>Nonaccrual</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Foreclosed</w:t>
            </w:r>
          </w:p>
        </w:tc>
        <w:tc>
          <w:tcPr>
            <w:tcW w:w="180" w:type="dxa"/>
            <w:vAlign w:val="bottom"/>
          </w:tcPr>
          <w:p>
            <w:pPr>
              <w:spacing w:after="0"/>
              <w:rPr>
                <w:sz w:val="17"/>
                <w:szCs w:val="17"/>
                <w:color w:val="auto"/>
              </w:rPr>
            </w:pPr>
          </w:p>
        </w:tc>
        <w:tc>
          <w:tcPr>
            <w:tcW w:w="1040" w:type="dxa"/>
            <w:vAlign w:val="bottom"/>
            <w:tcBorders>
              <w:right w:val="single" w:sz="8" w:color="auto"/>
            </w:tcBorders>
          </w:tcPr>
          <w:p>
            <w:pPr>
              <w:jc w:val="right"/>
              <w:ind w:right="43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Properties</w:t>
            </w:r>
          </w:p>
        </w:tc>
        <w:tc>
          <w:tcPr>
            <w:tcW w:w="180" w:type="dxa"/>
            <w:vAlign w:val="bottom"/>
          </w:tcPr>
          <w:p>
            <w:pPr>
              <w:spacing w:after="0"/>
              <w:rPr>
                <w:sz w:val="20"/>
                <w:szCs w:val="20"/>
                <w:color w:val="auto"/>
              </w:rPr>
            </w:pPr>
          </w:p>
        </w:tc>
        <w:tc>
          <w:tcPr>
            <w:tcW w:w="100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NPAs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Loans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Properties</w:t>
            </w:r>
          </w:p>
        </w:tc>
        <w:tc>
          <w:tcPr>
            <w:tcW w:w="180" w:type="dxa"/>
            <w:vAlign w:val="bottom"/>
          </w:tcPr>
          <w:p>
            <w:pPr>
              <w:spacing w:after="0"/>
              <w:rPr>
                <w:sz w:val="20"/>
                <w:szCs w:val="20"/>
                <w:color w:val="auto"/>
              </w:rPr>
            </w:pPr>
          </w:p>
        </w:tc>
        <w:tc>
          <w:tcPr>
            <w:tcW w:w="104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2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right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right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3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300" w:type="dxa"/>
            <w:vAlign w:val="bottom"/>
            <w:tcBorders>
              <w:top w:val="single" w:sz="8" w:color="F0FFFF"/>
              <w:right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tcPr>
          <w:p>
            <w:pPr>
              <w:spacing w:after="0" w:line="201" w:lineRule="exact"/>
              <w:rPr>
                <w:sz w:val="20"/>
                <w:szCs w:val="20"/>
                <w:color w:val="auto"/>
              </w:rPr>
            </w:pPr>
            <w:r>
              <w:rPr>
                <w:rFonts w:ascii="Arial" w:cs="Arial" w:eastAsia="Arial" w:hAnsi="Arial"/>
                <w:sz w:val="18"/>
                <w:szCs w:val="18"/>
                <w:color w:val="auto"/>
              </w:rPr>
              <w:t>Owner occupied commercial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6,775</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2,864</w:t>
            </w:r>
          </w:p>
        </w:tc>
        <w:tc>
          <w:tcPr>
            <w:tcW w:w="200" w:type="dxa"/>
            <w:vAlign w:val="bottom"/>
            <w:tcBorders>
              <w:right w:val="single" w:sz="8" w:color="auto"/>
            </w:tcBorders>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9,639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300" w:type="dxa"/>
            <w:vAlign w:val="bottom"/>
            <w:tcBorders>
              <w:right w:val="single" w:sz="8" w:color="auto"/>
            </w:tcBorders>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Income producing commercial</w:t>
            </w: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0" w:type="dxa"/>
            <w:vAlign w:val="bottom"/>
            <w:tcBorders>
              <w:right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300" w:type="dxa"/>
            <w:vAlign w:val="bottom"/>
            <w:tcBorders>
              <w:right w:val="single" w:sz="8" w:color="auto"/>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2,959</w:t>
            </w:r>
          </w:p>
        </w:tc>
        <w:tc>
          <w:tcPr>
            <w:tcW w:w="1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2,959</w:t>
            </w:r>
          </w:p>
        </w:tc>
        <w:tc>
          <w:tcPr>
            <w:tcW w:w="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2,595</w:t>
            </w:r>
          </w:p>
        </w:tc>
        <w:tc>
          <w:tcPr>
            <w:tcW w:w="3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F0FFFF"/>
              <w:right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1000" w:type="dxa"/>
            <w:vAlign w:val="bottom"/>
            <w:tcBorders>
              <w:bottom w:val="single" w:sz="8" w:color="auto"/>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418</w:t>
            </w:r>
          </w:p>
        </w:tc>
        <w:tc>
          <w:tcPr>
            <w:tcW w:w="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Borders>
              <w:bottom w:val="single" w:sz="8" w:color="F0FFFF"/>
              <w:right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80" w:type="dxa"/>
            <w:vAlign w:val="bottom"/>
          </w:tcPr>
          <w:p>
            <w:pPr>
              <w:ind w:left="160"/>
              <w:spacing w:after="0" w:line="203" w:lineRule="exact"/>
              <w:rPr>
                <w:sz w:val="20"/>
                <w:szCs w:val="20"/>
                <w:color w:val="auto"/>
              </w:rPr>
            </w:pPr>
            <w:r>
              <w:rPr>
                <w:rFonts w:ascii="Arial" w:cs="Arial" w:eastAsia="Arial" w:hAnsi="Arial"/>
                <w:sz w:val="18"/>
                <w:szCs w:val="18"/>
                <w:color w:val="auto"/>
              </w:rPr>
              <w:t>Total commercial</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10,978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3,016</w:t>
            </w: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13,994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10,851</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3,089</w:t>
            </w: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right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8,037</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1,587</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9,624</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8,555</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1,242</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Home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1,557</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F0FFFF"/>
            </w:tcBorders>
            <w:shd w:val="clear" w:color="auto" w:fill="F0FFFF"/>
          </w:tcPr>
          <w:p>
            <w:pPr>
              <w:spacing w:after="0"/>
              <w:rPr>
                <w:sz w:val="22"/>
                <w:szCs w:val="22"/>
                <w:color w:val="auto"/>
              </w:rPr>
            </w:pPr>
          </w:p>
        </w:tc>
        <w:tc>
          <w:tcPr>
            <w:tcW w:w="16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right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1000" w:type="dxa"/>
            <w:vAlign w:val="bottom"/>
            <w:tcBorders>
              <w:bottom w:val="single" w:sz="8" w:color="auto"/>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F0FFFF"/>
            </w:tcBorders>
            <w:shd w:val="clear" w:color="auto" w:fill="F0FFFF"/>
          </w:tcPr>
          <w:p>
            <w:pPr>
              <w:spacing w:after="0"/>
              <w:rPr>
                <w:sz w:val="22"/>
                <w:szCs w:val="22"/>
                <w:color w:val="auto"/>
              </w:rPr>
            </w:pPr>
          </w:p>
        </w:tc>
        <w:tc>
          <w:tcPr>
            <w:tcW w:w="6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auto"/>
            </w:tcBorders>
            <w:shd w:val="clear" w:color="auto" w:fill="F0FFFF"/>
          </w:tcPr>
          <w:p>
            <w:pPr>
              <w:spacing w:after="0"/>
              <w:rPr>
                <w:sz w:val="22"/>
                <w:szCs w:val="22"/>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right w:val="single" w:sz="8" w:color="auto"/>
            </w:tcBorders>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80" w:type="dxa"/>
            <w:vAlign w:val="bottom"/>
          </w:tcPr>
          <w:p>
            <w:pPr>
              <w:ind w:left="140"/>
              <w:spacing w:after="0"/>
              <w:rPr>
                <w:sz w:val="20"/>
                <w:szCs w:val="20"/>
                <w:color w:val="auto"/>
              </w:rPr>
            </w:pPr>
            <w:r>
              <w:rPr>
                <w:rFonts w:ascii="Arial" w:cs="Arial" w:eastAsia="Arial" w:hAnsi="Arial"/>
                <w:sz w:val="18"/>
                <w:szCs w:val="18"/>
                <w:b w:val="1"/>
                <w:bCs w:val="1"/>
                <w:color w:val="auto"/>
              </w:rPr>
              <w:t>Total NPAs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22,419</w:t>
            </w:r>
          </w:p>
        </w:tc>
        <w:tc>
          <w:tcPr>
            <w:tcW w:w="16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5,163</w:t>
            </w:r>
          </w:p>
        </w:tc>
        <w:tc>
          <w:tcPr>
            <w:tcW w:w="200" w:type="dxa"/>
            <w:vAlign w:val="bottom"/>
            <w:tcBorders>
              <w:right w:val="single" w:sz="8" w:color="auto"/>
            </w:tcBorders>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27,582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4,883</w:t>
            </w:r>
          </w:p>
        </w:tc>
        <w:tc>
          <w:tcPr>
            <w:tcW w:w="300" w:type="dxa"/>
            <w:vAlign w:val="bottom"/>
            <w:tcBorders>
              <w:right w:val="single" w:sz="8" w:color="auto"/>
            </w:tcBorders>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380" w:type="dxa"/>
            <w:vAlign w:val="bottom"/>
            <w:shd w:val="clear" w:color="auto" w:fill="F0FFFF"/>
          </w:tcPr>
          <w:p>
            <w:pPr>
              <w:ind w:left="140"/>
              <w:spacing w:after="0" w:line="165" w:lineRule="exact"/>
              <w:rPr>
                <w:sz w:val="20"/>
                <w:szCs w:val="20"/>
                <w:color w:val="auto"/>
              </w:rPr>
            </w:pPr>
            <w:r>
              <w:rPr>
                <w:rFonts w:ascii="Arial" w:cs="Arial" w:eastAsia="Arial" w:hAnsi="Arial"/>
                <w:sz w:val="18"/>
                <w:szCs w:val="18"/>
                <w:b w:val="1"/>
                <w:bCs w:val="1"/>
                <w:color w:val="auto"/>
              </w:rPr>
              <w:t>Balance as a % of Unpaid</w:t>
            </w:r>
          </w:p>
        </w:tc>
        <w:tc>
          <w:tcPr>
            <w:tcW w:w="2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00" w:type="dxa"/>
            <w:vAlign w:val="bottom"/>
            <w:tcBorders>
              <w:right w:val="single" w:sz="8" w:color="auto"/>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00" w:type="dxa"/>
            <w:vAlign w:val="bottom"/>
            <w:tcBorders>
              <w:right w:val="single" w:sz="8" w:color="auto"/>
            </w:tcBorders>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40" w:type="dxa"/>
            <w:vAlign w:val="bottom"/>
            <w:shd w:val="clear" w:color="auto" w:fill="F0FFFF"/>
          </w:tcPr>
          <w:p>
            <w:pPr>
              <w:spacing w:after="0"/>
              <w:rPr>
                <w:sz w:val="14"/>
                <w:szCs w:val="14"/>
                <w:color w:val="auto"/>
              </w:rPr>
            </w:pPr>
          </w:p>
        </w:tc>
        <w:tc>
          <w:tcPr>
            <w:tcW w:w="300" w:type="dxa"/>
            <w:vAlign w:val="bottom"/>
            <w:tcBorders>
              <w:right w:val="single" w:sz="8" w:color="auto"/>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040" w:type="dxa"/>
            <w:vAlign w:val="bottom"/>
            <w:tcBorders>
              <w:right w:val="single" w:sz="8" w:color="auto"/>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F0FFFF"/>
          </w:tcPr>
          <w:p>
            <w:pPr>
              <w:ind w:left="300"/>
              <w:spacing w:after="0"/>
              <w:rPr>
                <w:sz w:val="20"/>
                <w:szCs w:val="20"/>
                <w:color w:val="auto"/>
              </w:rPr>
            </w:pPr>
            <w:r>
              <w:rPr>
                <w:rFonts w:ascii="Arial" w:cs="Arial" w:eastAsia="Arial" w:hAnsi="Arial"/>
                <w:sz w:val="18"/>
                <w:szCs w:val="18"/>
                <w:b w:val="1"/>
                <w:bCs w:val="1"/>
                <w:color w:val="auto"/>
              </w:rPr>
              <w:t>Principal</w:t>
            </w:r>
          </w:p>
        </w:tc>
        <w:tc>
          <w:tcPr>
            <w:tcW w:w="2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Borders>
              <w:right w:val="single" w:sz="8" w:color="auto"/>
            </w:tcBorders>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00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60.1%</w:t>
            </w:r>
          </w:p>
        </w:tc>
        <w:tc>
          <w:tcPr>
            <w:tcW w:w="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F0FFFF"/>
          </w:tcPr>
          <w:p>
            <w:pPr>
              <w:spacing w:after="0"/>
              <w:rPr>
                <w:sz w:val="20"/>
                <w:szCs w:val="20"/>
                <w:color w:val="auto"/>
              </w:rPr>
            </w:pPr>
          </w:p>
        </w:tc>
        <w:tc>
          <w:tcPr>
            <w:tcW w:w="124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F0FFFF"/>
          </w:tcPr>
          <w:p>
            <w:pPr>
              <w:spacing w:after="0"/>
              <w:rPr>
                <w:sz w:val="20"/>
                <w:szCs w:val="20"/>
                <w:color w:val="auto"/>
              </w:rPr>
            </w:pPr>
          </w:p>
        </w:tc>
        <w:tc>
          <w:tcPr>
            <w:tcW w:w="10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MARKET</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North Georgia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5,353</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Borders>
              <w:right w:val="single" w:sz="8" w:color="auto"/>
            </w:tcBorders>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6,586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1,612</w:t>
            </w:r>
          </w:p>
        </w:tc>
        <w:tc>
          <w:tcPr>
            <w:tcW w:w="300" w:type="dxa"/>
            <w:vAlign w:val="bottom"/>
            <w:tcBorders>
              <w:right w:val="single" w:sz="8" w:color="auto"/>
            </w:tcBorders>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2,796</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3,698</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3,023</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North Carolina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5,419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1,696</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1,817</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2,079</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Gainesville MSA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3,470</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3,821</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3,448</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South Carolina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2,932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2,306</w:t>
            </w:r>
          </w:p>
        </w:tc>
        <w:tc>
          <w:tcPr>
            <w:tcW w:w="3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8"/>
                <w:szCs w:val="18"/>
                <w:color w:val="auto"/>
              </w:rPr>
              <w:t>Specialized Lending</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2,186</w:t>
            </w: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2,186</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2,231</w:t>
            </w:r>
          </w:p>
        </w:tc>
        <w:tc>
          <w:tcPr>
            <w:tcW w:w="3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F0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bottom w:val="single" w:sz="8" w:color="F0FFFF"/>
            </w:tcBorders>
          </w:tcPr>
          <w:p>
            <w:pPr>
              <w:spacing w:after="0"/>
              <w:rPr>
                <w:sz w:val="21"/>
                <w:szCs w:val="21"/>
                <w:color w:val="auto"/>
              </w:rPr>
            </w:pPr>
          </w:p>
        </w:tc>
        <w:tc>
          <w:tcPr>
            <w:tcW w:w="180" w:type="dxa"/>
            <w:vAlign w:val="bottom"/>
            <w:tcBorders>
              <w:bottom w:val="single" w:sz="8" w:color="F0FF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873</w:t>
            </w:r>
          </w:p>
        </w:tc>
        <w:tc>
          <w:tcPr>
            <w:tcW w:w="20" w:type="dxa"/>
            <w:vAlign w:val="bottom"/>
            <w:tcBorders>
              <w:bottom w:val="single" w:sz="8" w:color="F0FFFF"/>
            </w:tcBorders>
          </w:tcPr>
          <w:p>
            <w:pPr>
              <w:spacing w:after="0"/>
              <w:rPr>
                <w:sz w:val="21"/>
                <w:szCs w:val="21"/>
                <w:color w:val="auto"/>
              </w:rPr>
            </w:pPr>
          </w:p>
        </w:tc>
        <w:tc>
          <w:tcPr>
            <w:tcW w:w="6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Borders>
              <w:bottom w:val="single" w:sz="8" w:color="F0FF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F0FFFF"/>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380" w:type="dxa"/>
            <w:vAlign w:val="bottom"/>
            <w:shd w:val="clear" w:color="auto" w:fill="F0FFFF"/>
          </w:tcPr>
          <w:p>
            <w:pPr>
              <w:ind w:left="140"/>
              <w:spacing w:after="0"/>
              <w:rPr>
                <w:sz w:val="20"/>
                <w:szCs w:val="20"/>
                <w:color w:val="auto"/>
              </w:rPr>
            </w:pPr>
            <w:r>
              <w:rPr>
                <w:rFonts w:ascii="Arial" w:cs="Arial" w:eastAsia="Arial" w:hAnsi="Arial"/>
                <w:sz w:val="18"/>
                <w:szCs w:val="18"/>
                <w:b w:val="1"/>
                <w:bCs w:val="1"/>
                <w:color w:val="auto"/>
              </w:rPr>
              <w:t>Total NPAs</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22,419</w:t>
            </w:r>
          </w:p>
        </w:tc>
        <w:tc>
          <w:tcPr>
            <w:tcW w:w="160" w:type="dxa"/>
            <w:vAlign w:val="bottom"/>
            <w:shd w:val="clear" w:color="auto" w:fill="F0FFFF"/>
          </w:tcPr>
          <w:p>
            <w:pPr>
              <w:spacing w:after="0"/>
              <w:rPr>
                <w:sz w:val="24"/>
                <w:szCs w:val="24"/>
                <w:color w:val="auto"/>
              </w:rPr>
            </w:pP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5,163</w:t>
            </w:r>
          </w:p>
        </w:tc>
        <w:tc>
          <w:tcPr>
            <w:tcW w:w="200" w:type="dxa"/>
            <w:vAlign w:val="bottom"/>
            <w:tcBorders>
              <w:right w:val="single" w:sz="8" w:color="auto"/>
            </w:tcBorders>
            <w:shd w:val="clear" w:color="auto" w:fill="F0FFFF"/>
          </w:tcPr>
          <w:p>
            <w:pPr>
              <w:spacing w:after="0"/>
              <w:rPr>
                <w:sz w:val="24"/>
                <w:szCs w:val="24"/>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rPr>
              <w:t>27,582</w:t>
            </w:r>
          </w:p>
        </w:tc>
        <w:tc>
          <w:tcPr>
            <w:tcW w:w="2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4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4,883</w:t>
            </w:r>
          </w:p>
        </w:tc>
        <w:tc>
          <w:tcPr>
            <w:tcW w:w="300" w:type="dxa"/>
            <w:vAlign w:val="bottom"/>
            <w:tcBorders>
              <w:right w:val="single" w:sz="8" w:color="auto"/>
            </w:tcBorders>
            <w:shd w:val="clear" w:color="auto" w:fill="F0FFFF"/>
          </w:tcPr>
          <w:p>
            <w:pPr>
              <w:spacing w:after="0"/>
              <w:rPr>
                <w:sz w:val="24"/>
                <w:szCs w:val="24"/>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2016 and December 31, 2015, United had $77.2 million and $86.6 million, respectively, in loans with terms that have been modified in TDRs. Included therein were $4.42 million and $3.58 million, respectively, of TDRs that were not performing in accordance with their modified terms and were included in nonperforming loans. The remaining TDRs with an aggregate balance of $72.8 million and $83.0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At March 31, 2016 and December 31, 2015, there were $86.2 million and $104 million, respectively, of loans classified as impaired under the definition outlined in the Accounting Standards Codification, including TDRs which are by definition considered impaired. Included in impaired loans at March 31, 2016 and December 31, 2015 was $25.1 million and $32.7 million, respectively, that did not require specific reserves or had previously been charged down to net realizable value. The balance of impaired loans at March 31, 2016 and December 31, 2015 of $61.1 million and $71.3 million, respectively, had specific reserves that totaled $3.82 million and $6.80 million, respectively. The average recorded investment in impaired loans for the first quarters of 2016 and 2015 was $86.9 million and $108 million, respectively. For the three months ended March 31, 2016, United recognized $1.06 million in interest revenue on impaired loans compared to $1.24 million for the same period of the prior year. United’s policy is to discontinue the recognition of interest revenue for loans classified as impaired under ASC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11 - Activity in Nonperforming Assets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First Quarter 2016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First Quarter 2015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8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w w:val="95"/>
              </w:rPr>
              <w:t>Nonaccrual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3"/>
              </w:rPr>
              <w:t>Foreclosed</w:t>
            </w:r>
          </w:p>
        </w:tc>
        <w:tc>
          <w:tcPr>
            <w:tcW w:w="180" w:type="dxa"/>
            <w:vAlign w:val="bottom"/>
          </w:tcPr>
          <w:p>
            <w:pPr>
              <w:spacing w:after="0"/>
              <w:rPr>
                <w:sz w:val="17"/>
                <w:szCs w:val="17"/>
                <w:color w:val="auto"/>
              </w:rPr>
            </w:pPr>
          </w:p>
        </w:tc>
        <w:tc>
          <w:tcPr>
            <w:tcW w:w="960" w:type="dxa"/>
            <w:vAlign w:val="bottom"/>
            <w:tcBorders>
              <w:right w:val="single" w:sz="8" w:color="auto"/>
            </w:tcBorders>
          </w:tcPr>
          <w:p>
            <w:pPr>
              <w:jc w:val="right"/>
              <w:ind w:right="35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12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95"/>
              </w:rPr>
              <w:t>Nonaccrual</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5"/>
              </w:rPr>
              <w:t>Foreclosed</w:t>
            </w:r>
          </w:p>
        </w:tc>
        <w:tc>
          <w:tcPr>
            <w:tcW w:w="200" w:type="dxa"/>
            <w:vAlign w:val="bottom"/>
          </w:tcPr>
          <w:p>
            <w:pPr>
              <w:spacing w:after="0"/>
              <w:rPr>
                <w:sz w:val="17"/>
                <w:szCs w:val="17"/>
                <w:color w:val="auto"/>
              </w:rPr>
            </w:pPr>
          </w:p>
        </w:tc>
        <w:tc>
          <w:tcPr>
            <w:tcW w:w="960" w:type="dxa"/>
            <w:vAlign w:val="bottom"/>
            <w:tcBorders>
              <w:right w:val="single" w:sz="8" w:color="auto"/>
            </w:tcBorders>
          </w:tcPr>
          <w:p>
            <w:pPr>
              <w:jc w:val="right"/>
              <w:ind w:right="35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Loans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7"/>
              </w:rPr>
              <w:t>Properties</w:t>
            </w:r>
          </w:p>
        </w:tc>
        <w:tc>
          <w:tcPr>
            <w:tcW w:w="180" w:type="dxa"/>
            <w:vAlign w:val="bottom"/>
          </w:tcPr>
          <w:p>
            <w:pPr>
              <w:spacing w:after="0"/>
              <w:rPr>
                <w:sz w:val="20"/>
                <w:szCs w:val="20"/>
                <w:color w:val="auto"/>
              </w:rPr>
            </w:pPr>
          </w:p>
        </w:tc>
        <w:tc>
          <w:tcPr>
            <w:tcW w:w="9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9"/>
              </w:rPr>
              <w:t>Properties</w:t>
            </w:r>
          </w:p>
        </w:tc>
        <w:tc>
          <w:tcPr>
            <w:tcW w:w="200" w:type="dxa"/>
            <w:vAlign w:val="bottom"/>
          </w:tcPr>
          <w:p>
            <w:pPr>
              <w:spacing w:after="0"/>
              <w:rPr>
                <w:sz w:val="20"/>
                <w:szCs w:val="20"/>
                <w:color w:val="auto"/>
              </w:rPr>
            </w:pPr>
          </w:p>
        </w:tc>
        <w:tc>
          <w:tcPr>
            <w:tcW w:w="9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3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4,883</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27,536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17,881</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19,607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5,944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Payments received</w:t>
            </w:r>
          </w:p>
        </w:tc>
        <w:tc>
          <w:tcPr>
            <w:tcW w:w="180" w:type="dxa"/>
            <w:vAlign w:val="bottom"/>
            <w:shd w:val="clear" w:color="auto" w:fill="F0FFFF"/>
          </w:tcPr>
          <w:p>
            <w:pPr>
              <w:spacing w:after="0"/>
              <w:rPr>
                <w:sz w:val="18"/>
                <w:szCs w:val="18"/>
                <w:color w:val="auto"/>
              </w:rPr>
            </w:pPr>
          </w:p>
        </w:tc>
        <w:tc>
          <w:tcPr>
            <w:tcW w:w="9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(1,812)</w:t>
            </w: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Loan charge-offs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Foreclosures</w:t>
            </w:r>
          </w:p>
        </w:tc>
        <w:tc>
          <w:tcPr>
            <w:tcW w:w="180" w:type="dxa"/>
            <w:vAlign w:val="bottom"/>
            <w:shd w:val="clear" w:color="auto" w:fill="F0FFFF"/>
          </w:tcPr>
          <w:p>
            <w:pPr>
              <w:spacing w:after="0"/>
              <w:rPr>
                <w:sz w:val="18"/>
                <w:szCs w:val="18"/>
                <w:color w:val="auto"/>
              </w:rPr>
            </w:pPr>
          </w:p>
        </w:tc>
        <w:tc>
          <w:tcPr>
            <w:tcW w:w="9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(1,514)</w:t>
            </w: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Property sales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(1,524)</w:t>
            </w:r>
          </w:p>
        </w:tc>
        <w:tc>
          <w:tcPr>
            <w:tcW w:w="1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F0FFFF"/>
          </w:tcPr>
          <w:p>
            <w:pPr>
              <w:spacing w:after="0"/>
              <w:rPr>
                <w:sz w:val="20"/>
                <w:szCs w:val="20"/>
                <w:color w:val="auto"/>
              </w:rPr>
            </w:pPr>
            <w:r>
              <w:rPr>
                <w:rFonts w:ascii="Arial" w:cs="Arial" w:eastAsia="Arial" w:hAnsi="Arial"/>
                <w:sz w:val="18"/>
                <w:szCs w:val="18"/>
                <w:color w:val="auto"/>
              </w:rPr>
              <w:t>Write downs</w:t>
            </w:r>
          </w:p>
        </w:tc>
        <w:tc>
          <w:tcPr>
            <w:tcW w:w="180" w:type="dxa"/>
            <w:vAlign w:val="bottom"/>
            <w:shd w:val="clear" w:color="auto" w:fill="F0FFFF"/>
          </w:tcPr>
          <w:p>
            <w:pPr>
              <w:spacing w:after="0"/>
              <w:rPr>
                <w:sz w:val="18"/>
                <w:szCs w:val="18"/>
                <w:color w:val="auto"/>
              </w:rPr>
            </w:pPr>
          </w:p>
        </w:tc>
        <w:tc>
          <w:tcPr>
            <w:tcW w:w="9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F0FFFF"/>
          </w:tcPr>
          <w:p>
            <w:pPr>
              <w:spacing w:after="0"/>
              <w:rPr>
                <w:sz w:val="18"/>
                <w:szCs w:val="18"/>
                <w:color w:val="auto"/>
              </w:rPr>
            </w:pPr>
          </w:p>
        </w:tc>
        <w:tc>
          <w:tcPr>
            <w:tcW w:w="96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gains on sales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vMerge w:val="restart"/>
            <w:shd w:val="clear" w:color="auto" w:fill="F0FFFF"/>
          </w:tcPr>
          <w:p>
            <w:pPr>
              <w:ind w:left="14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shd w:val="clear" w:color="auto" w:fill="000000"/>
          </w:tcPr>
          <w:p>
            <w:pPr>
              <w:spacing w:after="0"/>
              <w:rPr>
                <w:sz w:val="2"/>
                <w:szCs w:val="2"/>
                <w:color w:val="auto"/>
              </w:rPr>
            </w:pPr>
          </w:p>
        </w:tc>
        <w:tc>
          <w:tcPr>
            <w:tcW w:w="900" w:type="dxa"/>
            <w:vAlign w:val="bottom"/>
            <w:tcBorders>
              <w:right w:val="single" w:sz="8" w:color="F0FFFF"/>
            </w:tcBorders>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vMerge w:val="continue"/>
            <w:shd w:val="clear" w:color="auto" w:fill="F0FFFF"/>
          </w:tcPr>
          <w:p>
            <w:pPr>
              <w:spacing w:after="0"/>
              <w:rPr>
                <w:sz w:val="22"/>
                <w:szCs w:val="22"/>
                <w:color w:val="auto"/>
              </w:rPr>
            </w:pP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22,419</w:t>
            </w:r>
          </w:p>
        </w:tc>
        <w:tc>
          <w:tcPr>
            <w:tcW w:w="3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27,582</w:t>
            </w:r>
          </w:p>
        </w:tc>
        <w:tc>
          <w:tcPr>
            <w:tcW w:w="100" w:type="dxa"/>
            <w:vAlign w:val="bottom"/>
            <w:shd w:val="clear" w:color="auto" w:fill="F0FFFF"/>
          </w:tcPr>
          <w:p>
            <w:pPr>
              <w:spacing w:after="0"/>
              <w:rPr>
                <w:sz w:val="22"/>
                <w:szCs w:val="22"/>
                <w:color w:val="auto"/>
              </w:rPr>
            </w:pPr>
          </w:p>
        </w:tc>
        <w:tc>
          <w:tcPr>
            <w:tcW w:w="180" w:type="dxa"/>
            <w:vAlign w:val="bottom"/>
            <w:shd w:val="clear" w:color="auto" w:fill="F0FF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19,015</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first quarter of 2016, United transferred $1.59 million of loans into foreclosed property through foreclosures. During the same period, proceeds from sales of foreclosed property were $1.52 million, none of which were financed by United.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and December 31, 2015, United had securities held-to-maturity with a carrying amount of $352 million and $365 million, respectively, and securities available-for-sale totaling $2.41 billion and $2.29 billion, respectively. At March 31, 2016 and December 31, 2015, the securities portfolio represented approximately 28% of total assets.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2016 primarily reflect the effect of changes in interest rates. United did not recognize any other than temporary impairment losses on its investment securities during the first quarter of 2016 or 2015.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and December 31, 2015, 23% and 24%,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relationships, are amortizing intangible assets that are required to be tested for impairment only when events or circumstances indicate that impairment may exist. There were no events or circumstances that led management to believe that any impairment exists in United’s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has initiated several programs to improve core earnings by growing customer transaction deposit accounts and lowering overall pricing on deposit accounts. The programs were successful in increasing core transaction deposit accounts and allowing for the reduction of more costly time deposit balances. United’s high level of service, as evidenced by its strong customer satisfaction scores, has been instrumental in attracting and retaining deposits.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customer deposits, excluding brokered deposits, as of March 31, 2016 were $7.52 billion, compared to $7.53 billion at December 31, 2015. Total core deposits (demand, NOW, money market and savings deposits, excluding public funds deposits) of $5.36 billion at March 31, 2016 increased $113 million since December 31, 2015 due to the success of core deposit incentive programs.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time deposits, excluding brokered deposits, as of March 31, 2016 were $1.23 billion, down $49 million from December 31, 2015. United continued to offer low rates on certificates of deposit, allowing organic balances to decline and shift to lower cost transaction account deposits.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Brokered deposits totaled $439 million as of March 31, 2016, an increase of $101 million from December 31, 2015. United has actively added long-term deposits to diversify our funding base. These are typically swapped to LIBOR minus a spread, which achieves low cost funding within our interest rate risk parameters.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$510 million and $430 million, respectively, as of March 31, 2016 and December 31, 2015. United anticipates continued use of this short and long-term source of funds. Additional information regarding FHLB advances is provided in Note 12 to the consolidated financial statements included in United’s Annual Report on Form 10-K for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13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March 31, 2016 and 2015 made use of the down scenarios irrelevant. The following table presents United’s interest sensitivity position at the dates indicated.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12 - Interest Sensitivity</w:t>
      </w:r>
    </w:p>
    <w:p>
      <w:pPr>
        <w:spacing w:after="0" w:line="225" w:lineRule="exact"/>
        <w:rPr>
          <w:sz w:val="20"/>
          <w:szCs w:val="20"/>
          <w:color w:val="auto"/>
        </w:rPr>
      </w:pPr>
    </w:p>
    <w:p>
      <w:pPr>
        <w:jc w:val="center"/>
        <w:ind w:left="4800"/>
        <w:spacing w:after="0"/>
        <w:rPr>
          <w:sz w:val="20"/>
          <w:szCs w:val="20"/>
          <w:color w:val="auto"/>
        </w:rPr>
      </w:pPr>
      <w:r>
        <w:rPr>
          <w:rFonts w:ascii="Arial" w:cs="Arial" w:eastAsia="Arial" w:hAnsi="Arial"/>
          <w:sz w:val="18"/>
          <w:szCs w:val="18"/>
          <w:b w:val="1"/>
          <w:bCs w:val="1"/>
          <w:color w:val="auto"/>
        </w:rPr>
        <w:t>Increase (Decrease) in Net Interest Revenue from Base Scenario at</w:t>
      </w:r>
    </w:p>
    <w:p>
      <w:pPr>
        <w:spacing w:after="0" w:line="27" w:lineRule="exact"/>
        <w:rPr>
          <w:sz w:val="20"/>
          <w:szCs w:val="20"/>
          <w:color w:val="auto"/>
        </w:rPr>
      </w:pPr>
    </w:p>
    <w:p>
      <w:pPr>
        <w:jc w:val="center"/>
        <w:ind w:left="48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44"/>
        </w:trPr>
        <w:tc>
          <w:tcPr>
            <w:tcW w:w="4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c>
          <w:tcPr>
            <w:tcW w:w="92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470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Change in Rates</w:t>
            </w:r>
          </w:p>
        </w:tc>
        <w:tc>
          <w:tcPr>
            <w:tcW w:w="100" w:type="dxa"/>
            <w:vAlign w:val="bottom"/>
            <w:tcBorders>
              <w:bottom w:val="single" w:sz="8" w:color="F0FFFF"/>
            </w:tcBorders>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Shock</w:t>
            </w:r>
          </w:p>
        </w:tc>
        <w:tc>
          <w:tcPr>
            <w:tcW w:w="32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Ramp</w:t>
            </w:r>
          </w:p>
        </w:tc>
        <w:tc>
          <w:tcPr>
            <w:tcW w:w="320" w:type="dxa"/>
            <w:vAlign w:val="bottom"/>
            <w:tcBorders>
              <w:bottom w:val="single" w:sz="8" w:color="F0FFFF"/>
            </w:tcBorders>
          </w:tcPr>
          <w:p>
            <w:pPr>
              <w:spacing w:after="0"/>
              <w:rPr>
                <w:sz w:val="20"/>
                <w:szCs w:val="20"/>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Shock</w:t>
            </w:r>
          </w:p>
        </w:tc>
        <w:tc>
          <w:tcPr>
            <w:tcW w:w="260" w:type="dxa"/>
            <w:vAlign w:val="bottom"/>
            <w:tcBorders>
              <w:bottom w:val="single" w:sz="8" w:color="F0FF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Ramp</w:t>
            </w:r>
          </w:p>
        </w:tc>
        <w:tc>
          <w:tcPr>
            <w:tcW w:w="160" w:type="dxa"/>
            <w:vAlign w:val="bottom"/>
            <w:tcBorders>
              <w:bottom w:val="single" w:sz="8" w:color="F0FFFF"/>
            </w:tcBorders>
          </w:tcPr>
          <w:p>
            <w:pPr>
              <w:spacing w:after="0"/>
              <w:rPr>
                <w:sz w:val="20"/>
                <w:szCs w:val="20"/>
                <w:color w:val="auto"/>
              </w:rPr>
            </w:pPr>
          </w:p>
        </w:tc>
      </w:tr>
      <w:tr>
        <w:trPr>
          <w:trHeight w:val="216"/>
        </w:trPr>
        <w:tc>
          <w:tcPr>
            <w:tcW w:w="4700" w:type="dxa"/>
            <w:vAlign w:val="bottom"/>
            <w:shd w:val="clear" w:color="auto" w:fill="F0FFFF"/>
          </w:tcPr>
          <w:p>
            <w:pPr>
              <w:spacing w:after="0"/>
              <w:rPr>
                <w:sz w:val="20"/>
                <w:szCs w:val="20"/>
                <w:color w:val="auto"/>
              </w:rPr>
            </w:pPr>
            <w:r>
              <w:rPr>
                <w:rFonts w:ascii="Arial" w:cs="Arial" w:eastAsia="Arial" w:hAnsi="Arial"/>
                <w:sz w:val="18"/>
                <w:szCs w:val="18"/>
                <w:color w:val="auto"/>
              </w:rPr>
              <w:t>200 basis point increase</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marked to market through earnings.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$1.80 million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The size of the reserve is determined through severe liquidity stress testing and covers a 30 day period.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The Bank also maintain excess funds in short-term interest-bearing assets that provide additional liquidity.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2016, United had cash and cash equivalent balances of $183 million and had sufficient qualifying collateral to increase FHLB advances by $954 million and Federal Reserve discount window borrowing capacity of $988 million. United also has the ability to raise substantial funds through brokered deposits. In addition to these wholesale sources, United has the ability to attract retail deposits by competing more aggressively on pricing.</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$2.39 million for the three months ended March 31, 2016. Net income of $22.3 million for the three month period included deferred income tax expense of $13.6 million, and non-cash expenses for the following: depreciation, amortization and accretion of $7.09 million and stock-based compensation expense of $918,000. These sources of cash from operating activities were offset by an increase in other assets and accrued interest receivable of $34.0 million, an increase in mortgage loans held for sale of $2.35 million and a decrease in accrued expenses and other liabilities of $3.05 million. Net cash used in investing activities of $196 million consisted primarily of a $102 million net increase in loans and purchases of investment securities totaling $247 million. These uses of cash were partially offset by $14.2 million in proceeds from maturities and calls of investment securities held-to-maturity, $61.3 million in proceeds from the sale of investment securities available-for-sale and $82.0 million in proceeds from maturities and calls of investment securities available-for-sale. Net cash provided by financing activities of $136 million consisted primarily of a net increase in deposits of $87.2 million and a net increase in FHLB advances of $80.0 million, partially offset by a $16.6 million net decrease in short term borrowings, $9.99 million for the retirement of preferred stock and $5.04 million in dividends to common shareholders. In the opinion of management, United’s liquidity position at March 31, 2016, was sufficient to meet its expected cash flow requirements.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and preferred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March 31, 2016 was $1.03 billion, an increase of $15.4 million from December 31, 2015 due to year-to-date earnings less dividends declared and an increase in the value of available-for-sale securities, partially offset by the redemption of Series H preferred stock.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shows United’s capital ratios, as calculated under applicable regulatory guidelines, at March 31, 2016 and December 31, 2015. As of March 31, 2016, United’s capital levels remained characterized as “well-capitalized” under the Basel III Capital Rules in effect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1"/>
              </w:rPr>
              <w:t>United Community Banks, 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40" w:type="dxa"/>
            <w:vAlign w:val="bottom"/>
            <w:gridSpan w:val="4"/>
          </w:tcPr>
          <w:p>
            <w:pPr>
              <w:ind w:left="420"/>
              <w:spacing w:after="0"/>
              <w:rPr>
                <w:sz w:val="20"/>
                <w:szCs w:val="20"/>
                <w:color w:val="auto"/>
              </w:rPr>
            </w:pPr>
            <w:r>
              <w:rPr>
                <w:rFonts w:ascii="Arial" w:cs="Arial" w:eastAsia="Arial" w:hAnsi="Arial"/>
                <w:sz w:val="18"/>
                <w:szCs w:val="18"/>
                <w:b w:val="1"/>
                <w:bCs w:val="1"/>
                <w:color w:val="auto"/>
              </w:rPr>
              <w:t>Basel III Guidelines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(Consolidated)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6"/>
          </w:tcPr>
          <w:p>
            <w:pPr>
              <w:ind w:left="24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Well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Minimum</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Capitalized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I capital</w:t>
            </w:r>
          </w:p>
        </w:tc>
        <w:tc>
          <w:tcPr>
            <w:tcW w:w="1380" w:type="dxa"/>
            <w:vAlign w:val="bottom"/>
            <w:gridSpan w:val="2"/>
            <w:shd w:val="clear" w:color="auto" w:fill="F0FFFF"/>
          </w:tcPr>
          <w:p>
            <w:pPr>
              <w:ind w:left="800"/>
              <w:spacing w:after="0"/>
              <w:rPr>
                <w:sz w:val="20"/>
                <w:szCs w:val="20"/>
                <w:color w:val="auto"/>
              </w:rPr>
            </w:pPr>
            <w:r>
              <w:rPr>
                <w:rFonts w:ascii="Arial" w:cs="Arial" w:eastAsia="Arial" w:hAnsi="Arial"/>
                <w:sz w:val="18"/>
                <w:szCs w:val="18"/>
                <w:color w:val="auto"/>
              </w:rPr>
              <w:t>6.0</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8.0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8"/>
                <w:szCs w:val="18"/>
                <w:color w:val="auto"/>
              </w:rPr>
              <w:t>Leverage ratio</w:t>
            </w:r>
          </w:p>
        </w:tc>
        <w:tc>
          <w:tcPr>
            <w:tcW w:w="1380" w:type="dxa"/>
            <w:vAlign w:val="bottom"/>
            <w:gridSpan w:val="2"/>
            <w:shd w:val="clear" w:color="auto" w:fill="F0FFFF"/>
          </w:tcPr>
          <w:p>
            <w:pPr>
              <w:ind w:left="800"/>
              <w:spacing w:after="0"/>
              <w:rPr>
                <w:sz w:val="20"/>
                <w:szCs w:val="20"/>
                <w:color w:val="auto"/>
              </w:rPr>
            </w:pPr>
            <w:r>
              <w:rPr>
                <w:rFonts w:ascii="Arial" w:cs="Arial" w:eastAsia="Arial" w:hAnsi="Arial"/>
                <w:sz w:val="18"/>
                <w:szCs w:val="18"/>
                <w:color w:val="auto"/>
              </w:rPr>
              <w:t>4.0</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8.34</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8"/>
                <w:szCs w:val="18"/>
                <w:color w:val="auto"/>
              </w:rPr>
              <w:t>Common equity tier 1 capital</w:t>
            </w: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790,517</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773,677</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868,148</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877,169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Tier I capital</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790,517</w:t>
            </w: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773,677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868,148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8"/>
                <w:szCs w:val="18"/>
                <w:color w:val="auto"/>
              </w:rPr>
              <w:t>Total capital</w:t>
            </w: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859,169</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844,667</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936,800</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948,159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F0FFFF"/>
          </w:tcPr>
          <w:p>
            <w:pPr>
              <w:spacing w:after="0"/>
              <w:rPr>
                <w:sz w:val="20"/>
                <w:szCs w:val="20"/>
                <w:color w:val="auto"/>
              </w:rPr>
            </w:pPr>
            <w:r>
              <w:rPr>
                <w:rFonts w:ascii="Arial" w:cs="Arial" w:eastAsia="Arial" w:hAnsi="Arial"/>
                <w:sz w:val="18"/>
                <w:szCs w:val="18"/>
                <w:color w:val="auto"/>
              </w:rPr>
              <w:t>Risk-weighted assets</w:t>
            </w: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6,980,996</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6,755,011</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6,960,958</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6,743,560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Average total assets</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9,367,732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9,282,243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9,352,001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9,264,133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Stock Price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Avg Daily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Close</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Volume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19.27</w:t>
            </w:r>
          </w:p>
        </w:tc>
        <w:tc>
          <w:tcPr>
            <w:tcW w:w="3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15.74</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18.47</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440,759</w:t>
            </w: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19.53</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18.88</w:t>
            </w:r>
          </w:p>
        </w:tc>
        <w:tc>
          <w:tcPr>
            <w:tcW w:w="3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21.23</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20.87</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22.23</w:t>
            </w:r>
          </w:p>
        </w:tc>
        <w:tc>
          <w:tcPr>
            <w:tcW w:w="1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18.58</w:t>
            </w: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20.44</w:t>
            </w:r>
          </w:p>
        </w:tc>
        <w:tc>
          <w:tcPr>
            <w:tcW w:w="3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319,884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22.23</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19.49</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376,214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2016 from that presented in the Annual Report on Form 10-K for the year ended December 31, 2015. The interest rate sensitivity position at March 31, 2016 is included in management’s discussion and analysis on page 56 of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March 31, 2016.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Steven J. Goldstein retired from the board of directors of United and the Bank for health reasons, effective March 1, 2016. Director Kenneth L. Daniels replaced Mr. Goldstein as chairman of the risk committees of United and the Bank. United reduced the number of seats on the board of directors from ten to nine and did not replace Mr. Goldstein’s seat as a result.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w w:val="97"/>
              </w:rPr>
              <w:t>Exhibits</w:t>
            </w:r>
          </w:p>
        </w:tc>
        <w:tc>
          <w:tcPr>
            <w:tcW w:w="9740" w:type="dxa"/>
            <w:vAlign w:val="bottom"/>
          </w:tcPr>
          <w:p>
            <w:pPr>
              <w:spacing w:after="0"/>
              <w:rPr>
                <w:sz w:val="20"/>
                <w:szCs w:val="20"/>
                <w:color w:val="auto"/>
              </w:rPr>
            </w:pPr>
          </w:p>
        </w:tc>
      </w:tr>
      <w:tr>
        <w:trPr>
          <w:trHeight w:val="432"/>
        </w:trPr>
        <w:tc>
          <w:tcPr>
            <w:tcW w:w="1680" w:type="dxa"/>
            <w:vAlign w:val="bottom"/>
            <w:gridSpan w:val="2"/>
          </w:tcPr>
          <w:p>
            <w:pPr>
              <w:ind w:left="18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418"/>
        </w:trPr>
        <w:tc>
          <w:tcPr>
            <w:tcW w:w="900" w:type="dxa"/>
            <w:vAlign w:val="bottom"/>
          </w:tcPr>
          <w:p>
            <w:pPr>
              <w:ind w:left="500"/>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4"/>
              </w:rPr>
              <w:t>Certification by Jimmy C. Tallent, Chairman and Chief Executive Officer of United Community Banks, Inc., pursuant to Exchange</w:t>
            </w:r>
          </w:p>
        </w:tc>
      </w:tr>
      <w:tr>
        <w:trPr>
          <w:trHeight w:val="230"/>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Act Rules 13a-14(a) and 15d-14(a), as adopted pursuant to Section 302 of the Sarbanes-Oxley Act of 2002.</w:t>
            </w:r>
          </w:p>
        </w:tc>
      </w:tr>
      <w:tr>
        <w:trPr>
          <w:trHeight w:val="418"/>
        </w:trPr>
        <w:tc>
          <w:tcPr>
            <w:tcW w:w="900" w:type="dxa"/>
            <w:vAlign w:val="bottom"/>
          </w:tcPr>
          <w:p>
            <w:pPr>
              <w:ind w:left="500"/>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Certification by Rex S. Schuette, Executive Vice President and Chief Financial Officer of United Community Banks, Inc., pursuant to</w:t>
            </w:r>
          </w:p>
        </w:tc>
      </w:tr>
      <w:tr>
        <w:trPr>
          <w:trHeight w:val="230"/>
        </w:trPr>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Exchange Act Rules 13a-14(a) and 15d-14(a), as adopted pursuant to Section 302 of the Sarbanes-Oxley Act of 2002.</w:t>
            </w:r>
          </w:p>
        </w:tc>
      </w:tr>
      <w:tr>
        <w:trPr>
          <w:trHeight w:val="432"/>
        </w:trPr>
        <w:tc>
          <w:tcPr>
            <w:tcW w:w="900" w:type="dxa"/>
            <w:vAlign w:val="bottom"/>
          </w:tcPr>
          <w:p>
            <w:pPr>
              <w:ind w:left="50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101.SCH</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101.DEF</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101.LAB</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680" w:type="dxa"/>
            <w:vAlign w:val="bottom"/>
            <w:gridSpan w:val="2"/>
          </w:tcPr>
          <w:p>
            <w:pPr>
              <w:ind w:left="50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740" w:type="dxa"/>
            <w:vAlign w:val="bottom"/>
          </w:tcPr>
          <w:p>
            <w:pPr>
              <w:ind w:left="362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hanging="4"/>
        <w:spacing w:after="0" w:line="277" w:lineRule="auto"/>
        <w:tabs>
          <w:tab w:leader="none" w:pos="84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1" w:name="page62"/>
    <w:bookmarkEnd w:id="61"/>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hanging="4"/>
        <w:spacing w:after="0" w:line="277" w:lineRule="auto"/>
        <w:tabs>
          <w:tab w:leader="none" w:pos="84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2016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2019-12-29T11:54:14Z</dcterms:created>
  <dcterms:modified xsi:type="dcterms:W3CDTF">2019-12-29T11:54:14Z</dcterms:modified>
</cp:coreProperties>
</file>