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311150</wp:posOffset>
            </wp:positionV>
            <wp:extent cx="714248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342900</wp:posOffset>
            </wp:positionV>
            <wp:extent cx="7142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8255"/>
                    </a:xfrm>
                    <a:prstGeom prst="rect">
                      <a:avLst/>
                    </a:prstGeom>
                    <a:noFill/>
                  </pic:spPr>
                </pic:pic>
              </a:graphicData>
            </a:graphic>
          </wp:anchor>
        </w:drawing>
        <w:t>UNITED STATES</w:t>
      </w:r>
    </w:p>
    <w:p>
      <w:pPr>
        <w:spacing w:after="0" w:line="25"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161925</wp:posOffset>
            </wp:positionV>
            <wp:extent cx="1787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7"/>
          <w:szCs w:val="17"/>
          <w:b w:val="1"/>
          <w:bCs w:val="1"/>
          <w:color w:val="auto"/>
        </w:rPr>
        <w:t>SCHEDULE 14A</w:t>
      </w:r>
    </w:p>
    <w:p>
      <w:pPr>
        <w:sectPr>
          <w:pgSz w:w="11900" w:h="16838" w:orient="portrait"/>
          <w:cols w:equalWidth="0" w:num="1">
            <w:col w:w="9839"/>
          </w:cols>
          <w:pgMar w:left="620" w:top="782" w:right="1440" w:bottom="1440" w:gutter="0" w:footer="0" w:header="0"/>
        </w:sectPr>
      </w:pPr>
    </w:p>
    <w:p>
      <w:pPr>
        <w:spacing w:after="0" w:line="20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Proxy Statement Pursuant to Section 14(a) of the</w:t>
      </w:r>
    </w:p>
    <w:p>
      <w:pPr>
        <w:spacing w:after="0" w:line="3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color w:val="auto"/>
        </w:rPr>
        <w:t>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161925</wp:posOffset>
            </wp:positionV>
            <wp:extent cx="1787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6" w:lineRule="exact"/>
        <w:rPr>
          <w:sz w:val="24"/>
          <w:szCs w:val="24"/>
          <w:color w:val="auto"/>
        </w:rPr>
      </w:pPr>
    </w:p>
    <w:p>
      <w:pPr>
        <w:sectPr>
          <w:pgSz w:w="11900" w:h="16838" w:orient="portrait"/>
          <w:cols w:equalWidth="0" w:num="2">
            <w:col w:w="6940" w:space="240"/>
            <w:col w:w="2659"/>
          </w:cols>
          <w:pgMar w:left="620" w:top="782" w:right="1440" w:bottom="1440" w:gutter="0" w:footer="0" w:header="0"/>
          <w:type w:val="continuous"/>
        </w:sectPr>
      </w:pP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8" w:lineRule="exact"/>
        <w:rPr>
          <w:sz w:val="24"/>
          <w:szCs w:val="24"/>
          <w:color w:val="auto"/>
        </w:rPr>
      </w:pPr>
    </w:p>
    <w:p>
      <w:pPr>
        <w:sectPr>
          <w:pgSz w:w="11900" w:h="16838" w:orient="portrait"/>
          <w:cols w:equalWidth="0" w:num="2">
            <w:col w:w="2740" w:space="460"/>
            <w:col w:w="6639"/>
          </w:cols>
          <w:pgMar w:left="620" w:top="782"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ectPr>
          <w:pgSz w:w="11900" w:h="16838" w:orient="portrait"/>
          <w:cols w:equalWidth="0" w:num="1">
            <w:col w:w="9839"/>
          </w:cols>
          <w:pgMar w:left="620" w:top="782" w:right="1440" w:bottom="1440" w:gutter="0" w:footer="0" w:header="0"/>
          <w:type w:val="continuous"/>
        </w:sectPr>
      </w:pPr>
    </w:p>
    <w:p>
      <w:pPr>
        <w:spacing w:after="0" w:line="216" w:lineRule="exact"/>
        <w:rPr>
          <w:sz w:val="24"/>
          <w:szCs w:val="24"/>
          <w:color w:val="auto"/>
        </w:rPr>
      </w:pPr>
    </w:p>
    <w:p>
      <w:pPr>
        <w:ind w:left="600" w:hanging="2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2" w:lineRule="exact"/>
        <w:rPr>
          <w:rFonts w:ascii="MS PGothic" w:cs="MS PGothic" w:eastAsia="MS PGothic" w:hAnsi="MS PGothic"/>
          <w:sz w:val="17"/>
          <w:szCs w:val="17"/>
          <w:color w:val="auto"/>
        </w:rPr>
      </w:pPr>
    </w:p>
    <w:p>
      <w:pPr>
        <w:ind w:left="600" w:hanging="2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4" w:lineRule="exact"/>
        <w:rPr>
          <w:rFonts w:ascii="MS PGothic" w:cs="MS PGothic" w:eastAsia="MS PGothic" w:hAnsi="MS PGothic"/>
          <w:sz w:val="17"/>
          <w:szCs w:val="17"/>
          <w:color w:val="auto"/>
        </w:rPr>
      </w:pPr>
    </w:p>
    <w:p>
      <w:pPr>
        <w:ind w:left="30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4" w:lineRule="exact"/>
        <w:rPr>
          <w:rFonts w:ascii="MS PGothic" w:cs="MS PGothic" w:eastAsia="MS PGothic" w:hAnsi="MS PGothic"/>
          <w:sz w:val="17"/>
          <w:szCs w:val="17"/>
          <w:color w:val="auto"/>
        </w:rPr>
      </w:pPr>
    </w:p>
    <w:p>
      <w:pPr>
        <w:ind w:left="600" w:hanging="2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4" w:lineRule="exact"/>
        <w:rPr>
          <w:rFonts w:ascii="MS PGothic" w:cs="MS PGothic" w:eastAsia="MS PGothic" w:hAnsi="MS PGothic"/>
          <w:sz w:val="17"/>
          <w:szCs w:val="17"/>
          <w:color w:val="auto"/>
        </w:rPr>
      </w:pPr>
    </w:p>
    <w:p>
      <w:pPr>
        <w:ind w:left="600" w:hanging="2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Section 240.14a-12</w:t>
      </w:r>
    </w:p>
    <w:p>
      <w:pPr>
        <w:spacing w:after="0" w:line="164"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6"/>
          <w:szCs w:val="26"/>
          <w:b w:val="1"/>
          <w:bCs w:val="1"/>
          <w:color w:val="auto"/>
        </w:rPr>
        <w:t>United Community Banks, Inc.</w:t>
      </w:r>
    </w:p>
    <w:p>
      <w:pPr>
        <w:spacing w:after="0" w:line="2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396"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-111125</wp:posOffset>
            </wp:positionV>
            <wp:extent cx="3575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05" w:lineRule="exact"/>
        <w:rPr>
          <w:sz w:val="24"/>
          <w:szCs w:val="24"/>
          <w:color w:val="auto"/>
        </w:rPr>
      </w:pPr>
    </w:p>
    <w:p>
      <w:pPr>
        <w:ind w:left="600" w:hanging="299"/>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5" w:lineRule="exact"/>
        <w:rPr>
          <w:sz w:val="24"/>
          <w:szCs w:val="24"/>
          <w:color w:val="auto"/>
        </w:rPr>
      </w:pPr>
    </w:p>
    <w:p>
      <w:pPr>
        <w:ind w:left="600" w:hanging="299"/>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4" w:lineRule="exact"/>
        <w:rPr>
          <w:rFonts w:ascii="MS PGothic" w:cs="MS PGothic" w:eastAsia="MS PGothic" w:hAnsi="MS PGothic"/>
          <w:sz w:val="17"/>
          <w:szCs w:val="17"/>
          <w:color w:val="auto"/>
        </w:rPr>
      </w:pPr>
    </w:p>
    <w:p>
      <w:pPr>
        <w:ind w:left="600" w:hanging="299"/>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-189865</wp:posOffset>
            </wp:positionH>
            <wp:positionV relativeFrom="paragraph">
              <wp:posOffset>172085</wp:posOffset>
            </wp:positionV>
            <wp:extent cx="7142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196215</wp:posOffset>
            </wp:positionV>
            <wp:extent cx="714248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625475</wp:posOffset>
            </wp:positionV>
            <wp:extent cx="7142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9839"/>
          </w:cols>
          <w:pgMar w:left="620" w:top="782" w:right="144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534035</wp:posOffset>
            </wp:positionV>
            <wp:extent cx="7142480" cy="7579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7579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525780</wp:posOffset>
            </wp:positionV>
            <wp:extent cx="2033905" cy="619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3905" cy="61976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444A54"/>
        </w:rPr>
        <w:t>April 2, 2025</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444A54"/>
        </w:rPr>
        <w:t>Dear Shareholders,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7"/>
          <w:szCs w:val="17"/>
          <w:color w:val="444A54"/>
        </w:rPr>
        <w:t>At United Community, we have worked hard to build a strong team, deliver exceptional customer service, and adopt a smart growth strategy—so we can be a consistent performer regardless of the environment. Coming out of 2023, a turbulent environment for all banks, we were well prepared, with strong capital and liquidity, to execute well in 2024. For the year, deposits grew by $150 million, or 1%, and loans, excluding the sale of our Manufactured Housing portfolio, grew by 1%. Operating earnings per share increased by 9% for the year, and our operating Return on Assets reached 1.08% in the final quarter of the year. We believe we are well prepared for a strong 2025.</w:t>
      </w:r>
    </w:p>
    <w:p>
      <w:pPr>
        <w:spacing w:after="0" w:line="157"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444A54"/>
        </w:rPr>
        <w:t>In addition to solid financial performance, our team continued to do the right things in 2024 to build long-term success. United was recognized by J.D. Power for the tenth time as #1 in Customer Satisfaction with Consumer Banking in the Southeast. We were also recognized for being #1 in Trust in the Southeast. We received 15 Greenwich Awards for excellence in small business and middle-market banking, and, for the eighth consecutive year, American Banker named us one of the Best Banks to Work For—one of only two banks with an asset size greater than $10 billion to make the list eight years in a row.</w:t>
      </w:r>
    </w:p>
    <w:p>
      <w:pPr>
        <w:spacing w:after="0" w:line="157"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444A54"/>
        </w:rPr>
        <w:t>We announced our merger with American National Bank, strengthening our presence in Florida and expanding our market footprint in this high-growth region. We added strength to our Board by adding Sally Pope Davis, one of the most respected bank investors in the country, further solidifying our United Board as one of the best in the business. I continue to be honored to work with a Board that represents you and United so well.</w:t>
      </w:r>
    </w:p>
    <w:p>
      <w:pPr>
        <w:spacing w:after="0" w:line="13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444A54"/>
        </w:rPr>
        <w:t>In closing, I would like to say thank you to a longtime Board member who will be retiring in 2025. David Shaver has served United since 2016 and brought a wealth of knowledge and experience that has guided us well over the years. We are grateful for all he has done for us and wish him well in his next chapter.</w:t>
      </w:r>
    </w:p>
    <w:p>
      <w:pPr>
        <w:spacing w:after="0" w:line="15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444A54"/>
        </w:rPr>
        <w:t>We will hold the 2025 Annual Meeting of Shareholders at 3:00pm ET on May 14, 2025. The 2025 Annual Meeting will again be held in a virtual meeting format. It is important that your shares be represented at the 2025 Annual Meeting, and we hope that you will participate. You can gain access to the 2025 Annual Meeting at www.virtualshareholdermeeting. com/ UCBI2025. Even if you anticipate participating in the virtual meeting, we ask that you please vote your proxy either by mail, telephone, or over the Internet in advance of the 2025 Annual Meeting to ensure that your shares will be represented.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444A54"/>
        </w:rPr>
        <w:t>I look forward to updating you on developments in our business at the 2025 Annual Meeting.</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444A54"/>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278890" cy="516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8890" cy="516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444A54"/>
        </w:rPr>
        <w:t>H. Lynn Harton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444A54"/>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1219200</wp:posOffset>
            </wp:positionV>
            <wp:extent cx="7142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472440</wp:posOffset>
            </wp:positionV>
            <wp:extent cx="6753225" cy="373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53225" cy="37338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rPr>
          <w:sz w:val="20"/>
          <w:szCs w:val="20"/>
          <w:color w:val="auto"/>
        </w:rPr>
      </w:pPr>
      <w:r>
        <w:rPr>
          <w:rFonts w:ascii="Arial" w:cs="Arial" w:eastAsia="Arial" w:hAnsi="Arial"/>
          <w:sz w:val="50"/>
          <w:szCs w:val="50"/>
          <w:b w:val="1"/>
          <w:bCs w:val="1"/>
          <w:color w:val="194C85"/>
        </w:rPr>
        <w:t>Notice of Annual Meeting of Shareholders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60" w:type="dxa"/>
            <w:vAlign w:val="bottom"/>
          </w:tcPr>
          <w:p>
            <w:pPr>
              <w:spacing w:after="0"/>
              <w:rPr>
                <w:sz w:val="20"/>
                <w:szCs w:val="20"/>
                <w:color w:val="auto"/>
              </w:rPr>
            </w:pPr>
            <w:r>
              <w:rPr>
                <w:rFonts w:ascii="Arial" w:cs="Arial" w:eastAsia="Arial" w:hAnsi="Arial"/>
                <w:sz w:val="17"/>
                <w:szCs w:val="17"/>
                <w:b w:val="1"/>
                <w:bCs w:val="1"/>
                <w:color w:val="017AB5"/>
              </w:rPr>
              <w:t>Date and Time:</w:t>
            </w:r>
          </w:p>
        </w:tc>
        <w:tc>
          <w:tcPr>
            <w:tcW w:w="7980" w:type="dxa"/>
            <w:vAlign w:val="bottom"/>
          </w:tcPr>
          <w:p>
            <w:pPr>
              <w:ind w:left="120"/>
              <w:spacing w:after="0"/>
              <w:rPr>
                <w:sz w:val="20"/>
                <w:szCs w:val="20"/>
                <w:color w:val="auto"/>
              </w:rPr>
            </w:pPr>
            <w:r>
              <w:rPr>
                <w:rFonts w:ascii="Arial" w:cs="Arial" w:eastAsia="Arial" w:hAnsi="Arial"/>
                <w:sz w:val="17"/>
                <w:szCs w:val="17"/>
                <w:color w:val="221E1F"/>
              </w:rPr>
              <w:t>May 14, 2025</w:t>
            </w:r>
          </w:p>
        </w:tc>
      </w:tr>
      <w:tr>
        <w:trPr>
          <w:trHeight w:val="221"/>
        </w:trPr>
        <w:tc>
          <w:tcPr>
            <w:tcW w:w="3260" w:type="dxa"/>
            <w:vAlign w:val="bottom"/>
          </w:tcPr>
          <w:p>
            <w:pPr>
              <w:spacing w:after="0"/>
              <w:rPr>
                <w:sz w:val="19"/>
                <w:szCs w:val="19"/>
                <w:color w:val="auto"/>
              </w:rPr>
            </w:pPr>
          </w:p>
        </w:tc>
        <w:tc>
          <w:tcPr>
            <w:tcW w:w="7980" w:type="dxa"/>
            <w:vAlign w:val="bottom"/>
          </w:tcPr>
          <w:p>
            <w:pPr>
              <w:ind w:left="120"/>
              <w:spacing w:after="0"/>
              <w:rPr>
                <w:sz w:val="20"/>
                <w:szCs w:val="20"/>
                <w:color w:val="auto"/>
              </w:rPr>
            </w:pPr>
            <w:r>
              <w:rPr>
                <w:rFonts w:ascii="Arial" w:cs="Arial" w:eastAsia="Arial" w:hAnsi="Arial"/>
                <w:sz w:val="17"/>
                <w:szCs w:val="17"/>
                <w:color w:val="221E1F"/>
              </w:rPr>
              <w:t>3:00 p.m. Eastern Time</w:t>
            </w:r>
          </w:p>
        </w:tc>
      </w:tr>
      <w:tr>
        <w:trPr>
          <w:trHeight w:val="342"/>
        </w:trPr>
        <w:tc>
          <w:tcPr>
            <w:tcW w:w="3260" w:type="dxa"/>
            <w:vAlign w:val="bottom"/>
          </w:tcPr>
          <w:p>
            <w:pPr>
              <w:spacing w:after="0"/>
              <w:rPr>
                <w:sz w:val="20"/>
                <w:szCs w:val="20"/>
                <w:color w:val="auto"/>
              </w:rPr>
            </w:pPr>
            <w:r>
              <w:rPr>
                <w:rFonts w:ascii="Arial" w:cs="Arial" w:eastAsia="Arial" w:hAnsi="Arial"/>
                <w:sz w:val="17"/>
                <w:szCs w:val="17"/>
                <w:b w:val="1"/>
                <w:bCs w:val="1"/>
                <w:color w:val="017AB5"/>
              </w:rPr>
              <w:t>Place:</w:t>
            </w:r>
          </w:p>
        </w:tc>
        <w:tc>
          <w:tcPr>
            <w:tcW w:w="7980" w:type="dxa"/>
            <w:vAlign w:val="bottom"/>
          </w:tcPr>
          <w:p>
            <w:pPr>
              <w:ind w:left="120"/>
              <w:spacing w:after="0"/>
              <w:rPr>
                <w:sz w:val="20"/>
                <w:szCs w:val="20"/>
                <w:color w:val="auto"/>
              </w:rPr>
            </w:pPr>
            <w:r>
              <w:rPr>
                <w:rFonts w:ascii="Arial" w:cs="Arial" w:eastAsia="Arial" w:hAnsi="Arial"/>
                <w:sz w:val="17"/>
                <w:szCs w:val="17"/>
                <w:color w:val="221E1F"/>
              </w:rPr>
              <w:t>We will host the 2025 Annual Meeting of Shareholders by webcast. You may attend virtually at</w:t>
            </w:r>
          </w:p>
        </w:tc>
      </w:tr>
      <w:tr>
        <w:trPr>
          <w:trHeight w:val="221"/>
        </w:trPr>
        <w:tc>
          <w:tcPr>
            <w:tcW w:w="3260" w:type="dxa"/>
            <w:vAlign w:val="bottom"/>
          </w:tcPr>
          <w:p>
            <w:pPr>
              <w:spacing w:after="0"/>
              <w:rPr>
                <w:sz w:val="19"/>
                <w:szCs w:val="19"/>
                <w:color w:val="auto"/>
              </w:rPr>
            </w:pPr>
          </w:p>
        </w:tc>
        <w:tc>
          <w:tcPr>
            <w:tcW w:w="7980" w:type="dxa"/>
            <w:vAlign w:val="bottom"/>
          </w:tcPr>
          <w:p>
            <w:pPr>
              <w:ind w:left="120"/>
              <w:spacing w:after="0"/>
              <w:rPr>
                <w:sz w:val="20"/>
                <w:szCs w:val="20"/>
                <w:color w:val="auto"/>
              </w:rPr>
            </w:pPr>
            <w:r>
              <w:rPr>
                <w:rFonts w:ascii="Arial" w:cs="Arial" w:eastAsia="Arial" w:hAnsi="Arial"/>
                <w:sz w:val="17"/>
                <w:szCs w:val="17"/>
                <w:color w:val="221E1F"/>
              </w:rPr>
              <w:t>www.virtualshareholdermeeting.com/UCBI2025.</w:t>
            </w:r>
          </w:p>
        </w:tc>
      </w:tr>
      <w:tr>
        <w:trPr>
          <w:trHeight w:val="342"/>
        </w:trPr>
        <w:tc>
          <w:tcPr>
            <w:tcW w:w="3260" w:type="dxa"/>
            <w:vAlign w:val="bottom"/>
          </w:tcPr>
          <w:p>
            <w:pPr>
              <w:spacing w:after="0"/>
              <w:rPr>
                <w:sz w:val="20"/>
                <w:szCs w:val="20"/>
                <w:color w:val="auto"/>
              </w:rPr>
            </w:pPr>
            <w:r>
              <w:rPr>
                <w:rFonts w:ascii="Arial" w:cs="Arial" w:eastAsia="Arial" w:hAnsi="Arial"/>
                <w:sz w:val="17"/>
                <w:szCs w:val="17"/>
                <w:b w:val="1"/>
                <w:bCs w:val="1"/>
                <w:color w:val="017AB5"/>
              </w:rPr>
              <w:t>Items of Business:</w:t>
            </w:r>
          </w:p>
        </w:tc>
        <w:tc>
          <w:tcPr>
            <w:tcW w:w="7980" w:type="dxa"/>
            <w:vAlign w:val="bottom"/>
          </w:tcPr>
          <w:p>
            <w:pPr>
              <w:ind w:left="120"/>
              <w:spacing w:after="0"/>
              <w:rPr>
                <w:sz w:val="20"/>
                <w:szCs w:val="20"/>
                <w:color w:val="auto"/>
              </w:rPr>
            </w:pPr>
            <w:r>
              <w:rPr>
                <w:rFonts w:ascii="Arial" w:cs="Arial" w:eastAsia="Arial" w:hAnsi="Arial"/>
                <w:sz w:val="17"/>
                <w:szCs w:val="17"/>
                <w:color w:val="221E1F"/>
              </w:rPr>
              <w:t>1.  Proposal to elect the 12 nominees listed in the accompanying Proxy Statement to our Board of</w:t>
            </w:r>
          </w:p>
        </w:tc>
      </w:tr>
      <w:tr>
        <w:trPr>
          <w:trHeight w:val="188"/>
        </w:trPr>
        <w:tc>
          <w:tcPr>
            <w:tcW w:w="3260" w:type="dxa"/>
            <w:vAlign w:val="bottom"/>
          </w:tcPr>
          <w:p>
            <w:pPr>
              <w:spacing w:after="0"/>
              <w:rPr>
                <w:sz w:val="16"/>
                <w:szCs w:val="16"/>
                <w:color w:val="auto"/>
              </w:rPr>
            </w:pPr>
          </w:p>
        </w:tc>
        <w:tc>
          <w:tcPr>
            <w:tcW w:w="7980" w:type="dxa"/>
            <w:vAlign w:val="bottom"/>
          </w:tcPr>
          <w:p>
            <w:pPr>
              <w:ind w:left="460"/>
              <w:spacing w:after="0" w:line="188" w:lineRule="exact"/>
              <w:rPr>
                <w:sz w:val="20"/>
                <w:szCs w:val="20"/>
                <w:color w:val="auto"/>
              </w:rPr>
            </w:pPr>
            <w:r>
              <w:rPr>
                <w:rFonts w:ascii="Arial" w:cs="Arial" w:eastAsia="Arial" w:hAnsi="Arial"/>
                <w:sz w:val="17"/>
                <w:szCs w:val="17"/>
                <w:color w:val="221E1F"/>
              </w:rPr>
              <w:t>Directors</w:t>
            </w:r>
          </w:p>
        </w:tc>
      </w:tr>
      <w:tr>
        <w:trPr>
          <w:trHeight w:val="188"/>
        </w:trPr>
        <w:tc>
          <w:tcPr>
            <w:tcW w:w="3260" w:type="dxa"/>
            <w:vAlign w:val="bottom"/>
          </w:tcPr>
          <w:p>
            <w:pPr>
              <w:spacing w:after="0"/>
              <w:rPr>
                <w:sz w:val="16"/>
                <w:szCs w:val="16"/>
                <w:color w:val="auto"/>
              </w:rPr>
            </w:pPr>
          </w:p>
        </w:tc>
        <w:tc>
          <w:tcPr>
            <w:tcW w:w="7980" w:type="dxa"/>
            <w:vAlign w:val="bottom"/>
          </w:tcPr>
          <w:p>
            <w:pPr>
              <w:ind w:left="120"/>
              <w:spacing w:after="0" w:line="188" w:lineRule="exact"/>
              <w:rPr>
                <w:sz w:val="20"/>
                <w:szCs w:val="20"/>
                <w:color w:val="auto"/>
              </w:rPr>
            </w:pPr>
            <w:r>
              <w:rPr>
                <w:rFonts w:ascii="Arial" w:cs="Arial" w:eastAsia="Arial" w:hAnsi="Arial"/>
                <w:sz w:val="17"/>
                <w:szCs w:val="17"/>
                <w:color w:val="221E1F"/>
              </w:rPr>
              <w:t>2.  Proposal to approve, on an advisory basis, the compensation paid to our Named Executive Officers</w:t>
            </w:r>
          </w:p>
        </w:tc>
      </w:tr>
      <w:tr>
        <w:trPr>
          <w:trHeight w:val="188"/>
        </w:trPr>
        <w:tc>
          <w:tcPr>
            <w:tcW w:w="3260" w:type="dxa"/>
            <w:vAlign w:val="bottom"/>
          </w:tcPr>
          <w:p>
            <w:pPr>
              <w:spacing w:after="0"/>
              <w:rPr>
                <w:sz w:val="16"/>
                <w:szCs w:val="16"/>
                <w:color w:val="auto"/>
              </w:rPr>
            </w:pPr>
          </w:p>
        </w:tc>
        <w:tc>
          <w:tcPr>
            <w:tcW w:w="7980" w:type="dxa"/>
            <w:vAlign w:val="bottom"/>
          </w:tcPr>
          <w:p>
            <w:pPr>
              <w:ind w:left="120"/>
              <w:spacing w:after="0" w:line="188" w:lineRule="exact"/>
              <w:rPr>
                <w:sz w:val="20"/>
                <w:szCs w:val="20"/>
                <w:color w:val="auto"/>
              </w:rPr>
            </w:pPr>
            <w:r>
              <w:rPr>
                <w:rFonts w:ascii="Arial" w:cs="Arial" w:eastAsia="Arial" w:hAnsi="Arial"/>
                <w:sz w:val="17"/>
                <w:szCs w:val="17"/>
                <w:color w:val="221E1F"/>
              </w:rPr>
              <w:t>3.  Proposal to approve, on an advisory basis, the frequency of the advisory vote on executive</w:t>
            </w:r>
          </w:p>
        </w:tc>
      </w:tr>
      <w:tr>
        <w:trPr>
          <w:trHeight w:val="188"/>
        </w:trPr>
        <w:tc>
          <w:tcPr>
            <w:tcW w:w="3260" w:type="dxa"/>
            <w:vAlign w:val="bottom"/>
          </w:tcPr>
          <w:p>
            <w:pPr>
              <w:spacing w:after="0"/>
              <w:rPr>
                <w:sz w:val="16"/>
                <w:szCs w:val="16"/>
                <w:color w:val="auto"/>
              </w:rPr>
            </w:pPr>
          </w:p>
        </w:tc>
        <w:tc>
          <w:tcPr>
            <w:tcW w:w="7980" w:type="dxa"/>
            <w:vAlign w:val="bottom"/>
          </w:tcPr>
          <w:p>
            <w:pPr>
              <w:ind w:left="460"/>
              <w:spacing w:after="0" w:line="188" w:lineRule="exact"/>
              <w:rPr>
                <w:sz w:val="20"/>
                <w:szCs w:val="20"/>
                <w:color w:val="auto"/>
              </w:rPr>
            </w:pPr>
            <w:r>
              <w:rPr>
                <w:rFonts w:ascii="Arial" w:cs="Arial" w:eastAsia="Arial" w:hAnsi="Arial"/>
                <w:sz w:val="17"/>
                <w:szCs w:val="17"/>
                <w:color w:val="221E1F"/>
              </w:rPr>
              <w:t>compensation</w:t>
            </w:r>
          </w:p>
        </w:tc>
      </w:tr>
      <w:tr>
        <w:trPr>
          <w:trHeight w:val="188"/>
        </w:trPr>
        <w:tc>
          <w:tcPr>
            <w:tcW w:w="3260" w:type="dxa"/>
            <w:vAlign w:val="bottom"/>
          </w:tcPr>
          <w:p>
            <w:pPr>
              <w:spacing w:after="0"/>
              <w:rPr>
                <w:sz w:val="16"/>
                <w:szCs w:val="16"/>
                <w:color w:val="auto"/>
              </w:rPr>
            </w:pPr>
          </w:p>
        </w:tc>
        <w:tc>
          <w:tcPr>
            <w:tcW w:w="7980" w:type="dxa"/>
            <w:vAlign w:val="bottom"/>
          </w:tcPr>
          <w:p>
            <w:pPr>
              <w:ind w:left="120"/>
              <w:spacing w:after="0" w:line="188" w:lineRule="exact"/>
              <w:rPr>
                <w:sz w:val="20"/>
                <w:szCs w:val="20"/>
                <w:color w:val="auto"/>
              </w:rPr>
            </w:pPr>
            <w:r>
              <w:rPr>
                <w:rFonts w:ascii="Arial" w:cs="Arial" w:eastAsia="Arial" w:hAnsi="Arial"/>
                <w:sz w:val="17"/>
                <w:szCs w:val="17"/>
                <w:color w:val="221E1F"/>
              </w:rPr>
              <w:t>4.  Proposal to ratify the appointment of PricewaterhouseCoopers LLP as our independent registered</w:t>
            </w:r>
          </w:p>
        </w:tc>
      </w:tr>
      <w:tr>
        <w:trPr>
          <w:trHeight w:val="221"/>
        </w:trPr>
        <w:tc>
          <w:tcPr>
            <w:tcW w:w="3260" w:type="dxa"/>
            <w:vAlign w:val="bottom"/>
          </w:tcPr>
          <w:p>
            <w:pPr>
              <w:spacing w:after="0"/>
              <w:rPr>
                <w:sz w:val="19"/>
                <w:szCs w:val="19"/>
                <w:color w:val="auto"/>
              </w:rPr>
            </w:pPr>
          </w:p>
        </w:tc>
        <w:tc>
          <w:tcPr>
            <w:tcW w:w="7980" w:type="dxa"/>
            <w:vAlign w:val="bottom"/>
          </w:tcPr>
          <w:p>
            <w:pPr>
              <w:ind w:left="460"/>
              <w:spacing w:after="0"/>
              <w:rPr>
                <w:sz w:val="20"/>
                <w:szCs w:val="20"/>
                <w:color w:val="auto"/>
              </w:rPr>
            </w:pPr>
            <w:r>
              <w:rPr>
                <w:rFonts w:ascii="Arial" w:cs="Arial" w:eastAsia="Arial" w:hAnsi="Arial"/>
                <w:sz w:val="17"/>
                <w:szCs w:val="17"/>
                <w:color w:val="221E1F"/>
              </w:rPr>
              <w:t>public accounting firm for the fiscal year ending December 31, 2025</w:t>
            </w:r>
          </w:p>
        </w:tc>
      </w:tr>
      <w:tr>
        <w:trPr>
          <w:trHeight w:val="342"/>
        </w:trPr>
        <w:tc>
          <w:tcPr>
            <w:tcW w:w="3260" w:type="dxa"/>
            <w:vAlign w:val="bottom"/>
          </w:tcPr>
          <w:p>
            <w:pPr>
              <w:spacing w:after="0"/>
              <w:rPr>
                <w:sz w:val="24"/>
                <w:szCs w:val="24"/>
                <w:color w:val="auto"/>
              </w:rPr>
            </w:pPr>
          </w:p>
        </w:tc>
        <w:tc>
          <w:tcPr>
            <w:tcW w:w="7980" w:type="dxa"/>
            <w:vAlign w:val="bottom"/>
          </w:tcPr>
          <w:p>
            <w:pPr>
              <w:ind w:left="120"/>
              <w:spacing w:after="0"/>
              <w:rPr>
                <w:sz w:val="20"/>
                <w:szCs w:val="20"/>
                <w:color w:val="auto"/>
              </w:rPr>
            </w:pPr>
            <w:r>
              <w:rPr>
                <w:rFonts w:ascii="Arial" w:cs="Arial" w:eastAsia="Arial" w:hAnsi="Arial"/>
                <w:sz w:val="17"/>
                <w:szCs w:val="17"/>
                <w:color w:val="221E1F"/>
              </w:rPr>
              <w:t>Shareholders will also consider such other business as may properly come before the meeting or any</w:t>
            </w:r>
          </w:p>
        </w:tc>
      </w:tr>
      <w:tr>
        <w:trPr>
          <w:trHeight w:val="221"/>
        </w:trPr>
        <w:tc>
          <w:tcPr>
            <w:tcW w:w="3260" w:type="dxa"/>
            <w:vAlign w:val="bottom"/>
          </w:tcPr>
          <w:p>
            <w:pPr>
              <w:spacing w:after="0"/>
              <w:rPr>
                <w:sz w:val="19"/>
                <w:szCs w:val="19"/>
                <w:color w:val="auto"/>
              </w:rPr>
            </w:pPr>
          </w:p>
        </w:tc>
        <w:tc>
          <w:tcPr>
            <w:tcW w:w="7980" w:type="dxa"/>
            <w:vAlign w:val="bottom"/>
          </w:tcPr>
          <w:p>
            <w:pPr>
              <w:ind w:left="120"/>
              <w:spacing w:after="0"/>
              <w:rPr>
                <w:sz w:val="20"/>
                <w:szCs w:val="20"/>
                <w:color w:val="auto"/>
              </w:rPr>
            </w:pPr>
            <w:r>
              <w:rPr>
                <w:rFonts w:ascii="Arial" w:cs="Arial" w:eastAsia="Arial" w:hAnsi="Arial"/>
                <w:sz w:val="17"/>
                <w:szCs w:val="17"/>
                <w:color w:val="221E1F"/>
              </w:rPr>
              <w:t>adjournment thereof.</w:t>
            </w:r>
          </w:p>
        </w:tc>
      </w:tr>
      <w:tr>
        <w:trPr>
          <w:trHeight w:val="342"/>
        </w:trPr>
        <w:tc>
          <w:tcPr>
            <w:tcW w:w="3260" w:type="dxa"/>
            <w:vAlign w:val="bottom"/>
          </w:tcPr>
          <w:p>
            <w:pPr>
              <w:spacing w:after="0"/>
              <w:rPr>
                <w:sz w:val="20"/>
                <w:szCs w:val="20"/>
                <w:color w:val="auto"/>
              </w:rPr>
            </w:pPr>
            <w:r>
              <w:rPr>
                <w:rFonts w:ascii="Arial" w:cs="Arial" w:eastAsia="Arial" w:hAnsi="Arial"/>
                <w:sz w:val="17"/>
                <w:szCs w:val="17"/>
                <w:b w:val="1"/>
                <w:bCs w:val="1"/>
                <w:color w:val="017AB5"/>
              </w:rPr>
              <w:t>Record Date:</w:t>
            </w:r>
          </w:p>
        </w:tc>
        <w:tc>
          <w:tcPr>
            <w:tcW w:w="7980" w:type="dxa"/>
            <w:vAlign w:val="bottom"/>
          </w:tcPr>
          <w:p>
            <w:pPr>
              <w:ind w:left="120"/>
              <w:spacing w:after="0"/>
              <w:rPr>
                <w:sz w:val="20"/>
                <w:szCs w:val="20"/>
                <w:color w:val="auto"/>
              </w:rPr>
            </w:pPr>
            <w:r>
              <w:rPr>
                <w:rFonts w:ascii="Arial" w:cs="Arial" w:eastAsia="Arial" w:hAnsi="Arial"/>
                <w:sz w:val="17"/>
                <w:szCs w:val="17"/>
                <w:color w:val="221E1F"/>
              </w:rPr>
              <w:t>You may vote at the meeting if you were a shareholder of record at the close of business on March 17,</w:t>
            </w:r>
          </w:p>
        </w:tc>
      </w:tr>
      <w:tr>
        <w:trPr>
          <w:trHeight w:val="221"/>
        </w:trPr>
        <w:tc>
          <w:tcPr>
            <w:tcW w:w="3260" w:type="dxa"/>
            <w:vAlign w:val="bottom"/>
          </w:tcPr>
          <w:p>
            <w:pPr>
              <w:spacing w:after="0"/>
              <w:rPr>
                <w:sz w:val="19"/>
                <w:szCs w:val="19"/>
                <w:color w:val="auto"/>
              </w:rPr>
            </w:pPr>
          </w:p>
        </w:tc>
        <w:tc>
          <w:tcPr>
            <w:tcW w:w="7980" w:type="dxa"/>
            <w:vAlign w:val="bottom"/>
          </w:tcPr>
          <w:p>
            <w:pPr>
              <w:ind w:left="120"/>
              <w:spacing w:after="0"/>
              <w:rPr>
                <w:sz w:val="20"/>
                <w:szCs w:val="20"/>
                <w:color w:val="auto"/>
              </w:rPr>
            </w:pPr>
            <w:r>
              <w:rPr>
                <w:rFonts w:ascii="Arial" w:cs="Arial" w:eastAsia="Arial" w:hAnsi="Arial"/>
                <w:sz w:val="17"/>
                <w:szCs w:val="17"/>
                <w:color w:val="221E1F"/>
              </w:rPr>
              <w:t>2025.</w:t>
            </w:r>
          </w:p>
        </w:tc>
      </w:tr>
      <w:tr>
        <w:trPr>
          <w:trHeight w:val="342"/>
        </w:trPr>
        <w:tc>
          <w:tcPr>
            <w:tcW w:w="3260" w:type="dxa"/>
            <w:vAlign w:val="bottom"/>
          </w:tcPr>
          <w:p>
            <w:pPr>
              <w:spacing w:after="0"/>
              <w:rPr>
                <w:sz w:val="20"/>
                <w:szCs w:val="20"/>
                <w:color w:val="auto"/>
              </w:rPr>
            </w:pPr>
            <w:r>
              <w:rPr>
                <w:rFonts w:ascii="Arial" w:cs="Arial" w:eastAsia="Arial" w:hAnsi="Arial"/>
                <w:sz w:val="17"/>
                <w:szCs w:val="17"/>
                <w:b w:val="1"/>
                <w:bCs w:val="1"/>
                <w:color w:val="017AB5"/>
              </w:rPr>
              <w:t>Voting:</w:t>
            </w:r>
          </w:p>
        </w:tc>
        <w:tc>
          <w:tcPr>
            <w:tcW w:w="7980" w:type="dxa"/>
            <w:vAlign w:val="bottom"/>
          </w:tcPr>
          <w:p>
            <w:pPr>
              <w:ind w:left="120"/>
              <w:spacing w:after="0"/>
              <w:rPr>
                <w:sz w:val="20"/>
                <w:szCs w:val="20"/>
                <w:color w:val="auto"/>
              </w:rPr>
            </w:pPr>
            <w:r>
              <w:rPr>
                <w:rFonts w:ascii="Arial" w:cs="Arial" w:eastAsia="Arial" w:hAnsi="Arial"/>
                <w:sz w:val="17"/>
                <w:szCs w:val="17"/>
                <w:color w:val="221E1F"/>
              </w:rPr>
              <w:t>You may vote your shares by Internet or telephone as directed in the proxy materials. If you received a</w:t>
            </w:r>
          </w:p>
        </w:tc>
      </w:tr>
      <w:tr>
        <w:trPr>
          <w:trHeight w:val="188"/>
        </w:trPr>
        <w:tc>
          <w:tcPr>
            <w:tcW w:w="3260" w:type="dxa"/>
            <w:vAlign w:val="bottom"/>
          </w:tcPr>
          <w:p>
            <w:pPr>
              <w:spacing w:after="0"/>
              <w:rPr>
                <w:sz w:val="16"/>
                <w:szCs w:val="16"/>
                <w:color w:val="auto"/>
              </w:rPr>
            </w:pPr>
          </w:p>
        </w:tc>
        <w:tc>
          <w:tcPr>
            <w:tcW w:w="7980" w:type="dxa"/>
            <w:vAlign w:val="bottom"/>
          </w:tcPr>
          <w:p>
            <w:pPr>
              <w:ind w:left="120"/>
              <w:spacing w:after="0" w:line="188" w:lineRule="exact"/>
              <w:rPr>
                <w:sz w:val="20"/>
                <w:szCs w:val="20"/>
                <w:color w:val="auto"/>
              </w:rPr>
            </w:pPr>
            <w:r>
              <w:rPr>
                <w:rFonts w:ascii="Arial" w:cs="Arial" w:eastAsia="Arial" w:hAnsi="Arial"/>
                <w:sz w:val="17"/>
                <w:szCs w:val="17"/>
                <w:color w:val="221E1F"/>
              </w:rPr>
              <w:t>printed copy of the proxy materials, you may also complete, sign, and return the enclosed proxy card or</w:t>
            </w:r>
          </w:p>
        </w:tc>
      </w:tr>
      <w:tr>
        <w:trPr>
          <w:trHeight w:val="188"/>
        </w:trPr>
        <w:tc>
          <w:tcPr>
            <w:tcW w:w="3260" w:type="dxa"/>
            <w:vAlign w:val="bottom"/>
          </w:tcPr>
          <w:p>
            <w:pPr>
              <w:spacing w:after="0"/>
              <w:rPr>
                <w:sz w:val="16"/>
                <w:szCs w:val="16"/>
                <w:color w:val="auto"/>
              </w:rPr>
            </w:pPr>
          </w:p>
        </w:tc>
        <w:tc>
          <w:tcPr>
            <w:tcW w:w="7980" w:type="dxa"/>
            <w:vAlign w:val="bottom"/>
          </w:tcPr>
          <w:p>
            <w:pPr>
              <w:ind w:left="120"/>
              <w:spacing w:after="0" w:line="188" w:lineRule="exact"/>
              <w:rPr>
                <w:sz w:val="20"/>
                <w:szCs w:val="20"/>
                <w:color w:val="auto"/>
              </w:rPr>
            </w:pPr>
            <w:r>
              <w:rPr>
                <w:rFonts w:ascii="Arial" w:cs="Arial" w:eastAsia="Arial" w:hAnsi="Arial"/>
                <w:sz w:val="17"/>
                <w:szCs w:val="17"/>
                <w:color w:val="221E1F"/>
              </w:rPr>
              <w:t>voting instruction form by mail. Voting in any of these ways will not prevent you from participating in or</w:t>
            </w:r>
          </w:p>
        </w:tc>
      </w:tr>
      <w:tr>
        <w:trPr>
          <w:trHeight w:val="188"/>
        </w:trPr>
        <w:tc>
          <w:tcPr>
            <w:tcW w:w="3260" w:type="dxa"/>
            <w:vAlign w:val="bottom"/>
          </w:tcPr>
          <w:p>
            <w:pPr>
              <w:spacing w:after="0"/>
              <w:rPr>
                <w:sz w:val="16"/>
                <w:szCs w:val="16"/>
                <w:color w:val="auto"/>
              </w:rPr>
            </w:pPr>
          </w:p>
        </w:tc>
        <w:tc>
          <w:tcPr>
            <w:tcW w:w="7980" w:type="dxa"/>
            <w:vAlign w:val="bottom"/>
          </w:tcPr>
          <w:p>
            <w:pPr>
              <w:ind w:left="120"/>
              <w:spacing w:after="0" w:line="188" w:lineRule="exact"/>
              <w:rPr>
                <w:sz w:val="20"/>
                <w:szCs w:val="20"/>
                <w:color w:val="auto"/>
              </w:rPr>
            </w:pPr>
            <w:r>
              <w:rPr>
                <w:rFonts w:ascii="Arial" w:cs="Arial" w:eastAsia="Arial" w:hAnsi="Arial"/>
                <w:sz w:val="17"/>
                <w:szCs w:val="17"/>
                <w:color w:val="221E1F"/>
              </w:rPr>
              <w:t>voting your shares at the annual meeting. We encourage you to vote by Internet or telephone to reduce</w:t>
            </w:r>
          </w:p>
        </w:tc>
      </w:tr>
      <w:tr>
        <w:trPr>
          <w:trHeight w:val="221"/>
        </w:trPr>
        <w:tc>
          <w:tcPr>
            <w:tcW w:w="3260" w:type="dxa"/>
            <w:vAlign w:val="bottom"/>
          </w:tcPr>
          <w:p>
            <w:pPr>
              <w:spacing w:after="0"/>
              <w:rPr>
                <w:sz w:val="19"/>
                <w:szCs w:val="19"/>
                <w:color w:val="auto"/>
              </w:rPr>
            </w:pPr>
          </w:p>
        </w:tc>
        <w:tc>
          <w:tcPr>
            <w:tcW w:w="7980" w:type="dxa"/>
            <w:vAlign w:val="bottom"/>
          </w:tcPr>
          <w:p>
            <w:pPr>
              <w:ind w:left="120"/>
              <w:spacing w:after="0"/>
              <w:rPr>
                <w:sz w:val="20"/>
                <w:szCs w:val="20"/>
                <w:color w:val="auto"/>
              </w:rPr>
            </w:pPr>
            <w:r>
              <w:rPr>
                <w:rFonts w:ascii="Arial" w:cs="Arial" w:eastAsia="Arial" w:hAnsi="Arial"/>
                <w:sz w:val="17"/>
                <w:szCs w:val="17"/>
                <w:color w:val="221E1F"/>
              </w:rPr>
              <w:t>mailing and handling expenses.</w:t>
            </w:r>
          </w:p>
        </w:tc>
      </w:tr>
      <w:tr>
        <w:trPr>
          <w:trHeight w:val="342"/>
        </w:trPr>
        <w:tc>
          <w:tcPr>
            <w:tcW w:w="3260" w:type="dxa"/>
            <w:vAlign w:val="bottom"/>
          </w:tcPr>
          <w:p>
            <w:pPr>
              <w:spacing w:after="0"/>
              <w:rPr>
                <w:sz w:val="20"/>
                <w:szCs w:val="20"/>
                <w:color w:val="auto"/>
              </w:rPr>
            </w:pPr>
            <w:r>
              <w:rPr>
                <w:rFonts w:ascii="Arial" w:cs="Arial" w:eastAsia="Arial" w:hAnsi="Arial"/>
                <w:sz w:val="17"/>
                <w:szCs w:val="17"/>
                <w:b w:val="1"/>
                <w:bCs w:val="1"/>
                <w:color w:val="017AB5"/>
              </w:rPr>
              <w:t>Internet Availability of</w:t>
            </w:r>
          </w:p>
        </w:tc>
        <w:tc>
          <w:tcPr>
            <w:tcW w:w="7980" w:type="dxa"/>
            <w:vAlign w:val="bottom"/>
          </w:tcPr>
          <w:p>
            <w:pPr>
              <w:ind w:left="120"/>
              <w:spacing w:after="0"/>
              <w:rPr>
                <w:sz w:val="20"/>
                <w:szCs w:val="20"/>
                <w:color w:val="auto"/>
              </w:rPr>
            </w:pPr>
            <w:r>
              <w:rPr>
                <w:rFonts w:ascii="Arial" w:cs="Arial" w:eastAsia="Arial" w:hAnsi="Arial"/>
                <w:sz w:val="17"/>
                <w:szCs w:val="17"/>
                <w:b w:val="1"/>
                <w:bCs w:val="1"/>
                <w:color w:val="221E1F"/>
              </w:rPr>
              <w:t>Important Notice Regarding the Availability of Proxy Materials for the Shareholder Meeting to be</w:t>
            </w:r>
          </w:p>
        </w:tc>
      </w:tr>
      <w:tr>
        <w:trPr>
          <w:trHeight w:val="188"/>
        </w:trPr>
        <w:tc>
          <w:tcPr>
            <w:tcW w:w="3260" w:type="dxa"/>
            <w:vAlign w:val="bottom"/>
          </w:tcPr>
          <w:p>
            <w:pPr>
              <w:spacing w:after="0" w:line="188" w:lineRule="exact"/>
              <w:rPr>
                <w:sz w:val="20"/>
                <w:szCs w:val="20"/>
                <w:color w:val="auto"/>
              </w:rPr>
            </w:pPr>
            <w:r>
              <w:rPr>
                <w:rFonts w:ascii="Arial" w:cs="Arial" w:eastAsia="Arial" w:hAnsi="Arial"/>
                <w:sz w:val="17"/>
                <w:szCs w:val="17"/>
                <w:b w:val="1"/>
                <w:bCs w:val="1"/>
                <w:color w:val="017AB5"/>
              </w:rPr>
              <w:t>Proxy Materials:</w:t>
            </w:r>
          </w:p>
        </w:tc>
        <w:tc>
          <w:tcPr>
            <w:tcW w:w="7980" w:type="dxa"/>
            <w:vAlign w:val="bottom"/>
          </w:tcPr>
          <w:p>
            <w:pPr>
              <w:ind w:left="120"/>
              <w:spacing w:after="0" w:line="188" w:lineRule="exact"/>
              <w:rPr>
                <w:sz w:val="20"/>
                <w:szCs w:val="20"/>
                <w:color w:val="auto"/>
              </w:rPr>
            </w:pPr>
            <w:r>
              <w:rPr>
                <w:rFonts w:ascii="Arial" w:cs="Arial" w:eastAsia="Arial" w:hAnsi="Arial"/>
                <w:sz w:val="17"/>
                <w:szCs w:val="17"/>
                <w:b w:val="1"/>
                <w:bCs w:val="1"/>
                <w:color w:val="221E1F"/>
                <w:w w:val="98"/>
              </w:rPr>
              <w:t xml:space="preserve">Held on May 14, 2025: </w:t>
            </w:r>
            <w:r>
              <w:rPr>
                <w:rFonts w:ascii="Arial" w:cs="Arial" w:eastAsia="Arial" w:hAnsi="Arial"/>
                <w:sz w:val="17"/>
                <w:szCs w:val="17"/>
                <w:color w:val="221E1F"/>
                <w:w w:val="98"/>
              </w:rPr>
              <w:t>This Notice of Annual Meeting, the accompanying Proxy Statement, and our 2024</w:t>
            </w:r>
          </w:p>
        </w:tc>
      </w:tr>
      <w:tr>
        <w:trPr>
          <w:trHeight w:val="188"/>
        </w:trPr>
        <w:tc>
          <w:tcPr>
            <w:tcW w:w="3260" w:type="dxa"/>
            <w:vAlign w:val="bottom"/>
          </w:tcPr>
          <w:p>
            <w:pPr>
              <w:spacing w:after="0"/>
              <w:rPr>
                <w:sz w:val="16"/>
                <w:szCs w:val="16"/>
                <w:color w:val="auto"/>
              </w:rPr>
            </w:pPr>
          </w:p>
        </w:tc>
        <w:tc>
          <w:tcPr>
            <w:tcW w:w="7980" w:type="dxa"/>
            <w:vAlign w:val="bottom"/>
          </w:tcPr>
          <w:p>
            <w:pPr>
              <w:ind w:left="120"/>
              <w:spacing w:after="0" w:line="188" w:lineRule="exact"/>
              <w:rPr>
                <w:sz w:val="20"/>
                <w:szCs w:val="20"/>
                <w:color w:val="auto"/>
              </w:rPr>
            </w:pPr>
            <w:r>
              <w:rPr>
                <w:rFonts w:ascii="Arial" w:cs="Arial" w:eastAsia="Arial" w:hAnsi="Arial"/>
                <w:sz w:val="17"/>
                <w:szCs w:val="17"/>
                <w:color w:val="221E1F"/>
                <w:w w:val="97"/>
              </w:rPr>
              <w:t>Annual Report to Shareholders (which includes our Form 10-K for the year ended December 31, 2024) are</w:t>
            </w:r>
          </w:p>
        </w:tc>
      </w:tr>
      <w:tr>
        <w:trPr>
          <w:trHeight w:val="221"/>
        </w:trPr>
        <w:tc>
          <w:tcPr>
            <w:tcW w:w="3260" w:type="dxa"/>
            <w:vAlign w:val="bottom"/>
          </w:tcPr>
          <w:p>
            <w:pPr>
              <w:spacing w:after="0"/>
              <w:rPr>
                <w:sz w:val="19"/>
                <w:szCs w:val="19"/>
                <w:color w:val="auto"/>
              </w:rPr>
            </w:pPr>
          </w:p>
        </w:tc>
        <w:tc>
          <w:tcPr>
            <w:tcW w:w="7980" w:type="dxa"/>
            <w:vAlign w:val="bottom"/>
          </w:tcPr>
          <w:p>
            <w:pPr>
              <w:ind w:left="120"/>
              <w:spacing w:after="0"/>
              <w:rPr>
                <w:sz w:val="20"/>
                <w:szCs w:val="20"/>
                <w:color w:val="auto"/>
              </w:rPr>
            </w:pPr>
            <w:r>
              <w:rPr>
                <w:rFonts w:ascii="Arial" w:cs="Arial" w:eastAsia="Arial" w:hAnsi="Arial"/>
                <w:sz w:val="17"/>
                <w:szCs w:val="17"/>
                <w:color w:val="221E1F"/>
              </w:rPr>
              <w:t>available at www.proxyvote.com as well as our corporate website, www. ucbi.com.</w:t>
            </w:r>
          </w:p>
        </w:tc>
      </w:tr>
      <w:tr>
        <w:trPr>
          <w:trHeight w:val="938"/>
        </w:trPr>
        <w:tc>
          <w:tcPr>
            <w:tcW w:w="3260" w:type="dxa"/>
            <w:vAlign w:val="bottom"/>
          </w:tcPr>
          <w:p>
            <w:pPr>
              <w:spacing w:after="0"/>
              <w:rPr>
                <w:sz w:val="20"/>
                <w:szCs w:val="20"/>
                <w:color w:val="auto"/>
              </w:rPr>
            </w:pPr>
            <w:r>
              <w:rPr>
                <w:rFonts w:ascii="Arial" w:cs="Arial" w:eastAsia="Arial" w:hAnsi="Arial"/>
                <w:sz w:val="17"/>
                <w:szCs w:val="17"/>
                <w:color w:val="auto"/>
              </w:rPr>
              <w:t>By order of the Board of Directors,</w:t>
            </w:r>
          </w:p>
        </w:tc>
        <w:tc>
          <w:tcPr>
            <w:tcW w:w="7980" w:type="dxa"/>
            <w:vAlign w:val="bottom"/>
          </w:tcPr>
          <w:p>
            <w:pPr>
              <w:spacing w:after="0"/>
              <w:rPr>
                <w:sz w:val="24"/>
                <w:szCs w:val="24"/>
                <w:color w:val="auto"/>
              </w:rPr>
            </w:pPr>
          </w:p>
        </w:tc>
      </w:tr>
      <w:tr>
        <w:trPr>
          <w:trHeight w:val="707"/>
        </w:trPr>
        <w:tc>
          <w:tcPr>
            <w:tcW w:w="3260" w:type="dxa"/>
            <w:vAlign w:val="bottom"/>
          </w:tcPr>
          <w:p>
            <w:pPr>
              <w:spacing w:after="0"/>
              <w:rPr>
                <w:sz w:val="20"/>
                <w:szCs w:val="20"/>
                <w:color w:val="auto"/>
              </w:rPr>
            </w:pPr>
            <w:r>
              <w:rPr>
                <w:rFonts w:ascii="Arial" w:cs="Arial" w:eastAsia="Arial" w:hAnsi="Arial"/>
                <w:sz w:val="17"/>
                <w:szCs w:val="17"/>
                <w:color w:val="auto"/>
              </w:rPr>
              <w:t>Melinda Davis Lux</w:t>
            </w:r>
          </w:p>
        </w:tc>
        <w:tc>
          <w:tcPr>
            <w:tcW w:w="7980" w:type="dxa"/>
            <w:vAlign w:val="bottom"/>
          </w:tcPr>
          <w:p>
            <w:pPr>
              <w:spacing w:after="0"/>
              <w:rPr>
                <w:sz w:val="24"/>
                <w:szCs w:val="24"/>
                <w:color w:val="auto"/>
              </w:rPr>
            </w:pPr>
          </w:p>
        </w:tc>
      </w:tr>
      <w:tr>
        <w:trPr>
          <w:trHeight w:val="219"/>
        </w:trPr>
        <w:tc>
          <w:tcPr>
            <w:tcW w:w="3260" w:type="dxa"/>
            <w:vAlign w:val="bottom"/>
          </w:tcPr>
          <w:p>
            <w:pPr>
              <w:spacing w:after="0"/>
              <w:rPr>
                <w:sz w:val="20"/>
                <w:szCs w:val="20"/>
                <w:color w:val="auto"/>
              </w:rPr>
            </w:pPr>
            <w:r>
              <w:rPr>
                <w:rFonts w:ascii="Arial" w:cs="Arial" w:eastAsia="Arial" w:hAnsi="Arial"/>
                <w:sz w:val="17"/>
                <w:szCs w:val="17"/>
                <w:i w:val="1"/>
                <w:iCs w:val="1"/>
                <w:color w:val="auto"/>
              </w:rPr>
              <w:t>General Counsel and Corporate Secretary</w:t>
            </w:r>
          </w:p>
        </w:tc>
        <w:tc>
          <w:tcPr>
            <w:tcW w:w="7980" w:type="dxa"/>
            <w:vAlign w:val="bottom"/>
          </w:tcPr>
          <w:p>
            <w:pPr>
              <w:spacing w:after="0"/>
              <w:rPr>
                <w:sz w:val="19"/>
                <w:szCs w:val="19"/>
                <w:color w:val="auto"/>
              </w:rPr>
            </w:pPr>
          </w:p>
        </w:tc>
      </w:tr>
      <w:tr>
        <w:trPr>
          <w:trHeight w:val="342"/>
        </w:trPr>
        <w:tc>
          <w:tcPr>
            <w:tcW w:w="3260" w:type="dxa"/>
            <w:vAlign w:val="bottom"/>
          </w:tcPr>
          <w:p>
            <w:pPr>
              <w:spacing w:after="0"/>
              <w:rPr>
                <w:sz w:val="20"/>
                <w:szCs w:val="20"/>
                <w:color w:val="auto"/>
              </w:rPr>
            </w:pPr>
            <w:r>
              <w:rPr>
                <w:rFonts w:ascii="Arial" w:cs="Arial" w:eastAsia="Arial" w:hAnsi="Arial"/>
                <w:sz w:val="17"/>
                <w:szCs w:val="17"/>
                <w:color w:val="auto"/>
              </w:rPr>
              <w:t>200 East Camperdown Way</w:t>
            </w:r>
          </w:p>
        </w:tc>
        <w:tc>
          <w:tcPr>
            <w:tcW w:w="7980" w:type="dxa"/>
            <w:vAlign w:val="bottom"/>
          </w:tcPr>
          <w:p>
            <w:pPr>
              <w:spacing w:after="0"/>
              <w:rPr>
                <w:sz w:val="24"/>
                <w:szCs w:val="24"/>
                <w:color w:val="auto"/>
              </w:rPr>
            </w:pPr>
          </w:p>
        </w:tc>
      </w:tr>
      <w:tr>
        <w:trPr>
          <w:trHeight w:val="188"/>
        </w:trPr>
        <w:tc>
          <w:tcPr>
            <w:tcW w:w="3260" w:type="dxa"/>
            <w:vAlign w:val="bottom"/>
          </w:tcPr>
          <w:p>
            <w:pPr>
              <w:spacing w:after="0" w:line="188" w:lineRule="exact"/>
              <w:rPr>
                <w:sz w:val="20"/>
                <w:szCs w:val="20"/>
                <w:color w:val="auto"/>
              </w:rPr>
            </w:pPr>
            <w:r>
              <w:rPr>
                <w:rFonts w:ascii="Arial" w:cs="Arial" w:eastAsia="Arial" w:hAnsi="Arial"/>
                <w:sz w:val="17"/>
                <w:szCs w:val="17"/>
                <w:color w:val="auto"/>
              </w:rPr>
              <w:t>Greenville, South Carolina 29601</w:t>
            </w:r>
          </w:p>
        </w:tc>
        <w:tc>
          <w:tcPr>
            <w:tcW w:w="7980" w:type="dxa"/>
            <w:vAlign w:val="bottom"/>
          </w:tcPr>
          <w:p>
            <w:pPr>
              <w:spacing w:after="0"/>
              <w:rPr>
                <w:sz w:val="16"/>
                <w:szCs w:val="16"/>
                <w:color w:val="auto"/>
              </w:rPr>
            </w:pPr>
          </w:p>
        </w:tc>
      </w:tr>
      <w:tr>
        <w:trPr>
          <w:trHeight w:val="221"/>
        </w:trPr>
        <w:tc>
          <w:tcPr>
            <w:tcW w:w="3260" w:type="dxa"/>
            <w:vAlign w:val="bottom"/>
          </w:tcPr>
          <w:p>
            <w:pPr>
              <w:spacing w:after="0"/>
              <w:rPr>
                <w:sz w:val="20"/>
                <w:szCs w:val="20"/>
                <w:color w:val="auto"/>
              </w:rPr>
            </w:pPr>
            <w:r>
              <w:rPr>
                <w:rFonts w:ascii="Arial" w:cs="Arial" w:eastAsia="Arial" w:hAnsi="Arial"/>
                <w:sz w:val="17"/>
                <w:szCs w:val="17"/>
                <w:color w:val="auto"/>
              </w:rPr>
              <w:t>April 2, 2025</w:t>
            </w:r>
          </w:p>
        </w:tc>
        <w:tc>
          <w:tcPr>
            <w:tcW w:w="7980" w:type="dxa"/>
            <w:vAlign w:val="bottom"/>
          </w:tcPr>
          <w:p>
            <w:pPr>
              <w:spacing w:after="0"/>
              <w:rPr>
                <w:sz w:val="19"/>
                <w:szCs w:val="19"/>
                <w:color w:val="auto"/>
              </w:rPr>
            </w:pPr>
          </w:p>
        </w:tc>
      </w:tr>
      <w:tr>
        <w:trPr>
          <w:trHeight w:val="572"/>
        </w:trPr>
        <w:tc>
          <w:tcPr>
            <w:tcW w:w="32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-1325880</wp:posOffset>
            </wp:positionV>
            <wp:extent cx="1779905" cy="230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9905" cy="23050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 w:name="page5"/>
    <w:bookmarkEnd w:id="4"/>
    <w:p>
      <w:pPr>
        <w:spacing w:after="0"/>
        <w:rPr>
          <w:sz w:val="20"/>
          <w:szCs w:val="20"/>
          <w:color w:val="auto"/>
        </w:rPr>
      </w:pPr>
      <w:r>
        <w:rPr>
          <w:rFonts w:ascii="Arial" w:cs="Arial" w:eastAsia="Arial" w:hAnsi="Arial"/>
          <w:sz w:val="50"/>
          <w:szCs w:val="50"/>
          <w:b w:val="1"/>
          <w:bCs w:val="1"/>
          <w:color w:val="194C85"/>
        </w:rPr>
        <w:t>Proxy Statement</w:t>
      </w:r>
    </w:p>
    <w:p>
      <w:pPr>
        <w:spacing w:after="0" w:line="79" w:lineRule="exact"/>
        <w:rPr>
          <w:sz w:val="20"/>
          <w:szCs w:val="20"/>
          <w:color w:val="auto"/>
        </w:rPr>
      </w:pPr>
    </w:p>
    <w:p>
      <w:pPr>
        <w:spacing w:after="0"/>
        <w:rPr>
          <w:sz w:val="20"/>
          <w:szCs w:val="20"/>
          <w:color w:val="auto"/>
        </w:rPr>
      </w:pPr>
      <w:r>
        <w:rPr>
          <w:rFonts w:ascii="Arial" w:cs="Arial" w:eastAsia="Arial" w:hAnsi="Arial"/>
          <w:sz w:val="33"/>
          <w:szCs w:val="33"/>
          <w:b w:val="1"/>
          <w:bCs w:val="1"/>
          <w:color w:val="194C85"/>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20"/>
                <w:szCs w:val="20"/>
                <w:color w:val="auto"/>
              </w:rPr>
            </w:pPr>
            <w:r>
              <w:rPr>
                <w:rFonts w:ascii="Arial" w:cs="Arial" w:eastAsia="Arial" w:hAnsi="Arial"/>
                <w:sz w:val="17"/>
                <w:szCs w:val="17"/>
                <w:b w:val="1"/>
                <w:bCs w:val="1"/>
                <w:color w:val="017AB5"/>
              </w:rPr>
              <w:t>Summary</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17AB5"/>
              </w:rPr>
              <w:t>1</w:t>
            </w:r>
          </w:p>
        </w:tc>
      </w:tr>
      <w:tr>
        <w:trPr>
          <w:trHeight w:val="213"/>
        </w:trPr>
        <w:tc>
          <w:tcPr>
            <w:tcW w:w="4680" w:type="dxa"/>
            <w:vAlign w:val="bottom"/>
          </w:tcPr>
          <w:p>
            <w:pPr>
              <w:ind w:left="220"/>
              <w:spacing w:after="0"/>
              <w:rPr>
                <w:sz w:val="20"/>
                <w:szCs w:val="20"/>
                <w:color w:val="auto"/>
              </w:rPr>
            </w:pPr>
            <w:r>
              <w:rPr>
                <w:rFonts w:ascii="Arial" w:cs="Arial" w:eastAsia="Arial" w:hAnsi="Arial"/>
                <w:sz w:val="17"/>
                <w:szCs w:val="17"/>
                <w:color w:val="444A54"/>
              </w:rPr>
              <w:t>Proxy Materials</w:t>
            </w:r>
          </w:p>
        </w:tc>
        <w:tc>
          <w:tcPr>
            <w:tcW w:w="720" w:type="dxa"/>
            <w:vAlign w:val="bottom"/>
          </w:tcPr>
          <w:p>
            <w:pPr>
              <w:jc w:val="right"/>
              <w:spacing w:after="0"/>
              <w:rPr>
                <w:sz w:val="20"/>
                <w:szCs w:val="20"/>
                <w:color w:val="auto"/>
              </w:rPr>
            </w:pPr>
            <w:r>
              <w:rPr>
                <w:rFonts w:ascii="Arial" w:cs="Arial" w:eastAsia="Arial" w:hAnsi="Arial"/>
                <w:sz w:val="17"/>
                <w:szCs w:val="17"/>
                <w:color w:val="444A54"/>
              </w:rPr>
              <w:t>1</w:t>
            </w:r>
          </w:p>
        </w:tc>
      </w:tr>
      <w:tr>
        <w:trPr>
          <w:trHeight w:val="213"/>
        </w:trPr>
        <w:tc>
          <w:tcPr>
            <w:tcW w:w="4680" w:type="dxa"/>
            <w:vAlign w:val="bottom"/>
          </w:tcPr>
          <w:p>
            <w:pPr>
              <w:ind w:left="220"/>
              <w:spacing w:after="0"/>
              <w:rPr>
                <w:sz w:val="20"/>
                <w:szCs w:val="20"/>
                <w:color w:val="auto"/>
              </w:rPr>
            </w:pPr>
            <w:r>
              <w:rPr>
                <w:rFonts w:ascii="Arial" w:cs="Arial" w:eastAsia="Arial" w:hAnsi="Arial"/>
                <w:sz w:val="17"/>
                <w:szCs w:val="17"/>
                <w:color w:val="444A54"/>
              </w:rPr>
              <w:t>Proposals for Your Vote at the 2025 Annual Meeting</w:t>
            </w:r>
          </w:p>
        </w:tc>
        <w:tc>
          <w:tcPr>
            <w:tcW w:w="720" w:type="dxa"/>
            <w:vAlign w:val="bottom"/>
          </w:tcPr>
          <w:p>
            <w:pPr>
              <w:jc w:val="right"/>
              <w:spacing w:after="0"/>
              <w:rPr>
                <w:sz w:val="20"/>
                <w:szCs w:val="20"/>
                <w:color w:val="auto"/>
              </w:rPr>
            </w:pPr>
            <w:r>
              <w:rPr>
                <w:rFonts w:ascii="Arial" w:cs="Arial" w:eastAsia="Arial" w:hAnsi="Arial"/>
                <w:sz w:val="17"/>
                <w:szCs w:val="17"/>
                <w:color w:val="444A54"/>
              </w:rPr>
              <w:t>1</w:t>
            </w:r>
          </w:p>
        </w:tc>
      </w:tr>
      <w:tr>
        <w:trPr>
          <w:trHeight w:val="213"/>
        </w:trPr>
        <w:tc>
          <w:tcPr>
            <w:tcW w:w="4680" w:type="dxa"/>
            <w:vAlign w:val="bottom"/>
          </w:tcPr>
          <w:p>
            <w:pPr>
              <w:ind w:left="220"/>
              <w:spacing w:after="0"/>
              <w:rPr>
                <w:sz w:val="20"/>
                <w:szCs w:val="20"/>
                <w:color w:val="auto"/>
              </w:rPr>
            </w:pPr>
            <w:r>
              <w:rPr>
                <w:rFonts w:ascii="Arial" w:cs="Arial" w:eastAsia="Arial" w:hAnsi="Arial"/>
                <w:sz w:val="17"/>
                <w:szCs w:val="17"/>
                <w:color w:val="444A54"/>
              </w:rPr>
              <w:t>Voting Your Shares</w:t>
            </w:r>
          </w:p>
        </w:tc>
        <w:tc>
          <w:tcPr>
            <w:tcW w:w="720" w:type="dxa"/>
            <w:vAlign w:val="bottom"/>
          </w:tcPr>
          <w:p>
            <w:pPr>
              <w:jc w:val="right"/>
              <w:spacing w:after="0"/>
              <w:rPr>
                <w:sz w:val="20"/>
                <w:szCs w:val="20"/>
                <w:color w:val="auto"/>
              </w:rPr>
            </w:pPr>
            <w:r>
              <w:rPr>
                <w:rFonts w:ascii="Arial" w:cs="Arial" w:eastAsia="Arial" w:hAnsi="Arial"/>
                <w:sz w:val="17"/>
                <w:szCs w:val="17"/>
                <w:color w:val="444A54"/>
              </w:rPr>
              <w:t>1</w:t>
            </w:r>
          </w:p>
        </w:tc>
      </w:tr>
      <w:tr>
        <w:trPr>
          <w:trHeight w:val="213"/>
        </w:trPr>
        <w:tc>
          <w:tcPr>
            <w:tcW w:w="4680" w:type="dxa"/>
            <w:vAlign w:val="bottom"/>
          </w:tcPr>
          <w:p>
            <w:pPr>
              <w:ind w:left="220"/>
              <w:spacing w:after="0"/>
              <w:rPr>
                <w:sz w:val="20"/>
                <w:szCs w:val="20"/>
                <w:color w:val="auto"/>
              </w:rPr>
            </w:pPr>
            <w:r>
              <w:rPr>
                <w:rFonts w:ascii="Arial" w:cs="Arial" w:eastAsia="Arial" w:hAnsi="Arial"/>
                <w:sz w:val="17"/>
                <w:szCs w:val="17"/>
                <w:color w:val="444A54"/>
              </w:rPr>
              <w:t>Participating in the Virtual 2025 Annual Meeting</w:t>
            </w:r>
          </w:p>
        </w:tc>
        <w:tc>
          <w:tcPr>
            <w:tcW w:w="720" w:type="dxa"/>
            <w:vAlign w:val="bottom"/>
          </w:tcPr>
          <w:p>
            <w:pPr>
              <w:jc w:val="right"/>
              <w:spacing w:after="0"/>
              <w:rPr>
                <w:sz w:val="20"/>
                <w:szCs w:val="20"/>
                <w:color w:val="auto"/>
              </w:rPr>
            </w:pPr>
            <w:r>
              <w:rPr>
                <w:rFonts w:ascii="Arial" w:cs="Arial" w:eastAsia="Arial" w:hAnsi="Arial"/>
                <w:sz w:val="17"/>
                <w:szCs w:val="17"/>
                <w:color w:val="444A54"/>
              </w:rPr>
              <w:t>1</w:t>
            </w:r>
          </w:p>
        </w:tc>
      </w:tr>
      <w:tr>
        <w:trPr>
          <w:trHeight w:val="221"/>
        </w:trPr>
        <w:tc>
          <w:tcPr>
            <w:tcW w:w="4680" w:type="dxa"/>
            <w:vAlign w:val="bottom"/>
          </w:tcPr>
          <w:p>
            <w:pPr>
              <w:ind w:left="220"/>
              <w:spacing w:after="0"/>
              <w:rPr>
                <w:sz w:val="20"/>
                <w:szCs w:val="20"/>
                <w:color w:val="auto"/>
              </w:rPr>
            </w:pPr>
            <w:r>
              <w:rPr>
                <w:rFonts w:ascii="Arial" w:cs="Arial" w:eastAsia="Arial" w:hAnsi="Arial"/>
                <w:sz w:val="17"/>
                <w:szCs w:val="17"/>
                <w:color w:val="444A54"/>
              </w:rPr>
              <w:t>Additional Information</w:t>
            </w:r>
          </w:p>
        </w:tc>
        <w:tc>
          <w:tcPr>
            <w:tcW w:w="720" w:type="dxa"/>
            <w:vAlign w:val="bottom"/>
          </w:tcPr>
          <w:p>
            <w:pPr>
              <w:jc w:val="right"/>
              <w:spacing w:after="0"/>
              <w:rPr>
                <w:sz w:val="20"/>
                <w:szCs w:val="20"/>
                <w:color w:val="auto"/>
              </w:rPr>
            </w:pPr>
            <w:r>
              <w:rPr>
                <w:rFonts w:ascii="Arial" w:cs="Arial" w:eastAsia="Arial" w:hAnsi="Arial"/>
                <w:sz w:val="17"/>
                <w:szCs w:val="17"/>
                <w:color w:val="444A54"/>
              </w:rPr>
              <w:t>1</w:t>
            </w: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20"/>
                <w:szCs w:val="20"/>
                <w:color w:val="auto"/>
              </w:rPr>
            </w:pPr>
            <w:r>
              <w:rPr>
                <w:rFonts w:ascii="Arial" w:cs="Arial" w:eastAsia="Arial" w:hAnsi="Arial"/>
                <w:sz w:val="17"/>
                <w:szCs w:val="17"/>
                <w:b w:val="1"/>
                <w:bCs w:val="1"/>
                <w:color w:val="017AB5"/>
              </w:rPr>
              <w:t>Proposal 1: Election of Directors</w:t>
            </w:r>
          </w:p>
        </w:tc>
        <w:tc>
          <w:tcPr>
            <w:tcW w:w="440" w:type="dxa"/>
            <w:vAlign w:val="bottom"/>
          </w:tcPr>
          <w:p>
            <w:pPr>
              <w:jc w:val="right"/>
              <w:spacing w:after="0"/>
              <w:rPr>
                <w:sz w:val="20"/>
                <w:szCs w:val="20"/>
                <w:color w:val="auto"/>
              </w:rPr>
            </w:pPr>
            <w:r>
              <w:rPr>
                <w:rFonts w:ascii="Arial" w:cs="Arial" w:eastAsia="Arial" w:hAnsi="Arial"/>
                <w:sz w:val="17"/>
                <w:szCs w:val="17"/>
                <w:b w:val="1"/>
                <w:bCs w:val="1"/>
                <w:color w:val="017AB5"/>
              </w:rPr>
              <w:t>2</w:t>
            </w:r>
          </w:p>
        </w:tc>
      </w:tr>
      <w:tr>
        <w:trPr>
          <w:trHeight w:val="213"/>
        </w:trPr>
        <w:tc>
          <w:tcPr>
            <w:tcW w:w="4960" w:type="dxa"/>
            <w:vAlign w:val="bottom"/>
          </w:tcPr>
          <w:p>
            <w:pPr>
              <w:ind w:left="220"/>
              <w:spacing w:after="0"/>
              <w:rPr>
                <w:sz w:val="20"/>
                <w:szCs w:val="20"/>
                <w:color w:val="auto"/>
              </w:rPr>
            </w:pPr>
            <w:r>
              <w:rPr>
                <w:rFonts w:ascii="Arial" w:cs="Arial" w:eastAsia="Arial" w:hAnsi="Arial"/>
                <w:sz w:val="17"/>
                <w:szCs w:val="17"/>
                <w:color w:val="444A54"/>
              </w:rPr>
              <w:t>Overall Board Composition and Size</w:t>
            </w:r>
          </w:p>
        </w:tc>
        <w:tc>
          <w:tcPr>
            <w:tcW w:w="440" w:type="dxa"/>
            <w:vAlign w:val="bottom"/>
          </w:tcPr>
          <w:p>
            <w:pPr>
              <w:jc w:val="right"/>
              <w:spacing w:after="0"/>
              <w:rPr>
                <w:sz w:val="20"/>
                <w:szCs w:val="20"/>
                <w:color w:val="auto"/>
              </w:rPr>
            </w:pPr>
            <w:r>
              <w:rPr>
                <w:rFonts w:ascii="Arial" w:cs="Arial" w:eastAsia="Arial" w:hAnsi="Arial"/>
                <w:sz w:val="17"/>
                <w:szCs w:val="17"/>
                <w:color w:val="444A54"/>
              </w:rPr>
              <w:t>3</w:t>
            </w:r>
          </w:p>
        </w:tc>
      </w:tr>
      <w:tr>
        <w:trPr>
          <w:trHeight w:val="213"/>
        </w:trPr>
        <w:tc>
          <w:tcPr>
            <w:tcW w:w="4960" w:type="dxa"/>
            <w:vAlign w:val="bottom"/>
          </w:tcPr>
          <w:p>
            <w:pPr>
              <w:ind w:left="220"/>
              <w:spacing w:after="0"/>
              <w:rPr>
                <w:sz w:val="20"/>
                <w:szCs w:val="20"/>
                <w:color w:val="auto"/>
              </w:rPr>
            </w:pPr>
            <w:r>
              <w:rPr>
                <w:rFonts w:ascii="Arial" w:cs="Arial" w:eastAsia="Arial" w:hAnsi="Arial"/>
                <w:sz w:val="17"/>
                <w:szCs w:val="17"/>
                <w:color w:val="444A54"/>
              </w:rPr>
              <w:t>Identifying and Evaluating Director Candidates</w:t>
            </w:r>
          </w:p>
        </w:tc>
        <w:tc>
          <w:tcPr>
            <w:tcW w:w="440" w:type="dxa"/>
            <w:vAlign w:val="bottom"/>
          </w:tcPr>
          <w:p>
            <w:pPr>
              <w:jc w:val="right"/>
              <w:spacing w:after="0"/>
              <w:rPr>
                <w:sz w:val="20"/>
                <w:szCs w:val="20"/>
                <w:color w:val="auto"/>
              </w:rPr>
            </w:pPr>
            <w:r>
              <w:rPr>
                <w:rFonts w:ascii="Arial" w:cs="Arial" w:eastAsia="Arial" w:hAnsi="Arial"/>
                <w:sz w:val="17"/>
                <w:szCs w:val="17"/>
                <w:color w:val="444A54"/>
              </w:rPr>
              <w:t>3</w:t>
            </w:r>
          </w:p>
        </w:tc>
      </w:tr>
      <w:tr>
        <w:trPr>
          <w:trHeight w:val="213"/>
        </w:trPr>
        <w:tc>
          <w:tcPr>
            <w:tcW w:w="4960" w:type="dxa"/>
            <w:vAlign w:val="bottom"/>
          </w:tcPr>
          <w:p>
            <w:pPr>
              <w:ind w:left="220"/>
              <w:spacing w:after="0"/>
              <w:rPr>
                <w:sz w:val="20"/>
                <w:szCs w:val="20"/>
                <w:color w:val="auto"/>
              </w:rPr>
            </w:pPr>
            <w:r>
              <w:rPr>
                <w:rFonts w:ascii="Arial" w:cs="Arial" w:eastAsia="Arial" w:hAnsi="Arial"/>
                <w:sz w:val="17"/>
                <w:szCs w:val="17"/>
                <w:color w:val="444A54"/>
              </w:rPr>
              <w:t>Recent Board Refreshment</w:t>
            </w:r>
          </w:p>
        </w:tc>
        <w:tc>
          <w:tcPr>
            <w:tcW w:w="440" w:type="dxa"/>
            <w:vAlign w:val="bottom"/>
          </w:tcPr>
          <w:p>
            <w:pPr>
              <w:jc w:val="right"/>
              <w:spacing w:after="0"/>
              <w:rPr>
                <w:sz w:val="20"/>
                <w:szCs w:val="20"/>
                <w:color w:val="auto"/>
              </w:rPr>
            </w:pPr>
            <w:r>
              <w:rPr>
                <w:rFonts w:ascii="Arial" w:cs="Arial" w:eastAsia="Arial" w:hAnsi="Arial"/>
                <w:sz w:val="17"/>
                <w:szCs w:val="17"/>
                <w:color w:val="444A54"/>
              </w:rPr>
              <w:t>4</w:t>
            </w:r>
          </w:p>
        </w:tc>
      </w:tr>
      <w:tr>
        <w:trPr>
          <w:trHeight w:val="213"/>
        </w:trPr>
        <w:tc>
          <w:tcPr>
            <w:tcW w:w="4960" w:type="dxa"/>
            <w:vAlign w:val="bottom"/>
          </w:tcPr>
          <w:p>
            <w:pPr>
              <w:ind w:left="220"/>
              <w:spacing w:after="0"/>
              <w:rPr>
                <w:sz w:val="20"/>
                <w:szCs w:val="20"/>
                <w:color w:val="auto"/>
              </w:rPr>
            </w:pPr>
            <w:r>
              <w:rPr>
                <w:rFonts w:ascii="Arial" w:cs="Arial" w:eastAsia="Arial" w:hAnsi="Arial"/>
                <w:sz w:val="17"/>
                <w:szCs w:val="17"/>
                <w:color w:val="444A54"/>
              </w:rPr>
              <w:t>Board Qualifications and Experience</w:t>
            </w:r>
          </w:p>
        </w:tc>
        <w:tc>
          <w:tcPr>
            <w:tcW w:w="440" w:type="dxa"/>
            <w:vAlign w:val="bottom"/>
          </w:tcPr>
          <w:p>
            <w:pPr>
              <w:jc w:val="right"/>
              <w:spacing w:after="0"/>
              <w:rPr>
                <w:sz w:val="20"/>
                <w:szCs w:val="20"/>
                <w:color w:val="auto"/>
              </w:rPr>
            </w:pPr>
            <w:r>
              <w:rPr>
                <w:rFonts w:ascii="Arial" w:cs="Arial" w:eastAsia="Arial" w:hAnsi="Arial"/>
                <w:sz w:val="17"/>
                <w:szCs w:val="17"/>
                <w:color w:val="444A54"/>
              </w:rPr>
              <w:t>5</w:t>
            </w:r>
          </w:p>
        </w:tc>
      </w:tr>
      <w:tr>
        <w:trPr>
          <w:trHeight w:val="213"/>
        </w:trPr>
        <w:tc>
          <w:tcPr>
            <w:tcW w:w="4960" w:type="dxa"/>
            <w:vAlign w:val="bottom"/>
          </w:tcPr>
          <w:p>
            <w:pPr>
              <w:ind w:left="220"/>
              <w:spacing w:after="0"/>
              <w:rPr>
                <w:sz w:val="20"/>
                <w:szCs w:val="20"/>
                <w:color w:val="auto"/>
              </w:rPr>
            </w:pPr>
            <w:r>
              <w:rPr>
                <w:rFonts w:ascii="Arial" w:cs="Arial" w:eastAsia="Arial" w:hAnsi="Arial"/>
                <w:sz w:val="17"/>
                <w:szCs w:val="17"/>
                <w:color w:val="444A54"/>
              </w:rPr>
              <w:t>Director Nominees for Election</w:t>
            </w:r>
          </w:p>
        </w:tc>
        <w:tc>
          <w:tcPr>
            <w:tcW w:w="440" w:type="dxa"/>
            <w:vAlign w:val="bottom"/>
          </w:tcPr>
          <w:p>
            <w:pPr>
              <w:jc w:val="right"/>
              <w:spacing w:after="0"/>
              <w:rPr>
                <w:sz w:val="20"/>
                <w:szCs w:val="20"/>
                <w:color w:val="auto"/>
              </w:rPr>
            </w:pPr>
            <w:r>
              <w:rPr>
                <w:rFonts w:ascii="Arial" w:cs="Arial" w:eastAsia="Arial" w:hAnsi="Arial"/>
                <w:sz w:val="17"/>
                <w:szCs w:val="17"/>
                <w:color w:val="444A54"/>
              </w:rPr>
              <w:t>7</w:t>
            </w:r>
          </w:p>
        </w:tc>
      </w:tr>
      <w:tr>
        <w:trPr>
          <w:trHeight w:val="188"/>
        </w:trPr>
        <w:tc>
          <w:tcPr>
            <w:tcW w:w="4960" w:type="dxa"/>
            <w:vAlign w:val="bottom"/>
          </w:tcPr>
          <w:p>
            <w:pPr>
              <w:ind w:left="220"/>
              <w:spacing w:after="0" w:line="188" w:lineRule="exact"/>
              <w:rPr>
                <w:sz w:val="20"/>
                <w:szCs w:val="20"/>
                <w:color w:val="auto"/>
              </w:rPr>
            </w:pPr>
            <w:r>
              <w:rPr>
                <w:rFonts w:ascii="Arial" w:cs="Arial" w:eastAsia="Arial" w:hAnsi="Arial"/>
                <w:sz w:val="17"/>
                <w:szCs w:val="17"/>
                <w:color w:val="444A54"/>
              </w:rPr>
              <w:t>Process for Shareholder to Recommend Individuals for</w:t>
            </w:r>
          </w:p>
        </w:tc>
        <w:tc>
          <w:tcPr>
            <w:tcW w:w="440" w:type="dxa"/>
            <w:vAlign w:val="bottom"/>
          </w:tcPr>
          <w:p>
            <w:pPr>
              <w:spacing w:after="0"/>
              <w:rPr>
                <w:sz w:val="16"/>
                <w:szCs w:val="16"/>
                <w:color w:val="auto"/>
              </w:rPr>
            </w:pPr>
          </w:p>
        </w:tc>
      </w:tr>
      <w:tr>
        <w:trPr>
          <w:trHeight w:val="188"/>
        </w:trPr>
        <w:tc>
          <w:tcPr>
            <w:tcW w:w="4960" w:type="dxa"/>
            <w:vAlign w:val="bottom"/>
          </w:tcPr>
          <w:p>
            <w:pPr>
              <w:ind w:left="220"/>
              <w:spacing w:after="0" w:line="188" w:lineRule="exact"/>
              <w:rPr>
                <w:sz w:val="20"/>
                <w:szCs w:val="20"/>
                <w:color w:val="auto"/>
              </w:rPr>
            </w:pPr>
            <w:r>
              <w:rPr>
                <w:rFonts w:ascii="Arial" w:cs="Arial" w:eastAsia="Arial" w:hAnsi="Arial"/>
                <w:sz w:val="17"/>
                <w:szCs w:val="17"/>
                <w:color w:val="444A54"/>
              </w:rPr>
              <w:t>Consideration by the Nominating and Corporate Governance</w:t>
            </w:r>
          </w:p>
        </w:tc>
        <w:tc>
          <w:tcPr>
            <w:tcW w:w="440" w:type="dxa"/>
            <w:vAlign w:val="bottom"/>
          </w:tcPr>
          <w:p>
            <w:pPr>
              <w:spacing w:after="0"/>
              <w:rPr>
                <w:sz w:val="16"/>
                <w:szCs w:val="16"/>
                <w:color w:val="auto"/>
              </w:rPr>
            </w:pPr>
          </w:p>
        </w:tc>
      </w:tr>
      <w:tr>
        <w:trPr>
          <w:trHeight w:val="221"/>
        </w:trPr>
        <w:tc>
          <w:tcPr>
            <w:tcW w:w="4960" w:type="dxa"/>
            <w:vAlign w:val="bottom"/>
          </w:tcPr>
          <w:p>
            <w:pPr>
              <w:ind w:left="220"/>
              <w:spacing w:after="0"/>
              <w:rPr>
                <w:sz w:val="20"/>
                <w:szCs w:val="20"/>
                <w:color w:val="auto"/>
              </w:rPr>
            </w:pPr>
            <w:r>
              <w:rPr>
                <w:rFonts w:ascii="Arial" w:cs="Arial" w:eastAsia="Arial" w:hAnsi="Arial"/>
                <w:sz w:val="17"/>
                <w:szCs w:val="17"/>
                <w:color w:val="444A54"/>
              </w:rPr>
              <w:t>Committee</w:t>
            </w:r>
          </w:p>
        </w:tc>
        <w:tc>
          <w:tcPr>
            <w:tcW w:w="440" w:type="dxa"/>
            <w:vAlign w:val="bottom"/>
          </w:tcPr>
          <w:p>
            <w:pPr>
              <w:jc w:val="right"/>
              <w:spacing w:after="0"/>
              <w:rPr>
                <w:sz w:val="20"/>
                <w:szCs w:val="20"/>
                <w:color w:val="auto"/>
              </w:rPr>
            </w:pPr>
            <w:r>
              <w:rPr>
                <w:rFonts w:ascii="Arial" w:cs="Arial" w:eastAsia="Arial" w:hAnsi="Arial"/>
                <w:sz w:val="17"/>
                <w:szCs w:val="17"/>
                <w:color w:val="444A54"/>
              </w:rPr>
              <w:t>15</w:t>
            </w: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20"/>
                <w:szCs w:val="20"/>
                <w:color w:val="auto"/>
              </w:rPr>
            </w:pPr>
            <w:r>
              <w:rPr>
                <w:rFonts w:ascii="Arial" w:cs="Arial" w:eastAsia="Arial" w:hAnsi="Arial"/>
                <w:sz w:val="17"/>
                <w:szCs w:val="17"/>
                <w:b w:val="1"/>
                <w:bCs w:val="1"/>
                <w:color w:val="017AB5"/>
              </w:rPr>
              <w:t>Corporate Governance</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017AB5"/>
              </w:rPr>
              <w:t>16</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Our Board of Directors</w:t>
            </w:r>
          </w:p>
        </w:tc>
        <w:tc>
          <w:tcPr>
            <w:tcW w:w="660" w:type="dxa"/>
            <w:vAlign w:val="bottom"/>
          </w:tcPr>
          <w:p>
            <w:pPr>
              <w:jc w:val="right"/>
              <w:spacing w:after="0"/>
              <w:rPr>
                <w:sz w:val="20"/>
                <w:szCs w:val="20"/>
                <w:color w:val="auto"/>
              </w:rPr>
            </w:pPr>
            <w:r>
              <w:rPr>
                <w:rFonts w:ascii="Arial" w:cs="Arial" w:eastAsia="Arial" w:hAnsi="Arial"/>
                <w:sz w:val="17"/>
                <w:szCs w:val="17"/>
                <w:color w:val="444A54"/>
              </w:rPr>
              <w:t>16</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Director Independence</w:t>
            </w:r>
          </w:p>
        </w:tc>
        <w:tc>
          <w:tcPr>
            <w:tcW w:w="660" w:type="dxa"/>
            <w:vAlign w:val="bottom"/>
          </w:tcPr>
          <w:p>
            <w:pPr>
              <w:jc w:val="right"/>
              <w:spacing w:after="0"/>
              <w:rPr>
                <w:sz w:val="20"/>
                <w:szCs w:val="20"/>
                <w:color w:val="auto"/>
              </w:rPr>
            </w:pPr>
            <w:r>
              <w:rPr>
                <w:rFonts w:ascii="Arial" w:cs="Arial" w:eastAsia="Arial" w:hAnsi="Arial"/>
                <w:sz w:val="17"/>
                <w:szCs w:val="17"/>
                <w:color w:val="444A54"/>
              </w:rPr>
              <w:t>16</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Board Leadership Structure</w:t>
            </w:r>
          </w:p>
        </w:tc>
        <w:tc>
          <w:tcPr>
            <w:tcW w:w="660" w:type="dxa"/>
            <w:vAlign w:val="bottom"/>
          </w:tcPr>
          <w:p>
            <w:pPr>
              <w:jc w:val="right"/>
              <w:spacing w:after="0"/>
              <w:rPr>
                <w:sz w:val="20"/>
                <w:szCs w:val="20"/>
                <w:color w:val="auto"/>
              </w:rPr>
            </w:pPr>
            <w:r>
              <w:rPr>
                <w:rFonts w:ascii="Arial" w:cs="Arial" w:eastAsia="Arial" w:hAnsi="Arial"/>
                <w:sz w:val="17"/>
                <w:szCs w:val="17"/>
                <w:color w:val="444A54"/>
              </w:rPr>
              <w:t>17</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Board Evaluation</w:t>
            </w:r>
          </w:p>
        </w:tc>
        <w:tc>
          <w:tcPr>
            <w:tcW w:w="660" w:type="dxa"/>
            <w:vAlign w:val="bottom"/>
          </w:tcPr>
          <w:p>
            <w:pPr>
              <w:jc w:val="right"/>
              <w:spacing w:after="0"/>
              <w:rPr>
                <w:sz w:val="20"/>
                <w:szCs w:val="20"/>
                <w:color w:val="auto"/>
              </w:rPr>
            </w:pPr>
            <w:r>
              <w:rPr>
                <w:rFonts w:ascii="Arial" w:cs="Arial" w:eastAsia="Arial" w:hAnsi="Arial"/>
                <w:sz w:val="17"/>
                <w:szCs w:val="17"/>
                <w:color w:val="444A54"/>
              </w:rPr>
              <w:t>18</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Board Continuing Education and Development</w:t>
            </w:r>
          </w:p>
        </w:tc>
        <w:tc>
          <w:tcPr>
            <w:tcW w:w="660" w:type="dxa"/>
            <w:vAlign w:val="bottom"/>
          </w:tcPr>
          <w:p>
            <w:pPr>
              <w:jc w:val="right"/>
              <w:spacing w:after="0"/>
              <w:rPr>
                <w:sz w:val="20"/>
                <w:szCs w:val="20"/>
                <w:color w:val="auto"/>
              </w:rPr>
            </w:pPr>
            <w:r>
              <w:rPr>
                <w:rFonts w:ascii="Arial" w:cs="Arial" w:eastAsia="Arial" w:hAnsi="Arial"/>
                <w:sz w:val="17"/>
                <w:szCs w:val="17"/>
                <w:color w:val="444A54"/>
              </w:rPr>
              <w:t>18</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New Director Orientation</w:t>
            </w:r>
          </w:p>
        </w:tc>
        <w:tc>
          <w:tcPr>
            <w:tcW w:w="660" w:type="dxa"/>
            <w:vAlign w:val="bottom"/>
          </w:tcPr>
          <w:p>
            <w:pPr>
              <w:jc w:val="right"/>
              <w:spacing w:after="0"/>
              <w:rPr>
                <w:sz w:val="20"/>
                <w:szCs w:val="20"/>
                <w:color w:val="auto"/>
              </w:rPr>
            </w:pPr>
            <w:r>
              <w:rPr>
                <w:rFonts w:ascii="Arial" w:cs="Arial" w:eastAsia="Arial" w:hAnsi="Arial"/>
                <w:sz w:val="17"/>
                <w:szCs w:val="17"/>
                <w:color w:val="444A54"/>
              </w:rPr>
              <w:t>19</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CEO and Key Management Succession Planning</w:t>
            </w:r>
          </w:p>
        </w:tc>
        <w:tc>
          <w:tcPr>
            <w:tcW w:w="660" w:type="dxa"/>
            <w:vAlign w:val="bottom"/>
          </w:tcPr>
          <w:p>
            <w:pPr>
              <w:jc w:val="right"/>
              <w:spacing w:after="0"/>
              <w:rPr>
                <w:sz w:val="20"/>
                <w:szCs w:val="20"/>
                <w:color w:val="auto"/>
              </w:rPr>
            </w:pPr>
            <w:r>
              <w:rPr>
                <w:rFonts w:ascii="Arial" w:cs="Arial" w:eastAsia="Arial" w:hAnsi="Arial"/>
                <w:sz w:val="17"/>
                <w:szCs w:val="17"/>
                <w:color w:val="444A54"/>
              </w:rPr>
              <w:t>19</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Board Committees</w:t>
            </w:r>
          </w:p>
        </w:tc>
        <w:tc>
          <w:tcPr>
            <w:tcW w:w="660" w:type="dxa"/>
            <w:vAlign w:val="bottom"/>
          </w:tcPr>
          <w:p>
            <w:pPr>
              <w:jc w:val="right"/>
              <w:spacing w:after="0"/>
              <w:rPr>
                <w:sz w:val="20"/>
                <w:szCs w:val="20"/>
                <w:color w:val="auto"/>
              </w:rPr>
            </w:pPr>
            <w:r>
              <w:rPr>
                <w:rFonts w:ascii="Arial" w:cs="Arial" w:eastAsia="Arial" w:hAnsi="Arial"/>
                <w:sz w:val="17"/>
                <w:szCs w:val="17"/>
                <w:color w:val="444A54"/>
              </w:rPr>
              <w:t>20</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Board and Committee Meeting Attendance</w:t>
            </w:r>
          </w:p>
        </w:tc>
        <w:tc>
          <w:tcPr>
            <w:tcW w:w="660" w:type="dxa"/>
            <w:vAlign w:val="bottom"/>
          </w:tcPr>
          <w:p>
            <w:pPr>
              <w:jc w:val="right"/>
              <w:spacing w:after="0"/>
              <w:rPr>
                <w:sz w:val="20"/>
                <w:szCs w:val="20"/>
                <w:color w:val="auto"/>
              </w:rPr>
            </w:pPr>
            <w:r>
              <w:rPr>
                <w:rFonts w:ascii="Arial" w:cs="Arial" w:eastAsia="Arial" w:hAnsi="Arial"/>
                <w:sz w:val="17"/>
                <w:szCs w:val="17"/>
                <w:color w:val="444A54"/>
              </w:rPr>
              <w:t>22</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United Community Growth Roadmap</w:t>
            </w:r>
          </w:p>
        </w:tc>
        <w:tc>
          <w:tcPr>
            <w:tcW w:w="660" w:type="dxa"/>
            <w:vAlign w:val="bottom"/>
          </w:tcPr>
          <w:p>
            <w:pPr>
              <w:jc w:val="right"/>
              <w:spacing w:after="0"/>
              <w:rPr>
                <w:sz w:val="20"/>
                <w:szCs w:val="20"/>
                <w:color w:val="auto"/>
              </w:rPr>
            </w:pPr>
            <w:r>
              <w:rPr>
                <w:rFonts w:ascii="Arial" w:cs="Arial" w:eastAsia="Arial" w:hAnsi="Arial"/>
                <w:sz w:val="17"/>
                <w:szCs w:val="17"/>
                <w:color w:val="444A54"/>
              </w:rPr>
              <w:t>23</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Board Oversight of Risk</w:t>
            </w:r>
          </w:p>
        </w:tc>
        <w:tc>
          <w:tcPr>
            <w:tcW w:w="660" w:type="dxa"/>
            <w:vAlign w:val="bottom"/>
          </w:tcPr>
          <w:p>
            <w:pPr>
              <w:jc w:val="right"/>
              <w:spacing w:after="0"/>
              <w:rPr>
                <w:sz w:val="20"/>
                <w:szCs w:val="20"/>
                <w:color w:val="auto"/>
              </w:rPr>
            </w:pPr>
            <w:r>
              <w:rPr>
                <w:rFonts w:ascii="Arial" w:cs="Arial" w:eastAsia="Arial" w:hAnsi="Arial"/>
                <w:sz w:val="17"/>
                <w:szCs w:val="17"/>
                <w:color w:val="444A54"/>
              </w:rPr>
              <w:t>23</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Information Security and Cyber Awareness</w:t>
            </w:r>
          </w:p>
        </w:tc>
        <w:tc>
          <w:tcPr>
            <w:tcW w:w="660" w:type="dxa"/>
            <w:vAlign w:val="bottom"/>
          </w:tcPr>
          <w:p>
            <w:pPr>
              <w:jc w:val="right"/>
              <w:spacing w:after="0"/>
              <w:rPr>
                <w:sz w:val="20"/>
                <w:szCs w:val="20"/>
                <w:color w:val="auto"/>
              </w:rPr>
            </w:pPr>
            <w:r>
              <w:rPr>
                <w:rFonts w:ascii="Arial" w:cs="Arial" w:eastAsia="Arial" w:hAnsi="Arial"/>
                <w:sz w:val="17"/>
                <w:szCs w:val="17"/>
                <w:color w:val="444A54"/>
              </w:rPr>
              <w:t>23</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Audit Committee Financial Expert</w:t>
            </w:r>
          </w:p>
        </w:tc>
        <w:tc>
          <w:tcPr>
            <w:tcW w:w="660" w:type="dxa"/>
            <w:vAlign w:val="bottom"/>
          </w:tcPr>
          <w:p>
            <w:pPr>
              <w:jc w:val="right"/>
              <w:spacing w:after="0"/>
              <w:rPr>
                <w:sz w:val="20"/>
                <w:szCs w:val="20"/>
                <w:color w:val="auto"/>
              </w:rPr>
            </w:pPr>
            <w:r>
              <w:rPr>
                <w:rFonts w:ascii="Arial" w:cs="Arial" w:eastAsia="Arial" w:hAnsi="Arial"/>
                <w:sz w:val="17"/>
                <w:szCs w:val="17"/>
                <w:color w:val="444A54"/>
              </w:rPr>
              <w:t>24</w:t>
            </w:r>
          </w:p>
        </w:tc>
      </w:tr>
      <w:tr>
        <w:trPr>
          <w:trHeight w:val="188"/>
        </w:trPr>
        <w:tc>
          <w:tcPr>
            <w:tcW w:w="4740" w:type="dxa"/>
            <w:vAlign w:val="bottom"/>
          </w:tcPr>
          <w:p>
            <w:pPr>
              <w:ind w:left="220"/>
              <w:spacing w:after="0" w:line="188" w:lineRule="exact"/>
              <w:rPr>
                <w:sz w:val="20"/>
                <w:szCs w:val="20"/>
                <w:color w:val="auto"/>
              </w:rPr>
            </w:pPr>
            <w:r>
              <w:rPr>
                <w:rFonts w:ascii="Arial" w:cs="Arial" w:eastAsia="Arial" w:hAnsi="Arial"/>
                <w:sz w:val="17"/>
                <w:szCs w:val="17"/>
                <w:color w:val="444A54"/>
              </w:rPr>
              <w:t>Share Ownership Guidelines, Insider Trading and Anti-</w:t>
            </w:r>
          </w:p>
        </w:tc>
        <w:tc>
          <w:tcPr>
            <w:tcW w:w="660" w:type="dxa"/>
            <w:vAlign w:val="bottom"/>
          </w:tcPr>
          <w:p>
            <w:pPr>
              <w:spacing w:after="0"/>
              <w:rPr>
                <w:sz w:val="16"/>
                <w:szCs w:val="16"/>
                <w:color w:val="auto"/>
              </w:rPr>
            </w:pP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Hedging Policy</w:t>
            </w:r>
          </w:p>
        </w:tc>
        <w:tc>
          <w:tcPr>
            <w:tcW w:w="660" w:type="dxa"/>
            <w:vAlign w:val="bottom"/>
          </w:tcPr>
          <w:p>
            <w:pPr>
              <w:jc w:val="right"/>
              <w:spacing w:after="0"/>
              <w:rPr>
                <w:sz w:val="20"/>
                <w:szCs w:val="20"/>
                <w:color w:val="auto"/>
              </w:rPr>
            </w:pPr>
            <w:r>
              <w:rPr>
                <w:rFonts w:ascii="Arial" w:cs="Arial" w:eastAsia="Arial" w:hAnsi="Arial"/>
                <w:sz w:val="17"/>
                <w:szCs w:val="17"/>
                <w:color w:val="444A54"/>
              </w:rPr>
              <w:t>24</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Code of Business Conduct and Ethics</w:t>
            </w:r>
          </w:p>
        </w:tc>
        <w:tc>
          <w:tcPr>
            <w:tcW w:w="660" w:type="dxa"/>
            <w:vAlign w:val="bottom"/>
          </w:tcPr>
          <w:p>
            <w:pPr>
              <w:jc w:val="right"/>
              <w:spacing w:after="0"/>
              <w:rPr>
                <w:sz w:val="20"/>
                <w:szCs w:val="20"/>
                <w:color w:val="auto"/>
              </w:rPr>
            </w:pPr>
            <w:r>
              <w:rPr>
                <w:rFonts w:ascii="Arial" w:cs="Arial" w:eastAsia="Arial" w:hAnsi="Arial"/>
                <w:sz w:val="17"/>
                <w:szCs w:val="17"/>
                <w:color w:val="444A54"/>
              </w:rPr>
              <w:t>24</w:t>
            </w:r>
          </w:p>
        </w:tc>
      </w:tr>
      <w:tr>
        <w:trPr>
          <w:trHeight w:val="213"/>
        </w:trPr>
        <w:tc>
          <w:tcPr>
            <w:tcW w:w="4740" w:type="dxa"/>
            <w:vAlign w:val="bottom"/>
          </w:tcPr>
          <w:p>
            <w:pPr>
              <w:ind w:left="220"/>
              <w:spacing w:after="0"/>
              <w:rPr>
                <w:sz w:val="20"/>
                <w:szCs w:val="20"/>
                <w:color w:val="auto"/>
              </w:rPr>
            </w:pPr>
            <w:r>
              <w:rPr>
                <w:rFonts w:ascii="Arial" w:cs="Arial" w:eastAsia="Arial" w:hAnsi="Arial"/>
                <w:sz w:val="17"/>
                <w:szCs w:val="17"/>
                <w:color w:val="444A54"/>
              </w:rPr>
              <w:t>Communications with Board of Directors</w:t>
            </w:r>
          </w:p>
        </w:tc>
        <w:tc>
          <w:tcPr>
            <w:tcW w:w="660" w:type="dxa"/>
            <w:vAlign w:val="bottom"/>
          </w:tcPr>
          <w:p>
            <w:pPr>
              <w:jc w:val="right"/>
              <w:spacing w:after="0"/>
              <w:rPr>
                <w:sz w:val="20"/>
                <w:szCs w:val="20"/>
                <w:color w:val="auto"/>
              </w:rPr>
            </w:pPr>
            <w:r>
              <w:rPr>
                <w:rFonts w:ascii="Arial" w:cs="Arial" w:eastAsia="Arial" w:hAnsi="Arial"/>
                <w:sz w:val="17"/>
                <w:szCs w:val="17"/>
                <w:color w:val="444A54"/>
              </w:rPr>
              <w:t>25</w:t>
            </w:r>
          </w:p>
        </w:tc>
      </w:tr>
      <w:tr>
        <w:trPr>
          <w:trHeight w:val="221"/>
        </w:trPr>
        <w:tc>
          <w:tcPr>
            <w:tcW w:w="4740" w:type="dxa"/>
            <w:vAlign w:val="bottom"/>
          </w:tcPr>
          <w:p>
            <w:pPr>
              <w:ind w:left="220"/>
              <w:spacing w:after="0"/>
              <w:rPr>
                <w:sz w:val="20"/>
                <w:szCs w:val="20"/>
                <w:color w:val="auto"/>
              </w:rPr>
            </w:pPr>
            <w:r>
              <w:rPr>
                <w:rFonts w:ascii="Arial" w:cs="Arial" w:eastAsia="Arial" w:hAnsi="Arial"/>
                <w:sz w:val="17"/>
                <w:szCs w:val="17"/>
                <w:color w:val="444A54"/>
              </w:rPr>
              <w:t>Corporate Governance Information</w:t>
            </w:r>
          </w:p>
        </w:tc>
        <w:tc>
          <w:tcPr>
            <w:tcW w:w="660" w:type="dxa"/>
            <w:vAlign w:val="bottom"/>
          </w:tcPr>
          <w:p>
            <w:pPr>
              <w:jc w:val="right"/>
              <w:spacing w:after="0"/>
              <w:rPr>
                <w:sz w:val="20"/>
                <w:szCs w:val="20"/>
                <w:color w:val="auto"/>
              </w:rPr>
            </w:pPr>
            <w:r>
              <w:rPr>
                <w:rFonts w:ascii="Arial" w:cs="Arial" w:eastAsia="Arial" w:hAnsi="Arial"/>
                <w:sz w:val="17"/>
                <w:szCs w:val="17"/>
                <w:color w:val="444A54"/>
              </w:rPr>
              <w:t>25</w:t>
            </w: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20"/>
                <w:szCs w:val="20"/>
                <w:color w:val="auto"/>
              </w:rPr>
            </w:pPr>
            <w:r>
              <w:rPr>
                <w:rFonts w:ascii="Arial" w:cs="Arial" w:eastAsia="Arial" w:hAnsi="Arial"/>
                <w:sz w:val="17"/>
                <w:szCs w:val="17"/>
                <w:b w:val="1"/>
                <w:bCs w:val="1"/>
                <w:color w:val="017AB5"/>
              </w:rPr>
              <w:t>Transactions with Management and Others</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017AB5"/>
              </w:rPr>
              <w:t>26</w:t>
            </w:r>
          </w:p>
        </w:tc>
      </w:tr>
      <w:tr>
        <w:trPr>
          <w:trHeight w:val="213"/>
        </w:trPr>
        <w:tc>
          <w:tcPr>
            <w:tcW w:w="5000" w:type="dxa"/>
            <w:vAlign w:val="bottom"/>
          </w:tcPr>
          <w:p>
            <w:pPr>
              <w:ind w:left="220"/>
              <w:spacing w:after="0"/>
              <w:rPr>
                <w:sz w:val="20"/>
                <w:szCs w:val="20"/>
                <w:color w:val="auto"/>
              </w:rPr>
            </w:pPr>
            <w:r>
              <w:rPr>
                <w:rFonts w:ascii="Arial" w:cs="Arial" w:eastAsia="Arial" w:hAnsi="Arial"/>
                <w:sz w:val="17"/>
                <w:szCs w:val="17"/>
                <w:color w:val="444A54"/>
              </w:rPr>
              <w:t>Policy with Respect to Approval of Related-Party Transactions</w:t>
            </w:r>
          </w:p>
        </w:tc>
        <w:tc>
          <w:tcPr>
            <w:tcW w:w="400" w:type="dxa"/>
            <w:vAlign w:val="bottom"/>
          </w:tcPr>
          <w:p>
            <w:pPr>
              <w:jc w:val="right"/>
              <w:spacing w:after="0"/>
              <w:rPr>
                <w:sz w:val="20"/>
                <w:szCs w:val="20"/>
                <w:color w:val="auto"/>
              </w:rPr>
            </w:pPr>
            <w:r>
              <w:rPr>
                <w:rFonts w:ascii="Arial" w:cs="Arial" w:eastAsia="Arial" w:hAnsi="Arial"/>
                <w:sz w:val="17"/>
                <w:szCs w:val="17"/>
                <w:color w:val="444A54"/>
              </w:rPr>
              <w:t>26</w:t>
            </w:r>
          </w:p>
        </w:tc>
      </w:tr>
      <w:tr>
        <w:trPr>
          <w:trHeight w:val="221"/>
        </w:trPr>
        <w:tc>
          <w:tcPr>
            <w:tcW w:w="5000" w:type="dxa"/>
            <w:vAlign w:val="bottom"/>
          </w:tcPr>
          <w:p>
            <w:pPr>
              <w:ind w:left="220"/>
              <w:spacing w:after="0"/>
              <w:rPr>
                <w:sz w:val="20"/>
                <w:szCs w:val="20"/>
                <w:color w:val="auto"/>
              </w:rPr>
            </w:pPr>
            <w:r>
              <w:rPr>
                <w:rFonts w:ascii="Arial" w:cs="Arial" w:eastAsia="Arial" w:hAnsi="Arial"/>
                <w:sz w:val="17"/>
                <w:szCs w:val="17"/>
                <w:color w:val="444A54"/>
              </w:rPr>
              <w:t>2024 Related-Party Transactions</w:t>
            </w:r>
          </w:p>
        </w:tc>
        <w:tc>
          <w:tcPr>
            <w:tcW w:w="400" w:type="dxa"/>
            <w:vAlign w:val="bottom"/>
          </w:tcPr>
          <w:p>
            <w:pPr>
              <w:jc w:val="right"/>
              <w:spacing w:after="0"/>
              <w:rPr>
                <w:sz w:val="20"/>
                <w:szCs w:val="20"/>
                <w:color w:val="auto"/>
              </w:rPr>
            </w:pPr>
            <w:r>
              <w:rPr>
                <w:rFonts w:ascii="Arial" w:cs="Arial" w:eastAsia="Arial" w:hAnsi="Arial"/>
                <w:sz w:val="17"/>
                <w:szCs w:val="17"/>
                <w:color w:val="444A54"/>
              </w:rPr>
              <w:t>26</w:t>
            </w:r>
          </w:p>
        </w:tc>
      </w:tr>
      <w:tr>
        <w:trPr>
          <w:trHeight w:val="383"/>
        </w:trPr>
        <w:tc>
          <w:tcPr>
            <w:tcW w:w="5000" w:type="dxa"/>
            <w:vAlign w:val="bottom"/>
          </w:tcPr>
          <w:p>
            <w:pPr>
              <w:spacing w:after="0"/>
              <w:rPr>
                <w:sz w:val="20"/>
                <w:szCs w:val="20"/>
                <w:color w:val="auto"/>
              </w:rPr>
            </w:pPr>
            <w:r>
              <w:rPr>
                <w:rFonts w:ascii="Arial" w:cs="Arial" w:eastAsia="Arial" w:hAnsi="Arial"/>
                <w:sz w:val="17"/>
                <w:szCs w:val="17"/>
                <w:b w:val="1"/>
                <w:bCs w:val="1"/>
                <w:color w:val="017AB5"/>
              </w:rPr>
              <w:t>Director Compensation</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017AB5"/>
              </w:rPr>
              <w:t>27</w:t>
            </w:r>
          </w:p>
        </w:tc>
      </w:tr>
      <w:tr>
        <w:trPr>
          <w:trHeight w:val="334"/>
        </w:trPr>
        <w:tc>
          <w:tcPr>
            <w:tcW w:w="5000" w:type="dxa"/>
            <w:vAlign w:val="bottom"/>
          </w:tcPr>
          <w:p>
            <w:pPr>
              <w:spacing w:after="0"/>
              <w:rPr>
                <w:sz w:val="20"/>
                <w:szCs w:val="20"/>
                <w:color w:val="auto"/>
              </w:rPr>
            </w:pPr>
            <w:r>
              <w:rPr>
                <w:rFonts w:ascii="Arial" w:cs="Arial" w:eastAsia="Arial" w:hAnsi="Arial"/>
                <w:sz w:val="17"/>
                <w:szCs w:val="17"/>
                <w:b w:val="1"/>
                <w:bCs w:val="1"/>
                <w:color w:val="017AB5"/>
              </w:rPr>
              <w:t>Proposal 2: Advisory Vote to Approve Named Executive</w:t>
            </w:r>
          </w:p>
        </w:tc>
        <w:tc>
          <w:tcPr>
            <w:tcW w:w="400" w:type="dxa"/>
            <w:vAlign w:val="bottom"/>
          </w:tcPr>
          <w:p>
            <w:pPr>
              <w:spacing w:after="0"/>
              <w:rPr>
                <w:sz w:val="24"/>
                <w:szCs w:val="24"/>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7"/>
                <w:szCs w:val="17"/>
                <w:b w:val="1"/>
                <w:bCs w:val="1"/>
                <w:color w:val="017AB5"/>
              </w:rPr>
              <w:t>Officer Compensation</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017AB5"/>
              </w:rPr>
              <w:t>29</w:t>
            </w:r>
          </w:p>
        </w:tc>
      </w:tr>
      <w:tr>
        <w:trPr>
          <w:trHeight w:val="375"/>
        </w:trPr>
        <w:tc>
          <w:tcPr>
            <w:tcW w:w="5000" w:type="dxa"/>
            <w:vAlign w:val="bottom"/>
          </w:tcPr>
          <w:p>
            <w:pPr>
              <w:spacing w:after="0"/>
              <w:rPr>
                <w:sz w:val="20"/>
                <w:szCs w:val="20"/>
                <w:color w:val="auto"/>
              </w:rPr>
            </w:pPr>
            <w:r>
              <w:rPr>
                <w:rFonts w:ascii="Arial" w:cs="Arial" w:eastAsia="Arial" w:hAnsi="Arial"/>
                <w:sz w:val="17"/>
                <w:szCs w:val="17"/>
                <w:b w:val="1"/>
                <w:bCs w:val="1"/>
                <w:color w:val="017AB5"/>
              </w:rPr>
              <w:t>Proposal 3: Advisory Vote on Frequency of Say-On-Pay Vote</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017AB5"/>
              </w:rPr>
              <w:t>30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20"/>
                <w:szCs w:val="20"/>
                <w:color w:val="auto"/>
              </w:rPr>
            </w:pPr>
            <w:r>
              <w:rPr>
                <w:rFonts w:ascii="Arial" w:cs="Arial" w:eastAsia="Arial" w:hAnsi="Arial"/>
                <w:sz w:val="17"/>
                <w:szCs w:val="17"/>
                <w:b w:val="1"/>
                <w:bCs w:val="1"/>
                <w:color w:val="017AB5"/>
              </w:rPr>
              <w:t>Executive Officers</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017AB5"/>
              </w:rPr>
              <w:t>31</w:t>
            </w:r>
          </w:p>
        </w:tc>
      </w:tr>
      <w:tr>
        <w:trPr>
          <w:trHeight w:val="384"/>
        </w:trPr>
        <w:tc>
          <w:tcPr>
            <w:tcW w:w="5020" w:type="dxa"/>
            <w:vAlign w:val="bottom"/>
          </w:tcPr>
          <w:p>
            <w:pPr>
              <w:spacing w:after="0"/>
              <w:rPr>
                <w:sz w:val="20"/>
                <w:szCs w:val="20"/>
                <w:color w:val="auto"/>
              </w:rPr>
            </w:pPr>
            <w:r>
              <w:rPr>
                <w:rFonts w:ascii="Arial" w:cs="Arial" w:eastAsia="Arial" w:hAnsi="Arial"/>
                <w:sz w:val="17"/>
                <w:szCs w:val="17"/>
                <w:b w:val="1"/>
                <w:bCs w:val="1"/>
                <w:color w:val="017AB5"/>
              </w:rPr>
              <w:t>Executive Compensation</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017AB5"/>
              </w:rPr>
              <w:t>33</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Compensation Discussion and Analysis</w:t>
            </w:r>
          </w:p>
        </w:tc>
        <w:tc>
          <w:tcPr>
            <w:tcW w:w="380" w:type="dxa"/>
            <w:vAlign w:val="bottom"/>
          </w:tcPr>
          <w:p>
            <w:pPr>
              <w:jc w:val="right"/>
              <w:spacing w:after="0"/>
              <w:rPr>
                <w:sz w:val="20"/>
                <w:szCs w:val="20"/>
                <w:color w:val="auto"/>
              </w:rPr>
            </w:pPr>
            <w:r>
              <w:rPr>
                <w:rFonts w:ascii="Arial" w:cs="Arial" w:eastAsia="Arial" w:hAnsi="Arial"/>
                <w:sz w:val="17"/>
                <w:szCs w:val="17"/>
                <w:color w:val="444A54"/>
              </w:rPr>
              <w:t>33</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Summary Compensation Table</w:t>
            </w:r>
          </w:p>
        </w:tc>
        <w:tc>
          <w:tcPr>
            <w:tcW w:w="380" w:type="dxa"/>
            <w:vAlign w:val="bottom"/>
          </w:tcPr>
          <w:p>
            <w:pPr>
              <w:jc w:val="right"/>
              <w:spacing w:after="0"/>
              <w:rPr>
                <w:sz w:val="20"/>
                <w:szCs w:val="20"/>
                <w:color w:val="auto"/>
              </w:rPr>
            </w:pPr>
            <w:r>
              <w:rPr>
                <w:rFonts w:ascii="Arial" w:cs="Arial" w:eastAsia="Arial" w:hAnsi="Arial"/>
                <w:sz w:val="17"/>
                <w:szCs w:val="17"/>
                <w:color w:val="444A54"/>
              </w:rPr>
              <w:t>47</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Grant of Plan-Based Awards</w:t>
            </w:r>
          </w:p>
        </w:tc>
        <w:tc>
          <w:tcPr>
            <w:tcW w:w="380" w:type="dxa"/>
            <w:vAlign w:val="bottom"/>
          </w:tcPr>
          <w:p>
            <w:pPr>
              <w:jc w:val="right"/>
              <w:spacing w:after="0"/>
              <w:rPr>
                <w:sz w:val="20"/>
                <w:szCs w:val="20"/>
                <w:color w:val="auto"/>
              </w:rPr>
            </w:pPr>
            <w:r>
              <w:rPr>
                <w:rFonts w:ascii="Arial" w:cs="Arial" w:eastAsia="Arial" w:hAnsi="Arial"/>
                <w:sz w:val="17"/>
                <w:szCs w:val="17"/>
                <w:color w:val="444A54"/>
              </w:rPr>
              <w:t>48</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Outstanding Equity Awards at Fiscal Year-End</w:t>
            </w:r>
          </w:p>
        </w:tc>
        <w:tc>
          <w:tcPr>
            <w:tcW w:w="380" w:type="dxa"/>
            <w:vAlign w:val="bottom"/>
          </w:tcPr>
          <w:p>
            <w:pPr>
              <w:jc w:val="right"/>
              <w:spacing w:after="0"/>
              <w:rPr>
                <w:sz w:val="20"/>
                <w:szCs w:val="20"/>
                <w:color w:val="auto"/>
              </w:rPr>
            </w:pPr>
            <w:r>
              <w:rPr>
                <w:rFonts w:ascii="Arial" w:cs="Arial" w:eastAsia="Arial" w:hAnsi="Arial"/>
                <w:sz w:val="17"/>
                <w:szCs w:val="17"/>
                <w:color w:val="444A54"/>
              </w:rPr>
              <w:t>49</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Stock Vested</w:t>
            </w:r>
          </w:p>
        </w:tc>
        <w:tc>
          <w:tcPr>
            <w:tcW w:w="380" w:type="dxa"/>
            <w:vAlign w:val="bottom"/>
          </w:tcPr>
          <w:p>
            <w:pPr>
              <w:jc w:val="right"/>
              <w:spacing w:after="0"/>
              <w:rPr>
                <w:sz w:val="20"/>
                <w:szCs w:val="20"/>
                <w:color w:val="auto"/>
              </w:rPr>
            </w:pPr>
            <w:r>
              <w:rPr>
                <w:rFonts w:ascii="Arial" w:cs="Arial" w:eastAsia="Arial" w:hAnsi="Arial"/>
                <w:sz w:val="17"/>
                <w:szCs w:val="17"/>
                <w:color w:val="444A54"/>
              </w:rPr>
              <w:t>50</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Pension Benefits</w:t>
            </w:r>
          </w:p>
        </w:tc>
        <w:tc>
          <w:tcPr>
            <w:tcW w:w="380" w:type="dxa"/>
            <w:vAlign w:val="bottom"/>
          </w:tcPr>
          <w:p>
            <w:pPr>
              <w:jc w:val="right"/>
              <w:spacing w:after="0"/>
              <w:rPr>
                <w:sz w:val="20"/>
                <w:szCs w:val="20"/>
                <w:color w:val="auto"/>
              </w:rPr>
            </w:pPr>
            <w:r>
              <w:rPr>
                <w:rFonts w:ascii="Arial" w:cs="Arial" w:eastAsia="Arial" w:hAnsi="Arial"/>
                <w:sz w:val="17"/>
                <w:szCs w:val="17"/>
                <w:color w:val="444A54"/>
              </w:rPr>
              <w:t>50</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Nonqualified Deferred Compensation</w:t>
            </w:r>
          </w:p>
        </w:tc>
        <w:tc>
          <w:tcPr>
            <w:tcW w:w="380" w:type="dxa"/>
            <w:vAlign w:val="bottom"/>
          </w:tcPr>
          <w:p>
            <w:pPr>
              <w:jc w:val="right"/>
              <w:spacing w:after="0"/>
              <w:rPr>
                <w:sz w:val="20"/>
                <w:szCs w:val="20"/>
                <w:color w:val="auto"/>
              </w:rPr>
            </w:pPr>
            <w:r>
              <w:rPr>
                <w:rFonts w:ascii="Arial" w:cs="Arial" w:eastAsia="Arial" w:hAnsi="Arial"/>
                <w:sz w:val="17"/>
                <w:szCs w:val="17"/>
                <w:color w:val="444A54"/>
              </w:rPr>
              <w:t>51</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Potential Payouts Upon Termination or Change of Control</w:t>
            </w:r>
          </w:p>
        </w:tc>
        <w:tc>
          <w:tcPr>
            <w:tcW w:w="380" w:type="dxa"/>
            <w:vAlign w:val="bottom"/>
          </w:tcPr>
          <w:p>
            <w:pPr>
              <w:jc w:val="right"/>
              <w:spacing w:after="0"/>
              <w:rPr>
                <w:sz w:val="20"/>
                <w:szCs w:val="20"/>
                <w:color w:val="auto"/>
              </w:rPr>
            </w:pPr>
            <w:r>
              <w:rPr>
                <w:rFonts w:ascii="Arial" w:cs="Arial" w:eastAsia="Arial" w:hAnsi="Arial"/>
                <w:sz w:val="17"/>
                <w:szCs w:val="17"/>
                <w:color w:val="444A54"/>
              </w:rPr>
              <w:t>52</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Compensation Committee Interlocks and Insider Participation</w:t>
            </w:r>
          </w:p>
        </w:tc>
        <w:tc>
          <w:tcPr>
            <w:tcW w:w="380" w:type="dxa"/>
            <w:vAlign w:val="bottom"/>
          </w:tcPr>
          <w:p>
            <w:pPr>
              <w:jc w:val="right"/>
              <w:spacing w:after="0"/>
              <w:rPr>
                <w:sz w:val="20"/>
                <w:szCs w:val="20"/>
                <w:color w:val="auto"/>
              </w:rPr>
            </w:pPr>
            <w:r>
              <w:rPr>
                <w:rFonts w:ascii="Arial" w:cs="Arial" w:eastAsia="Arial" w:hAnsi="Arial"/>
                <w:sz w:val="17"/>
                <w:szCs w:val="17"/>
                <w:color w:val="444A54"/>
              </w:rPr>
              <w:t>54</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Compensation Risk Considerations</w:t>
            </w:r>
          </w:p>
        </w:tc>
        <w:tc>
          <w:tcPr>
            <w:tcW w:w="380" w:type="dxa"/>
            <w:vAlign w:val="bottom"/>
          </w:tcPr>
          <w:p>
            <w:pPr>
              <w:jc w:val="right"/>
              <w:spacing w:after="0"/>
              <w:rPr>
                <w:sz w:val="20"/>
                <w:szCs w:val="20"/>
                <w:color w:val="auto"/>
              </w:rPr>
            </w:pPr>
            <w:r>
              <w:rPr>
                <w:rFonts w:ascii="Arial" w:cs="Arial" w:eastAsia="Arial" w:hAnsi="Arial"/>
                <w:sz w:val="17"/>
                <w:szCs w:val="17"/>
                <w:color w:val="444A54"/>
              </w:rPr>
              <w:t>54</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CEO Pay Ratio Disclosure</w:t>
            </w:r>
          </w:p>
        </w:tc>
        <w:tc>
          <w:tcPr>
            <w:tcW w:w="380" w:type="dxa"/>
            <w:vAlign w:val="bottom"/>
          </w:tcPr>
          <w:p>
            <w:pPr>
              <w:jc w:val="right"/>
              <w:spacing w:after="0"/>
              <w:rPr>
                <w:sz w:val="20"/>
                <w:szCs w:val="20"/>
                <w:color w:val="auto"/>
              </w:rPr>
            </w:pPr>
            <w:r>
              <w:rPr>
                <w:rFonts w:ascii="Arial" w:cs="Arial" w:eastAsia="Arial" w:hAnsi="Arial"/>
                <w:sz w:val="17"/>
                <w:szCs w:val="17"/>
                <w:color w:val="444A54"/>
              </w:rPr>
              <w:t>55</w:t>
            </w:r>
          </w:p>
        </w:tc>
      </w:tr>
      <w:tr>
        <w:trPr>
          <w:trHeight w:val="221"/>
        </w:trPr>
        <w:tc>
          <w:tcPr>
            <w:tcW w:w="5020" w:type="dxa"/>
            <w:vAlign w:val="bottom"/>
          </w:tcPr>
          <w:p>
            <w:pPr>
              <w:ind w:left="240"/>
              <w:spacing w:after="0"/>
              <w:rPr>
                <w:sz w:val="20"/>
                <w:szCs w:val="20"/>
                <w:color w:val="auto"/>
              </w:rPr>
            </w:pPr>
            <w:r>
              <w:rPr>
                <w:rFonts w:ascii="Arial" w:cs="Arial" w:eastAsia="Arial" w:hAnsi="Arial"/>
                <w:sz w:val="17"/>
                <w:szCs w:val="17"/>
                <w:color w:val="444A54"/>
              </w:rPr>
              <w:t>Equity Compensation Plan Information</w:t>
            </w:r>
          </w:p>
        </w:tc>
        <w:tc>
          <w:tcPr>
            <w:tcW w:w="380" w:type="dxa"/>
            <w:vAlign w:val="bottom"/>
          </w:tcPr>
          <w:p>
            <w:pPr>
              <w:jc w:val="right"/>
              <w:spacing w:after="0"/>
              <w:rPr>
                <w:sz w:val="20"/>
                <w:szCs w:val="20"/>
                <w:color w:val="auto"/>
              </w:rPr>
            </w:pPr>
            <w:r>
              <w:rPr>
                <w:rFonts w:ascii="Arial" w:cs="Arial" w:eastAsia="Arial" w:hAnsi="Arial"/>
                <w:sz w:val="17"/>
                <w:szCs w:val="17"/>
                <w:color w:val="444A54"/>
              </w:rPr>
              <w:t>55</w:t>
            </w:r>
          </w:p>
        </w:tc>
      </w:tr>
      <w:tr>
        <w:trPr>
          <w:trHeight w:val="367"/>
        </w:trPr>
        <w:tc>
          <w:tcPr>
            <w:tcW w:w="5020" w:type="dxa"/>
            <w:vAlign w:val="bottom"/>
          </w:tcPr>
          <w:p>
            <w:pPr>
              <w:spacing w:after="0"/>
              <w:rPr>
                <w:sz w:val="20"/>
                <w:szCs w:val="20"/>
                <w:color w:val="auto"/>
              </w:rPr>
            </w:pPr>
            <w:r>
              <w:rPr>
                <w:rFonts w:ascii="Arial" w:cs="Arial" w:eastAsia="Arial" w:hAnsi="Arial"/>
                <w:sz w:val="17"/>
                <w:szCs w:val="17"/>
                <w:b w:val="1"/>
                <w:bCs w:val="1"/>
                <w:color w:val="017AB5"/>
              </w:rPr>
              <w:t>Pay Versus Performance Disclosure</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017AB5"/>
              </w:rPr>
              <w:t>56</w:t>
            </w:r>
          </w:p>
        </w:tc>
      </w:tr>
      <w:tr>
        <w:trPr>
          <w:trHeight w:val="188"/>
        </w:trPr>
        <w:tc>
          <w:tcPr>
            <w:tcW w:w="5020" w:type="dxa"/>
            <w:vAlign w:val="bottom"/>
          </w:tcPr>
          <w:p>
            <w:pPr>
              <w:ind w:left="240"/>
              <w:spacing w:after="0" w:line="188" w:lineRule="exact"/>
              <w:rPr>
                <w:sz w:val="20"/>
                <w:szCs w:val="20"/>
                <w:color w:val="auto"/>
              </w:rPr>
            </w:pPr>
            <w:r>
              <w:rPr>
                <w:rFonts w:ascii="Arial" w:cs="Arial" w:eastAsia="Arial" w:hAnsi="Arial"/>
                <w:sz w:val="17"/>
                <w:szCs w:val="17"/>
                <w:color w:val="444A54"/>
              </w:rPr>
              <w:t>Relationship Between PEO and NonPEO NEO Compensation</w:t>
            </w:r>
          </w:p>
        </w:tc>
        <w:tc>
          <w:tcPr>
            <w:tcW w:w="380" w:type="dxa"/>
            <w:vAlign w:val="bottom"/>
          </w:tcPr>
          <w:p>
            <w:pPr>
              <w:spacing w:after="0"/>
              <w:rPr>
                <w:sz w:val="16"/>
                <w:szCs w:val="16"/>
                <w:color w:val="auto"/>
              </w:rPr>
            </w:pPr>
          </w:p>
        </w:tc>
      </w:tr>
      <w:tr>
        <w:trPr>
          <w:trHeight w:val="188"/>
        </w:trPr>
        <w:tc>
          <w:tcPr>
            <w:tcW w:w="5020" w:type="dxa"/>
            <w:vAlign w:val="bottom"/>
          </w:tcPr>
          <w:p>
            <w:pPr>
              <w:ind w:left="240"/>
              <w:spacing w:after="0" w:line="188" w:lineRule="exact"/>
              <w:rPr>
                <w:sz w:val="20"/>
                <w:szCs w:val="20"/>
                <w:color w:val="auto"/>
              </w:rPr>
            </w:pPr>
            <w:r>
              <w:rPr>
                <w:rFonts w:ascii="Arial" w:cs="Arial" w:eastAsia="Arial" w:hAnsi="Arial"/>
                <w:sz w:val="17"/>
                <w:szCs w:val="17"/>
                <w:color w:val="444A54"/>
              </w:rPr>
              <w:t>Actually Paid, Company Shareholder Return and Peer Group</w:t>
            </w:r>
          </w:p>
        </w:tc>
        <w:tc>
          <w:tcPr>
            <w:tcW w:w="380" w:type="dxa"/>
            <w:vAlign w:val="bottom"/>
          </w:tcPr>
          <w:p>
            <w:pPr>
              <w:spacing w:after="0"/>
              <w:rPr>
                <w:sz w:val="16"/>
                <w:szCs w:val="16"/>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TSR</w:t>
            </w:r>
          </w:p>
        </w:tc>
        <w:tc>
          <w:tcPr>
            <w:tcW w:w="380" w:type="dxa"/>
            <w:vAlign w:val="bottom"/>
          </w:tcPr>
          <w:p>
            <w:pPr>
              <w:jc w:val="right"/>
              <w:spacing w:after="0"/>
              <w:rPr>
                <w:sz w:val="20"/>
                <w:szCs w:val="20"/>
                <w:color w:val="auto"/>
              </w:rPr>
            </w:pPr>
            <w:r>
              <w:rPr>
                <w:rFonts w:ascii="Arial" w:cs="Arial" w:eastAsia="Arial" w:hAnsi="Arial"/>
                <w:sz w:val="17"/>
                <w:szCs w:val="17"/>
                <w:color w:val="444A54"/>
              </w:rPr>
              <w:t>57</w:t>
            </w:r>
          </w:p>
        </w:tc>
      </w:tr>
      <w:tr>
        <w:trPr>
          <w:trHeight w:val="188"/>
        </w:trPr>
        <w:tc>
          <w:tcPr>
            <w:tcW w:w="5020" w:type="dxa"/>
            <w:vAlign w:val="bottom"/>
          </w:tcPr>
          <w:p>
            <w:pPr>
              <w:ind w:left="240"/>
              <w:spacing w:after="0" w:line="188" w:lineRule="exact"/>
              <w:rPr>
                <w:sz w:val="20"/>
                <w:szCs w:val="20"/>
                <w:color w:val="auto"/>
              </w:rPr>
            </w:pPr>
            <w:r>
              <w:rPr>
                <w:rFonts w:ascii="Arial" w:cs="Arial" w:eastAsia="Arial" w:hAnsi="Arial"/>
                <w:sz w:val="17"/>
                <w:szCs w:val="17"/>
                <w:color w:val="444A54"/>
              </w:rPr>
              <w:t>Relationship Between PEO and NonPEO NEO Compensation</w:t>
            </w:r>
          </w:p>
        </w:tc>
        <w:tc>
          <w:tcPr>
            <w:tcW w:w="380" w:type="dxa"/>
            <w:vAlign w:val="bottom"/>
          </w:tcPr>
          <w:p>
            <w:pPr>
              <w:spacing w:after="0"/>
              <w:rPr>
                <w:sz w:val="16"/>
                <w:szCs w:val="16"/>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Actually Paid and Net Income</w:t>
            </w:r>
          </w:p>
        </w:tc>
        <w:tc>
          <w:tcPr>
            <w:tcW w:w="380" w:type="dxa"/>
            <w:vAlign w:val="bottom"/>
          </w:tcPr>
          <w:p>
            <w:pPr>
              <w:jc w:val="right"/>
              <w:spacing w:after="0"/>
              <w:rPr>
                <w:sz w:val="20"/>
                <w:szCs w:val="20"/>
                <w:color w:val="auto"/>
              </w:rPr>
            </w:pPr>
            <w:r>
              <w:rPr>
                <w:rFonts w:ascii="Arial" w:cs="Arial" w:eastAsia="Arial" w:hAnsi="Arial"/>
                <w:sz w:val="17"/>
                <w:szCs w:val="17"/>
                <w:color w:val="444A54"/>
              </w:rPr>
              <w:t>57</w:t>
            </w:r>
          </w:p>
        </w:tc>
      </w:tr>
      <w:tr>
        <w:trPr>
          <w:trHeight w:val="188"/>
        </w:trPr>
        <w:tc>
          <w:tcPr>
            <w:tcW w:w="5020" w:type="dxa"/>
            <w:vAlign w:val="bottom"/>
          </w:tcPr>
          <w:p>
            <w:pPr>
              <w:ind w:left="240"/>
              <w:spacing w:after="0" w:line="188" w:lineRule="exact"/>
              <w:rPr>
                <w:sz w:val="20"/>
                <w:szCs w:val="20"/>
                <w:color w:val="auto"/>
              </w:rPr>
            </w:pPr>
            <w:r>
              <w:rPr>
                <w:rFonts w:ascii="Arial" w:cs="Arial" w:eastAsia="Arial" w:hAnsi="Arial"/>
                <w:sz w:val="17"/>
                <w:szCs w:val="17"/>
                <w:color w:val="444A54"/>
              </w:rPr>
              <w:t>Relationship Between PEO and NonPEO NEO Compensation</w:t>
            </w:r>
          </w:p>
        </w:tc>
        <w:tc>
          <w:tcPr>
            <w:tcW w:w="380" w:type="dxa"/>
            <w:vAlign w:val="bottom"/>
          </w:tcPr>
          <w:p>
            <w:pPr>
              <w:spacing w:after="0"/>
              <w:rPr>
                <w:sz w:val="16"/>
                <w:szCs w:val="16"/>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Actually Paid and Company-Selected Measure</w:t>
            </w:r>
          </w:p>
        </w:tc>
        <w:tc>
          <w:tcPr>
            <w:tcW w:w="380" w:type="dxa"/>
            <w:vAlign w:val="bottom"/>
          </w:tcPr>
          <w:p>
            <w:pPr>
              <w:jc w:val="right"/>
              <w:spacing w:after="0"/>
              <w:rPr>
                <w:sz w:val="20"/>
                <w:szCs w:val="20"/>
                <w:color w:val="auto"/>
              </w:rPr>
            </w:pPr>
            <w:r>
              <w:rPr>
                <w:rFonts w:ascii="Arial" w:cs="Arial" w:eastAsia="Arial" w:hAnsi="Arial"/>
                <w:sz w:val="17"/>
                <w:szCs w:val="17"/>
                <w:color w:val="444A54"/>
              </w:rPr>
              <w:t>58</w:t>
            </w:r>
          </w:p>
        </w:tc>
      </w:tr>
      <w:tr>
        <w:trPr>
          <w:trHeight w:val="221"/>
        </w:trPr>
        <w:tc>
          <w:tcPr>
            <w:tcW w:w="5020" w:type="dxa"/>
            <w:vAlign w:val="bottom"/>
          </w:tcPr>
          <w:p>
            <w:pPr>
              <w:ind w:left="240"/>
              <w:spacing w:after="0"/>
              <w:rPr>
                <w:sz w:val="20"/>
                <w:szCs w:val="20"/>
                <w:color w:val="auto"/>
              </w:rPr>
            </w:pPr>
            <w:r>
              <w:rPr>
                <w:rFonts w:ascii="Arial" w:cs="Arial" w:eastAsia="Arial" w:hAnsi="Arial"/>
                <w:sz w:val="17"/>
                <w:szCs w:val="17"/>
                <w:color w:val="444A54"/>
              </w:rPr>
              <w:t>Most Important Financial Performance Measures</w:t>
            </w:r>
          </w:p>
        </w:tc>
        <w:tc>
          <w:tcPr>
            <w:tcW w:w="380" w:type="dxa"/>
            <w:vAlign w:val="bottom"/>
          </w:tcPr>
          <w:p>
            <w:pPr>
              <w:jc w:val="right"/>
              <w:spacing w:after="0"/>
              <w:rPr>
                <w:sz w:val="20"/>
                <w:szCs w:val="20"/>
                <w:color w:val="auto"/>
              </w:rPr>
            </w:pPr>
            <w:r>
              <w:rPr>
                <w:rFonts w:ascii="Arial" w:cs="Arial" w:eastAsia="Arial" w:hAnsi="Arial"/>
                <w:sz w:val="17"/>
                <w:szCs w:val="17"/>
                <w:color w:val="444A54"/>
              </w:rPr>
              <w:t>58</w:t>
            </w:r>
          </w:p>
        </w:tc>
      </w:tr>
      <w:tr>
        <w:trPr>
          <w:trHeight w:val="367"/>
        </w:trPr>
        <w:tc>
          <w:tcPr>
            <w:tcW w:w="5020" w:type="dxa"/>
            <w:vAlign w:val="bottom"/>
          </w:tcPr>
          <w:p>
            <w:pPr>
              <w:spacing w:after="0"/>
              <w:rPr>
                <w:sz w:val="20"/>
                <w:szCs w:val="20"/>
                <w:color w:val="auto"/>
              </w:rPr>
            </w:pPr>
            <w:r>
              <w:rPr>
                <w:rFonts w:ascii="Arial" w:cs="Arial" w:eastAsia="Arial" w:hAnsi="Arial"/>
                <w:sz w:val="17"/>
                <w:szCs w:val="17"/>
                <w:b w:val="1"/>
                <w:bCs w:val="1"/>
                <w:color w:val="017AB5"/>
              </w:rPr>
              <w:t>Security Ownership</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017AB5"/>
              </w:rPr>
              <w:t>59</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Security Ownership of Certain Beneficial Owners</w:t>
            </w:r>
          </w:p>
        </w:tc>
        <w:tc>
          <w:tcPr>
            <w:tcW w:w="380" w:type="dxa"/>
            <w:vAlign w:val="bottom"/>
          </w:tcPr>
          <w:p>
            <w:pPr>
              <w:jc w:val="right"/>
              <w:spacing w:after="0"/>
              <w:rPr>
                <w:sz w:val="20"/>
                <w:szCs w:val="20"/>
                <w:color w:val="auto"/>
              </w:rPr>
            </w:pPr>
            <w:r>
              <w:rPr>
                <w:rFonts w:ascii="Arial" w:cs="Arial" w:eastAsia="Arial" w:hAnsi="Arial"/>
                <w:sz w:val="17"/>
                <w:szCs w:val="17"/>
                <w:color w:val="444A54"/>
              </w:rPr>
              <w:t>59</w:t>
            </w:r>
          </w:p>
        </w:tc>
      </w:tr>
      <w:tr>
        <w:trPr>
          <w:trHeight w:val="221"/>
        </w:trPr>
        <w:tc>
          <w:tcPr>
            <w:tcW w:w="5020" w:type="dxa"/>
            <w:vAlign w:val="bottom"/>
          </w:tcPr>
          <w:p>
            <w:pPr>
              <w:ind w:left="240"/>
              <w:spacing w:after="0"/>
              <w:rPr>
                <w:sz w:val="20"/>
                <w:szCs w:val="20"/>
                <w:color w:val="auto"/>
              </w:rPr>
            </w:pPr>
            <w:r>
              <w:rPr>
                <w:rFonts w:ascii="Arial" w:cs="Arial" w:eastAsia="Arial" w:hAnsi="Arial"/>
                <w:sz w:val="17"/>
                <w:szCs w:val="17"/>
                <w:color w:val="444A54"/>
              </w:rPr>
              <w:t>Security Ownership of Management</w:t>
            </w:r>
          </w:p>
        </w:tc>
        <w:tc>
          <w:tcPr>
            <w:tcW w:w="380" w:type="dxa"/>
            <w:vAlign w:val="bottom"/>
          </w:tcPr>
          <w:p>
            <w:pPr>
              <w:jc w:val="right"/>
              <w:spacing w:after="0"/>
              <w:rPr>
                <w:sz w:val="20"/>
                <w:szCs w:val="20"/>
                <w:color w:val="auto"/>
              </w:rPr>
            </w:pPr>
            <w:r>
              <w:rPr>
                <w:rFonts w:ascii="Arial" w:cs="Arial" w:eastAsia="Arial" w:hAnsi="Arial"/>
                <w:sz w:val="17"/>
                <w:szCs w:val="17"/>
                <w:color w:val="444A54"/>
              </w:rPr>
              <w:t>60</w:t>
            </w:r>
          </w:p>
        </w:tc>
      </w:tr>
      <w:tr>
        <w:trPr>
          <w:trHeight w:val="383"/>
        </w:trPr>
        <w:tc>
          <w:tcPr>
            <w:tcW w:w="5020" w:type="dxa"/>
            <w:vAlign w:val="bottom"/>
          </w:tcPr>
          <w:p>
            <w:pPr>
              <w:spacing w:after="0"/>
              <w:rPr>
                <w:sz w:val="20"/>
                <w:szCs w:val="20"/>
                <w:color w:val="auto"/>
              </w:rPr>
            </w:pPr>
            <w:r>
              <w:rPr>
                <w:rFonts w:ascii="Arial" w:cs="Arial" w:eastAsia="Arial" w:hAnsi="Arial"/>
                <w:sz w:val="17"/>
                <w:szCs w:val="17"/>
                <w:b w:val="1"/>
                <w:bCs w:val="1"/>
                <w:color w:val="017AB5"/>
              </w:rPr>
              <w:t>Fees Paid to Auditors</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017AB5"/>
              </w:rPr>
              <w:t>61</w:t>
            </w:r>
          </w:p>
        </w:tc>
      </w:tr>
      <w:tr>
        <w:trPr>
          <w:trHeight w:val="375"/>
        </w:trPr>
        <w:tc>
          <w:tcPr>
            <w:tcW w:w="5020" w:type="dxa"/>
            <w:vAlign w:val="bottom"/>
          </w:tcPr>
          <w:p>
            <w:pPr>
              <w:spacing w:after="0"/>
              <w:rPr>
                <w:sz w:val="20"/>
                <w:szCs w:val="20"/>
                <w:color w:val="auto"/>
              </w:rPr>
            </w:pPr>
            <w:r>
              <w:rPr>
                <w:rFonts w:ascii="Arial" w:cs="Arial" w:eastAsia="Arial" w:hAnsi="Arial"/>
                <w:sz w:val="17"/>
                <w:szCs w:val="17"/>
                <w:b w:val="1"/>
                <w:bCs w:val="1"/>
                <w:color w:val="017AB5"/>
              </w:rPr>
              <w:t>Audit Committee Report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017AB5"/>
              </w:rPr>
              <w:t>62</w:t>
            </w:r>
          </w:p>
        </w:tc>
      </w:tr>
      <w:tr>
        <w:trPr>
          <w:trHeight w:val="334"/>
        </w:trPr>
        <w:tc>
          <w:tcPr>
            <w:tcW w:w="5020" w:type="dxa"/>
            <w:vAlign w:val="bottom"/>
          </w:tcPr>
          <w:p>
            <w:pPr>
              <w:spacing w:after="0"/>
              <w:rPr>
                <w:sz w:val="20"/>
                <w:szCs w:val="20"/>
                <w:color w:val="auto"/>
              </w:rPr>
            </w:pPr>
            <w:r>
              <w:rPr>
                <w:rFonts w:ascii="Arial" w:cs="Arial" w:eastAsia="Arial" w:hAnsi="Arial"/>
                <w:sz w:val="17"/>
                <w:szCs w:val="17"/>
                <w:b w:val="1"/>
                <w:bCs w:val="1"/>
                <w:color w:val="017AB5"/>
              </w:rPr>
              <w:t>Proposal 4: Ratification of Appointment of Independent</w:t>
            </w:r>
          </w:p>
        </w:tc>
        <w:tc>
          <w:tcPr>
            <w:tcW w:w="380" w:type="dxa"/>
            <w:vAlign w:val="bottom"/>
          </w:tcPr>
          <w:p>
            <w:pPr>
              <w:spacing w:after="0"/>
              <w:rPr>
                <w:sz w:val="24"/>
                <w:szCs w:val="24"/>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7"/>
                <w:szCs w:val="17"/>
                <w:b w:val="1"/>
                <w:bCs w:val="1"/>
                <w:color w:val="017AB5"/>
              </w:rPr>
              <w:t>Registered Public Accounting Firm</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017AB5"/>
              </w:rPr>
              <w:t>63</w:t>
            </w:r>
          </w:p>
        </w:tc>
      </w:tr>
      <w:tr>
        <w:trPr>
          <w:trHeight w:val="375"/>
        </w:trPr>
        <w:tc>
          <w:tcPr>
            <w:tcW w:w="5020" w:type="dxa"/>
            <w:vAlign w:val="bottom"/>
          </w:tcPr>
          <w:p>
            <w:pPr>
              <w:spacing w:after="0"/>
              <w:rPr>
                <w:sz w:val="20"/>
                <w:szCs w:val="20"/>
                <w:color w:val="auto"/>
              </w:rPr>
            </w:pPr>
            <w:r>
              <w:rPr>
                <w:rFonts w:ascii="Arial" w:cs="Arial" w:eastAsia="Arial" w:hAnsi="Arial"/>
                <w:sz w:val="17"/>
                <w:szCs w:val="17"/>
                <w:b w:val="1"/>
                <w:bCs w:val="1"/>
                <w:color w:val="017AB5"/>
              </w:rPr>
              <w:t>Solicitation, Meeting and Voting Information</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017AB5"/>
              </w:rPr>
              <w:t>64</w:t>
            </w:r>
          </w:p>
        </w:tc>
      </w:tr>
      <w:tr>
        <w:trPr>
          <w:trHeight w:val="334"/>
        </w:trPr>
        <w:tc>
          <w:tcPr>
            <w:tcW w:w="5020" w:type="dxa"/>
            <w:vAlign w:val="bottom"/>
          </w:tcPr>
          <w:p>
            <w:pPr>
              <w:spacing w:after="0"/>
              <w:rPr>
                <w:sz w:val="20"/>
                <w:szCs w:val="20"/>
                <w:color w:val="auto"/>
              </w:rPr>
            </w:pPr>
            <w:r>
              <w:rPr>
                <w:rFonts w:ascii="Arial" w:cs="Arial" w:eastAsia="Arial" w:hAnsi="Arial"/>
                <w:sz w:val="17"/>
                <w:szCs w:val="17"/>
                <w:b w:val="1"/>
                <w:bCs w:val="1"/>
                <w:color w:val="017AB5"/>
              </w:rPr>
              <w:t>Shareholder Proposals for 2026 Annual Meeting of</w:t>
            </w:r>
          </w:p>
        </w:tc>
        <w:tc>
          <w:tcPr>
            <w:tcW w:w="380" w:type="dxa"/>
            <w:vAlign w:val="bottom"/>
          </w:tcPr>
          <w:p>
            <w:pPr>
              <w:spacing w:after="0"/>
              <w:rPr>
                <w:sz w:val="24"/>
                <w:szCs w:val="24"/>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7"/>
                <w:szCs w:val="17"/>
                <w:b w:val="1"/>
                <w:bCs w:val="1"/>
                <w:color w:val="017AB5"/>
              </w:rPr>
              <w:t>Shareholders</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017AB5"/>
              </w:rPr>
              <w:t>71</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Shareholder Proposals Under Exchange Act Rule 14a-8</w:t>
            </w:r>
          </w:p>
        </w:tc>
        <w:tc>
          <w:tcPr>
            <w:tcW w:w="380" w:type="dxa"/>
            <w:vAlign w:val="bottom"/>
          </w:tcPr>
          <w:p>
            <w:pPr>
              <w:jc w:val="right"/>
              <w:spacing w:after="0"/>
              <w:rPr>
                <w:sz w:val="20"/>
                <w:szCs w:val="20"/>
                <w:color w:val="auto"/>
              </w:rPr>
            </w:pPr>
            <w:r>
              <w:rPr>
                <w:rFonts w:ascii="Arial" w:cs="Arial" w:eastAsia="Arial" w:hAnsi="Arial"/>
                <w:sz w:val="17"/>
                <w:szCs w:val="17"/>
                <w:color w:val="444A54"/>
              </w:rPr>
              <w:t>71</w:t>
            </w:r>
          </w:p>
        </w:tc>
      </w:tr>
      <w:tr>
        <w:trPr>
          <w:trHeight w:val="213"/>
        </w:trPr>
        <w:tc>
          <w:tcPr>
            <w:tcW w:w="5020" w:type="dxa"/>
            <w:vAlign w:val="bottom"/>
          </w:tcPr>
          <w:p>
            <w:pPr>
              <w:ind w:left="240"/>
              <w:spacing w:after="0"/>
              <w:rPr>
                <w:sz w:val="20"/>
                <w:szCs w:val="20"/>
                <w:color w:val="auto"/>
              </w:rPr>
            </w:pPr>
            <w:r>
              <w:rPr>
                <w:rFonts w:ascii="Arial" w:cs="Arial" w:eastAsia="Arial" w:hAnsi="Arial"/>
                <w:sz w:val="17"/>
                <w:szCs w:val="17"/>
                <w:color w:val="444A54"/>
              </w:rPr>
              <w:t>Other Shareholder Proposals</w:t>
            </w:r>
          </w:p>
        </w:tc>
        <w:tc>
          <w:tcPr>
            <w:tcW w:w="380" w:type="dxa"/>
            <w:vAlign w:val="bottom"/>
          </w:tcPr>
          <w:p>
            <w:pPr>
              <w:jc w:val="right"/>
              <w:spacing w:after="0"/>
              <w:rPr>
                <w:sz w:val="20"/>
                <w:szCs w:val="20"/>
                <w:color w:val="auto"/>
              </w:rPr>
            </w:pPr>
            <w:r>
              <w:rPr>
                <w:rFonts w:ascii="Arial" w:cs="Arial" w:eastAsia="Arial" w:hAnsi="Arial"/>
                <w:sz w:val="17"/>
                <w:szCs w:val="17"/>
                <w:color w:val="444A54"/>
              </w:rPr>
              <w:t>71</w:t>
            </w:r>
          </w:p>
        </w:tc>
      </w:tr>
      <w:tr>
        <w:trPr>
          <w:trHeight w:val="221"/>
        </w:trPr>
        <w:tc>
          <w:tcPr>
            <w:tcW w:w="5020" w:type="dxa"/>
            <w:vAlign w:val="bottom"/>
          </w:tcPr>
          <w:p>
            <w:pPr>
              <w:ind w:left="240"/>
              <w:spacing w:after="0"/>
              <w:rPr>
                <w:sz w:val="20"/>
                <w:szCs w:val="20"/>
                <w:color w:val="auto"/>
              </w:rPr>
            </w:pPr>
            <w:r>
              <w:rPr>
                <w:rFonts w:ascii="Arial" w:cs="Arial" w:eastAsia="Arial" w:hAnsi="Arial"/>
                <w:sz w:val="17"/>
                <w:szCs w:val="17"/>
                <w:color w:val="444A54"/>
              </w:rPr>
              <w:t>Shareholder Recommendations for Director Nominees</w:t>
            </w:r>
          </w:p>
        </w:tc>
        <w:tc>
          <w:tcPr>
            <w:tcW w:w="380" w:type="dxa"/>
            <w:vAlign w:val="bottom"/>
          </w:tcPr>
          <w:p>
            <w:pPr>
              <w:jc w:val="right"/>
              <w:spacing w:after="0"/>
              <w:rPr>
                <w:sz w:val="20"/>
                <w:szCs w:val="20"/>
                <w:color w:val="auto"/>
              </w:rPr>
            </w:pPr>
            <w:r>
              <w:rPr>
                <w:rFonts w:ascii="Arial" w:cs="Arial" w:eastAsia="Arial" w:hAnsi="Arial"/>
                <w:sz w:val="17"/>
                <w:szCs w:val="17"/>
                <w:color w:val="444A54"/>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847725</wp:posOffset>
            </wp:positionV>
            <wp:extent cx="7142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2">
            <w:col w:w="5400" w:space="440"/>
            <w:col w:w="5400"/>
          </w:cols>
          <w:pgMar w:left="320" w:top="773" w:right="339" w:bottom="1440" w:gutter="0" w:footer="0" w:header="0"/>
        </w:sectPr>
      </w:pPr>
    </w:p>
    <w:bookmarkStart w:id="5" w:name="page6"/>
    <w:bookmarkEnd w:id="5"/>
    <w:p>
      <w:pPr>
        <w:spacing w:after="0"/>
        <w:rPr>
          <w:sz w:val="20"/>
          <w:szCs w:val="20"/>
          <w:color w:val="auto"/>
        </w:rPr>
      </w:pPr>
      <w:r>
        <w:rPr>
          <w:rFonts w:ascii="Arial" w:cs="Arial" w:eastAsia="Arial" w:hAnsi="Arial"/>
          <w:sz w:val="33"/>
          <w:szCs w:val="33"/>
          <w:b w:val="1"/>
          <w:bCs w:val="1"/>
          <w:color w:val="194C85"/>
        </w:rPr>
        <w:t>Summary</w:t>
      </w:r>
    </w:p>
    <w:p>
      <w:pPr>
        <w:spacing w:after="0" w:line="215"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444A54"/>
        </w:rPr>
        <w:t>The 2025 Annual Meeting of Shareholders of United Community Banks, Inc. (the “2025 Annual Meeting”) will be held exclusively online via the Internet at 3:00 p.m. Eastern Time on Wednesday, May 14, 2025.</w:t>
      </w:r>
    </w:p>
    <w:p>
      <w:pPr>
        <w:spacing w:after="0" w:line="138"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444A54"/>
        </w:rPr>
        <w:t>We refer to United Community Banks, Inc. throughout this Proxy Statement as “we,”“us,” the “Company” or “United Community.” We refer to United Community Bank as the “Bank.” Additionally, unless otherwise noted or required by context, “2024,” “2023,” and “2022” refer to our fiscal years ended or ending December 31, 2024, 2023, and 2022,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Proxy Materials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444A54"/>
        </w:rPr>
        <w:t>We sent a Notice of Internet Availability of Proxy Materials (the “Notice”) to our shareholders instead of paper copies of our “Proxy Materials” (the Notice of 2025 Annual Meeting of Shareholders and Proxy Statement, our Annual Report to Shareholders (which includes our Form 10-K for the year ended December 31, 2024) and the Proxy Card or voting instruction form). The Notice was mailed to shareholders beginning on April 2, 2025, and our Proxy Materials were posted on the website referenced in the Notice on that same date. The Notice contains instructions on how to access our Proxy Materials on the Internet and how to request paper or email copies of the Proxy Materials.</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Proposals for Your Vote at the 2025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444A54"/>
        </w:rPr>
        <w:t>Our Board unanimously recommends that you vote:</w:t>
      </w:r>
    </w:p>
    <w:p>
      <w:pPr>
        <w:spacing w:after="0" w:line="25" w:lineRule="exact"/>
        <w:rPr>
          <w:sz w:val="20"/>
          <w:szCs w:val="20"/>
          <w:color w:val="auto"/>
        </w:rPr>
      </w:pPr>
    </w:p>
    <w:p>
      <w:pPr>
        <w:ind w:left="600" w:hanging="300"/>
        <w:spacing w:after="0"/>
        <w:tabs>
          <w:tab w:leader="none" w:pos="600" w:val="left"/>
        </w:tabs>
        <w:numPr>
          <w:ilvl w:val="0"/>
          <w:numId w:val="4"/>
        </w:numPr>
        <w:rPr>
          <w:rFonts w:ascii="Arial" w:cs="Arial" w:eastAsia="Arial" w:hAnsi="Arial"/>
          <w:sz w:val="17"/>
          <w:szCs w:val="17"/>
          <w:color w:val="444A54"/>
        </w:rPr>
      </w:pPr>
      <w:r>
        <w:rPr>
          <w:rFonts w:ascii="Arial" w:cs="Arial" w:eastAsia="Arial" w:hAnsi="Arial"/>
          <w:sz w:val="17"/>
          <w:szCs w:val="17"/>
          <w:color w:val="444A54"/>
        </w:rPr>
        <w:t>“FOR ALL” 12 nominees to our Board identified in this Proxy Statement (Proposal 1);</w:t>
      </w:r>
    </w:p>
    <w:p>
      <w:pPr>
        <w:spacing w:after="0" w:line="17" w:lineRule="exact"/>
        <w:rPr>
          <w:rFonts w:ascii="Arial" w:cs="Arial" w:eastAsia="Arial" w:hAnsi="Arial"/>
          <w:sz w:val="17"/>
          <w:szCs w:val="17"/>
          <w:color w:val="444A54"/>
        </w:rPr>
      </w:pPr>
    </w:p>
    <w:p>
      <w:pPr>
        <w:ind w:left="600" w:right="220" w:hanging="300"/>
        <w:spacing w:after="0" w:line="245" w:lineRule="auto"/>
        <w:tabs>
          <w:tab w:leader="none" w:pos="600" w:val="left"/>
        </w:tabs>
        <w:numPr>
          <w:ilvl w:val="0"/>
          <w:numId w:val="4"/>
        </w:numPr>
        <w:rPr>
          <w:rFonts w:ascii="Arial" w:cs="Arial" w:eastAsia="Arial" w:hAnsi="Arial"/>
          <w:sz w:val="17"/>
          <w:szCs w:val="17"/>
          <w:color w:val="444A54"/>
        </w:rPr>
      </w:pPr>
      <w:r>
        <w:rPr>
          <w:rFonts w:ascii="Arial" w:cs="Arial" w:eastAsia="Arial" w:hAnsi="Arial"/>
          <w:sz w:val="17"/>
          <w:szCs w:val="17"/>
          <w:color w:val="444A54"/>
        </w:rPr>
        <w:t>“FOR” the advisory (nonbinding) proposal regarding the compensation paid to our Named Executive Officers (say-on-pay proposal) (Proposal 2);</w:t>
      </w:r>
    </w:p>
    <w:p>
      <w:pPr>
        <w:spacing w:after="0" w:line="1" w:lineRule="exact"/>
        <w:rPr>
          <w:rFonts w:ascii="Arial" w:cs="Arial" w:eastAsia="Arial" w:hAnsi="Arial"/>
          <w:sz w:val="17"/>
          <w:szCs w:val="17"/>
          <w:color w:val="444A54"/>
        </w:rPr>
      </w:pPr>
    </w:p>
    <w:p>
      <w:pPr>
        <w:ind w:left="600" w:hanging="300"/>
        <w:spacing w:after="0"/>
        <w:tabs>
          <w:tab w:leader="none" w:pos="600" w:val="left"/>
        </w:tabs>
        <w:numPr>
          <w:ilvl w:val="0"/>
          <w:numId w:val="4"/>
        </w:numPr>
        <w:rPr>
          <w:rFonts w:ascii="Arial" w:cs="Arial" w:eastAsia="Arial" w:hAnsi="Arial"/>
          <w:sz w:val="17"/>
          <w:szCs w:val="17"/>
          <w:color w:val="444A54"/>
        </w:rPr>
      </w:pPr>
      <w:r>
        <w:rPr>
          <w:rFonts w:ascii="Arial" w:cs="Arial" w:eastAsia="Arial" w:hAnsi="Arial"/>
          <w:sz w:val="17"/>
          <w:szCs w:val="17"/>
          <w:color w:val="444A54"/>
        </w:rPr>
        <w:t>“FOR” the option of every year as the preferred frequency for advisory votes on executive compensation (Proposal 3); and</w:t>
      </w:r>
    </w:p>
    <w:p>
      <w:pPr>
        <w:spacing w:after="0" w:line="17" w:lineRule="exact"/>
        <w:rPr>
          <w:rFonts w:ascii="Arial" w:cs="Arial" w:eastAsia="Arial" w:hAnsi="Arial"/>
          <w:sz w:val="17"/>
          <w:szCs w:val="17"/>
          <w:color w:val="444A54"/>
        </w:rPr>
      </w:pPr>
    </w:p>
    <w:p>
      <w:pPr>
        <w:ind w:left="600" w:hanging="300"/>
        <w:spacing w:after="0"/>
        <w:tabs>
          <w:tab w:leader="none" w:pos="600" w:val="left"/>
        </w:tabs>
        <w:numPr>
          <w:ilvl w:val="0"/>
          <w:numId w:val="4"/>
        </w:numPr>
        <w:rPr>
          <w:rFonts w:ascii="Arial" w:cs="Arial" w:eastAsia="Arial" w:hAnsi="Arial"/>
          <w:sz w:val="17"/>
          <w:szCs w:val="17"/>
          <w:color w:val="444A54"/>
        </w:rPr>
      </w:pPr>
      <w:r>
        <w:rPr>
          <w:rFonts w:ascii="Arial" w:cs="Arial" w:eastAsia="Arial" w:hAnsi="Arial"/>
          <w:sz w:val="17"/>
          <w:szCs w:val="17"/>
          <w:color w:val="444A54"/>
        </w:rPr>
        <w:t>“FOR” the ratification of the appointment of PwC as our independent registered public accounting firm for 2025 (Proposal 4).</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Voting Your Shares</w:t>
      </w:r>
    </w:p>
    <w:p>
      <w:pPr>
        <w:spacing w:after="0" w:line="198" w:lineRule="exact"/>
        <w:rPr>
          <w:sz w:val="20"/>
          <w:szCs w:val="20"/>
          <w:color w:val="auto"/>
        </w:rPr>
      </w:pPr>
    </w:p>
    <w:p>
      <w:pPr>
        <w:ind w:right="260"/>
        <w:spacing w:after="0"/>
        <w:rPr>
          <w:sz w:val="20"/>
          <w:szCs w:val="20"/>
          <w:color w:val="auto"/>
        </w:rPr>
      </w:pPr>
      <w:r>
        <w:rPr>
          <w:rFonts w:ascii="Arial" w:cs="Arial" w:eastAsia="Arial" w:hAnsi="Arial"/>
          <w:sz w:val="17"/>
          <w:szCs w:val="17"/>
          <w:color w:val="444A54"/>
        </w:rPr>
        <w:t>It is important that your shares be represented at the 2025 Annual Meeting, and we hope that you will access and participate in the 2025 Annual Meeting. If you do participate, you may vote during the 2025 Annual Meeting by following the instructions available on the meeting website during the meeting. However, even if you participate in the virtual meeting, we ask that you please vote your shares in advance of the 2025 Annual Meeting to ensure that your shares will be represented in one of the following three ways:</w:t>
      </w:r>
    </w:p>
    <w:p>
      <w:pPr>
        <w:spacing w:after="0" w:line="2" w:lineRule="exact"/>
        <w:rPr>
          <w:sz w:val="20"/>
          <w:szCs w:val="20"/>
          <w:color w:val="auto"/>
        </w:rPr>
      </w:pPr>
    </w:p>
    <w:p>
      <w:pPr>
        <w:ind w:left="600" w:hanging="300"/>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444A54"/>
        </w:rPr>
        <w:t>By Internet: Access www.proxyvote.com (you will need the control number from your Notice) and follow the instructions on the Notice; or</w:t>
      </w:r>
    </w:p>
    <w:p>
      <w:pPr>
        <w:spacing w:after="0" w:line="17" w:lineRule="exact"/>
        <w:rPr>
          <w:rFonts w:ascii="Arial" w:cs="Arial" w:eastAsia="Arial" w:hAnsi="Arial"/>
          <w:sz w:val="17"/>
          <w:szCs w:val="17"/>
          <w:color w:val="auto"/>
        </w:rPr>
      </w:pPr>
    </w:p>
    <w:p>
      <w:pPr>
        <w:ind w:left="600" w:right="1080" w:hanging="300"/>
        <w:spacing w:after="0" w:line="245"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444A54"/>
        </w:rPr>
        <w:t>By Telephone: In the United States and Canada, you can call the toll-free number specified after accessing the Proxy Materials on www.proxyvote.com or on the Proxy Card that you receive if you requested printed copies of the Proxy Materials; or</w:t>
      </w:r>
    </w:p>
    <w:p>
      <w:pPr>
        <w:spacing w:after="0" w:line="1" w:lineRule="exact"/>
        <w:rPr>
          <w:rFonts w:ascii="Arial" w:cs="Arial" w:eastAsia="Arial" w:hAnsi="Arial"/>
          <w:sz w:val="17"/>
          <w:szCs w:val="17"/>
          <w:color w:val="auto"/>
        </w:rPr>
      </w:pPr>
    </w:p>
    <w:p>
      <w:pPr>
        <w:ind w:left="600" w:right="480" w:hanging="300"/>
        <w:spacing w:after="0" w:line="251" w:lineRule="auto"/>
        <w:tabs>
          <w:tab w:leader="none" w:pos="600" w:val="left"/>
        </w:tabs>
        <w:numPr>
          <w:ilvl w:val="0"/>
          <w:numId w:val="5"/>
        </w:numPr>
        <w:rPr>
          <w:rFonts w:ascii="Arial" w:cs="Arial" w:eastAsia="Arial" w:hAnsi="Arial"/>
          <w:sz w:val="17"/>
          <w:szCs w:val="17"/>
          <w:color w:val="444A54"/>
        </w:rPr>
      </w:pPr>
      <w:r>
        <w:rPr>
          <w:rFonts w:ascii="Arial" w:cs="Arial" w:eastAsia="Arial" w:hAnsi="Arial"/>
          <w:sz w:val="17"/>
          <w:szCs w:val="17"/>
          <w:color w:val="444A54"/>
        </w:rPr>
        <w:t>By Mail: Request paper copies of the Proxy Materials, which will include a Proxy Card that includes instructions for voting by mail. See the Notice for instructions on how to request paper copies of the Proxy Materials.</w:t>
      </w:r>
    </w:p>
    <w:p>
      <w:pPr>
        <w:spacing w:after="0" w:line="14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444A54"/>
        </w:rPr>
        <w:t>If your shares are held by a broker, bank, or other nominee (this is called “street name”), your broker, bank, or other nominee will send you instructions for voting those shares. Many (but not all) brokerage firms, banks, and other nominees participate in a program that offers various voting options.</w:t>
      </w:r>
    </w:p>
    <w:p>
      <w:pPr>
        <w:spacing w:after="0" w:line="103"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Participating in the Virtual 2025 Annual Meeting</w:t>
      </w:r>
    </w:p>
    <w:p>
      <w:pPr>
        <w:spacing w:after="0" w:line="198" w:lineRule="exact"/>
        <w:rPr>
          <w:sz w:val="20"/>
          <w:szCs w:val="20"/>
          <w:color w:val="auto"/>
        </w:rPr>
      </w:pPr>
    </w:p>
    <w:p>
      <w:pPr>
        <w:jc w:val="both"/>
        <w:ind w:right="360"/>
        <w:spacing w:after="0" w:line="293" w:lineRule="auto"/>
        <w:rPr>
          <w:sz w:val="20"/>
          <w:szCs w:val="20"/>
          <w:color w:val="auto"/>
        </w:rPr>
      </w:pPr>
      <w:r>
        <w:rPr>
          <w:rFonts w:ascii="Arial" w:cs="Arial" w:eastAsia="Arial" w:hAnsi="Arial"/>
          <w:sz w:val="16"/>
          <w:szCs w:val="16"/>
          <w:color w:val="444A54"/>
        </w:rPr>
        <w:t>To gain access to and participate in the 2025 Annual Meeting at www.virtualshareholdermeeting.com/UCBI2025, you must enter the control number found on your copy of the Notice and on the Proxy Card (voting instruction form) that you receive if you request paper copies of the Proxy Materials.</w:t>
      </w:r>
    </w:p>
    <w:p>
      <w:pPr>
        <w:spacing w:after="0" w:line="103"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Additional Information</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444A54"/>
        </w:rPr>
        <w:t>See Solicitation, Meeting and Voting Information beginning on page 64 for additional information about our Proxy Materials, proposals for your vote at the 2025 Annual Meeting, voting your shares, and participating in the virtual 2025 Annual Meeting.</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Arial" w:cs="Arial" w:eastAsia="Arial" w:hAnsi="Arial"/>
          <w:sz w:val="33"/>
          <w:szCs w:val="33"/>
          <w:b w:val="1"/>
          <w:bCs w:val="1"/>
          <w:color w:val="194C85"/>
        </w:rPr>
        <w:t>Proposal 1: Election of Directors</w:t>
      </w:r>
    </w:p>
    <w:p>
      <w:pPr>
        <w:spacing w:after="0" w:line="215"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444A54"/>
        </w:rPr>
        <w:t>The Board of Directors (the “Board”) nominated 12 directors who, if elected by shareholders at the 2025 Annual Meeting, will be expected to serve until next year’s annual meeting and until their respective successors are elected and qualified. All nominees currently serve as directors on our Board.</w:t>
      </w:r>
    </w:p>
    <w:p>
      <w:pPr>
        <w:ind w:right="20"/>
        <w:spacing w:after="0" w:line="234" w:lineRule="auto"/>
        <w:rPr>
          <w:sz w:val="20"/>
          <w:szCs w:val="20"/>
          <w:color w:val="auto"/>
        </w:rPr>
      </w:pPr>
      <w:r>
        <w:rPr>
          <w:rFonts w:ascii="Arial" w:cs="Arial" w:eastAsia="Arial" w:hAnsi="Arial"/>
          <w:sz w:val="17"/>
          <w:szCs w:val="17"/>
          <w:color w:val="444A54"/>
        </w:rPr>
        <w:t>Mr. David C. Shaver is not standing for re -election and will retire from the Board following the 2025 Annual Meeting. Mr. Shaver has served on the Board since 2016 and has provided outstanding service to United Community as a Board member and as Chair of the Audit Committee. United Community is grateful to Mr. Shaver for his exceptional service and contributions to the Company. Each director nominee consented to being named in this Proxy Statement and to serve as a director, if elected. If any nominee is unable to stand for election for any reason, the shares represented at our 2025 Annual Meeting may be voted for another candidate proposed by our Board, or our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4719320</wp:posOffset>
            </wp:positionH>
            <wp:positionV relativeFrom="paragraph">
              <wp:posOffset>110490</wp:posOffset>
            </wp:positionV>
            <wp:extent cx="8255" cy="269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26987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110490</wp:posOffset>
            </wp:positionV>
            <wp:extent cx="8255" cy="269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26987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110490</wp:posOffset>
            </wp:positionV>
            <wp:extent cx="8255" cy="269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269875"/>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110490</wp:posOffset>
            </wp:positionV>
            <wp:extent cx="8255" cy="269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269875"/>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110490</wp:posOffset>
            </wp:positionV>
            <wp:extent cx="8255" cy="269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26987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110490</wp:posOffset>
            </wp:positionV>
            <wp:extent cx="8255" cy="269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26987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Borders>
              <w:right w:val="single" w:sz="8" w:color="007DB6"/>
            </w:tcBorders>
            <w:vMerge w:val="restart"/>
            <w:shd w:val="clear" w:color="auto" w:fill="007DB6"/>
          </w:tcPr>
          <w:p>
            <w:pPr>
              <w:jc w:val="center"/>
              <w:spacing w:after="0"/>
              <w:rPr>
                <w:sz w:val="20"/>
                <w:szCs w:val="20"/>
                <w:color w:val="auto"/>
              </w:rPr>
            </w:pPr>
            <w:r>
              <w:rPr>
                <w:rFonts w:ascii="Arial" w:cs="Arial" w:eastAsia="Arial" w:hAnsi="Arial"/>
                <w:sz w:val="13"/>
                <w:szCs w:val="13"/>
                <w:color w:val="FFFFFF"/>
                <w:w w:val="99"/>
              </w:rPr>
              <w:t>Nominee</w:t>
            </w:r>
          </w:p>
        </w:tc>
        <w:tc>
          <w:tcPr>
            <w:tcW w:w="680" w:type="dxa"/>
            <w:vAlign w:val="bottom"/>
            <w:tcBorders>
              <w:right w:val="single" w:sz="8" w:color="007DB6"/>
            </w:tcBorders>
            <w:vMerge w:val="restart"/>
            <w:shd w:val="clear" w:color="auto" w:fill="007DB6"/>
          </w:tcPr>
          <w:p>
            <w:pPr>
              <w:jc w:val="center"/>
              <w:spacing w:after="0"/>
              <w:rPr>
                <w:sz w:val="20"/>
                <w:szCs w:val="20"/>
                <w:color w:val="auto"/>
              </w:rPr>
            </w:pPr>
            <w:r>
              <w:rPr>
                <w:rFonts w:ascii="Arial" w:cs="Arial" w:eastAsia="Arial" w:hAnsi="Arial"/>
                <w:sz w:val="13"/>
                <w:szCs w:val="13"/>
                <w:color w:val="FFFFFF"/>
                <w:w w:val="94"/>
              </w:rPr>
              <w:t>Age</w:t>
            </w:r>
          </w:p>
        </w:tc>
        <w:tc>
          <w:tcPr>
            <w:tcW w:w="2260" w:type="dxa"/>
            <w:vAlign w:val="bottom"/>
            <w:tcBorders>
              <w:right w:val="single" w:sz="8" w:color="007DB6"/>
            </w:tcBorders>
            <w:vMerge w:val="restart"/>
            <w:shd w:val="clear" w:color="auto" w:fill="007DB6"/>
          </w:tcPr>
          <w:p>
            <w:pPr>
              <w:jc w:val="center"/>
              <w:spacing w:after="0"/>
              <w:rPr>
                <w:sz w:val="20"/>
                <w:szCs w:val="20"/>
                <w:color w:val="auto"/>
              </w:rPr>
            </w:pPr>
            <w:r>
              <w:rPr>
                <w:rFonts w:ascii="Arial" w:cs="Arial" w:eastAsia="Arial" w:hAnsi="Arial"/>
                <w:sz w:val="13"/>
                <w:szCs w:val="13"/>
                <w:color w:val="FFFFFF"/>
              </w:rPr>
              <w:t>Principal Occupation</w:t>
            </w:r>
          </w:p>
        </w:tc>
        <w:tc>
          <w:tcPr>
            <w:tcW w:w="1120" w:type="dxa"/>
            <w:vAlign w:val="bottom"/>
            <w:tcBorders>
              <w:right w:val="single" w:sz="8" w:color="007DB6"/>
            </w:tcBorders>
            <w:shd w:val="clear" w:color="auto" w:fill="007DB6"/>
          </w:tcPr>
          <w:p>
            <w:pPr>
              <w:jc w:val="center"/>
              <w:spacing w:after="0"/>
              <w:rPr>
                <w:sz w:val="20"/>
                <w:szCs w:val="20"/>
                <w:color w:val="auto"/>
              </w:rPr>
            </w:pPr>
            <w:r>
              <w:rPr>
                <w:rFonts w:ascii="Arial" w:cs="Arial" w:eastAsia="Arial" w:hAnsi="Arial"/>
                <w:sz w:val="13"/>
                <w:szCs w:val="13"/>
                <w:color w:val="FFFFFF"/>
              </w:rPr>
              <w:t>Director</w:t>
            </w:r>
          </w:p>
        </w:tc>
        <w:tc>
          <w:tcPr>
            <w:tcW w:w="1120" w:type="dxa"/>
            <w:vAlign w:val="bottom"/>
            <w:tcBorders>
              <w:right w:val="single" w:sz="8" w:color="007DB6"/>
            </w:tcBorders>
            <w:vMerge w:val="restart"/>
            <w:shd w:val="clear" w:color="auto" w:fill="007DB6"/>
          </w:tcPr>
          <w:p>
            <w:pPr>
              <w:jc w:val="center"/>
              <w:spacing w:after="0"/>
              <w:rPr>
                <w:sz w:val="20"/>
                <w:szCs w:val="20"/>
                <w:color w:val="auto"/>
              </w:rPr>
            </w:pPr>
            <w:r>
              <w:rPr>
                <w:rFonts w:ascii="Arial" w:cs="Arial" w:eastAsia="Arial" w:hAnsi="Arial"/>
                <w:sz w:val="13"/>
                <w:szCs w:val="13"/>
                <w:color w:val="FFFFFF"/>
              </w:rPr>
              <w:t>Independent</w:t>
            </w:r>
          </w:p>
        </w:tc>
        <w:tc>
          <w:tcPr>
            <w:tcW w:w="1140" w:type="dxa"/>
            <w:vAlign w:val="bottom"/>
            <w:tcBorders>
              <w:right w:val="single" w:sz="8" w:color="007DB6"/>
            </w:tcBorders>
            <w:shd w:val="clear" w:color="auto" w:fill="007DB6"/>
          </w:tcPr>
          <w:p>
            <w:pPr>
              <w:jc w:val="center"/>
              <w:spacing w:after="0"/>
              <w:rPr>
                <w:sz w:val="20"/>
                <w:szCs w:val="20"/>
                <w:color w:val="auto"/>
              </w:rPr>
            </w:pPr>
            <w:r>
              <w:rPr>
                <w:rFonts w:ascii="Arial" w:cs="Arial" w:eastAsia="Arial" w:hAnsi="Arial"/>
                <w:sz w:val="13"/>
                <w:szCs w:val="13"/>
                <w:color w:val="FFFFFF"/>
              </w:rPr>
              <w:t>Other Public</w:t>
            </w:r>
          </w:p>
        </w:tc>
        <w:tc>
          <w:tcPr>
            <w:tcW w:w="3780" w:type="dxa"/>
            <w:vAlign w:val="bottom"/>
            <w:shd w:val="clear" w:color="auto" w:fill="007DB6"/>
          </w:tcPr>
          <w:p>
            <w:pPr>
              <w:jc w:val="center"/>
              <w:spacing w:after="0"/>
              <w:rPr>
                <w:sz w:val="20"/>
                <w:szCs w:val="20"/>
                <w:color w:val="auto"/>
              </w:rPr>
            </w:pPr>
            <w:r>
              <w:rPr>
                <w:rFonts w:ascii="Arial" w:cs="Arial" w:eastAsia="Arial" w:hAnsi="Arial"/>
                <w:sz w:val="13"/>
                <w:szCs w:val="13"/>
                <w:color w:val="FFFFFF"/>
              </w:rPr>
              <w:t>Committee Membership</w:t>
            </w:r>
          </w:p>
        </w:tc>
        <w:tc>
          <w:tcPr>
            <w:tcW w:w="0" w:type="dxa"/>
            <w:vAlign w:val="bottom"/>
          </w:tcPr>
          <w:p>
            <w:pPr>
              <w:spacing w:after="0"/>
              <w:rPr>
                <w:sz w:val="1"/>
                <w:szCs w:val="1"/>
                <w:color w:val="auto"/>
              </w:rPr>
            </w:pPr>
          </w:p>
        </w:tc>
      </w:tr>
      <w:tr>
        <w:trPr>
          <w:trHeight w:val="100"/>
        </w:trPr>
        <w:tc>
          <w:tcPr>
            <w:tcW w:w="1140" w:type="dxa"/>
            <w:vAlign w:val="bottom"/>
            <w:tcBorders>
              <w:right w:val="single" w:sz="8" w:color="007DB6"/>
            </w:tcBorders>
            <w:vMerge w:val="continue"/>
            <w:shd w:val="clear" w:color="auto" w:fill="007DB6"/>
          </w:tcPr>
          <w:p>
            <w:pPr>
              <w:spacing w:after="0"/>
              <w:rPr>
                <w:sz w:val="8"/>
                <w:szCs w:val="8"/>
                <w:color w:val="auto"/>
              </w:rPr>
            </w:pPr>
          </w:p>
        </w:tc>
        <w:tc>
          <w:tcPr>
            <w:tcW w:w="680" w:type="dxa"/>
            <w:vAlign w:val="bottom"/>
            <w:tcBorders>
              <w:right w:val="single" w:sz="8" w:color="007DB6"/>
            </w:tcBorders>
            <w:vMerge w:val="continue"/>
            <w:shd w:val="clear" w:color="auto" w:fill="007DB6"/>
          </w:tcPr>
          <w:p>
            <w:pPr>
              <w:spacing w:after="0"/>
              <w:rPr>
                <w:sz w:val="8"/>
                <w:szCs w:val="8"/>
                <w:color w:val="auto"/>
              </w:rPr>
            </w:pPr>
          </w:p>
        </w:tc>
        <w:tc>
          <w:tcPr>
            <w:tcW w:w="2260" w:type="dxa"/>
            <w:vAlign w:val="bottom"/>
            <w:tcBorders>
              <w:right w:val="single" w:sz="8" w:color="007DB6"/>
            </w:tcBorders>
            <w:vMerge w:val="continue"/>
            <w:shd w:val="clear" w:color="auto" w:fill="007DB6"/>
          </w:tcPr>
          <w:p>
            <w:pPr>
              <w:spacing w:after="0"/>
              <w:rPr>
                <w:sz w:val="8"/>
                <w:szCs w:val="8"/>
                <w:color w:val="auto"/>
              </w:rPr>
            </w:pPr>
          </w:p>
        </w:tc>
        <w:tc>
          <w:tcPr>
            <w:tcW w:w="1120" w:type="dxa"/>
            <w:vAlign w:val="bottom"/>
            <w:tcBorders>
              <w:right w:val="single" w:sz="8" w:color="007DB6"/>
            </w:tcBorders>
            <w:vMerge w:val="restart"/>
            <w:shd w:val="clear" w:color="auto" w:fill="007DB6"/>
          </w:tcPr>
          <w:p>
            <w:pPr>
              <w:jc w:val="center"/>
              <w:spacing w:after="0"/>
              <w:rPr>
                <w:sz w:val="20"/>
                <w:szCs w:val="20"/>
                <w:color w:val="auto"/>
              </w:rPr>
            </w:pPr>
            <w:r>
              <w:rPr>
                <w:rFonts w:ascii="Arial" w:cs="Arial" w:eastAsia="Arial" w:hAnsi="Arial"/>
                <w:sz w:val="13"/>
                <w:szCs w:val="13"/>
                <w:color w:val="FFFFFF"/>
                <w:w w:val="98"/>
              </w:rPr>
              <w:t>Since</w:t>
            </w:r>
          </w:p>
        </w:tc>
        <w:tc>
          <w:tcPr>
            <w:tcW w:w="1120" w:type="dxa"/>
            <w:vAlign w:val="bottom"/>
            <w:tcBorders>
              <w:right w:val="single" w:sz="8" w:color="007DB6"/>
            </w:tcBorders>
            <w:vMerge w:val="continue"/>
            <w:shd w:val="clear" w:color="auto" w:fill="007DB6"/>
          </w:tcPr>
          <w:p>
            <w:pPr>
              <w:spacing w:after="0"/>
              <w:rPr>
                <w:sz w:val="8"/>
                <w:szCs w:val="8"/>
                <w:color w:val="auto"/>
              </w:rPr>
            </w:pPr>
          </w:p>
        </w:tc>
        <w:tc>
          <w:tcPr>
            <w:tcW w:w="1140" w:type="dxa"/>
            <w:vAlign w:val="bottom"/>
            <w:tcBorders>
              <w:right w:val="single" w:sz="8" w:color="007DB6"/>
            </w:tcBorders>
            <w:vMerge w:val="restart"/>
            <w:shd w:val="clear" w:color="auto" w:fill="007DB6"/>
          </w:tcPr>
          <w:p>
            <w:pPr>
              <w:jc w:val="center"/>
              <w:spacing w:after="0"/>
              <w:rPr>
                <w:sz w:val="20"/>
                <w:szCs w:val="20"/>
                <w:color w:val="auto"/>
              </w:rPr>
            </w:pPr>
            <w:r>
              <w:rPr>
                <w:rFonts w:ascii="Arial" w:cs="Arial" w:eastAsia="Arial" w:hAnsi="Arial"/>
                <w:sz w:val="13"/>
                <w:szCs w:val="13"/>
                <w:color w:val="FFFFFF"/>
              </w:rPr>
              <w:t>Boards</w:t>
            </w:r>
          </w:p>
        </w:tc>
        <w:tc>
          <w:tcPr>
            <w:tcW w:w="3780" w:type="dxa"/>
            <w:vAlign w:val="bottom"/>
            <w:vMerge w:val="restart"/>
            <w:shd w:val="clear" w:color="auto" w:fill="007DB6"/>
          </w:tcPr>
          <w:p>
            <w:pPr>
              <w:jc w:val="center"/>
              <w:spacing w:after="0"/>
              <w:rPr>
                <w:sz w:val="20"/>
                <w:szCs w:val="20"/>
                <w:color w:val="auto"/>
              </w:rPr>
            </w:pPr>
            <w:r>
              <w:rPr>
                <w:rFonts w:ascii="Arial" w:cs="Arial" w:eastAsia="Arial" w:hAnsi="Arial"/>
                <w:sz w:val="13"/>
                <w:szCs w:val="13"/>
                <w:color w:val="FFFFFF"/>
              </w:rPr>
              <w:t>(C= Chair)</w:t>
            </w:r>
          </w:p>
        </w:tc>
        <w:tc>
          <w:tcPr>
            <w:tcW w:w="0" w:type="dxa"/>
            <w:vAlign w:val="bottom"/>
          </w:tcPr>
          <w:p>
            <w:pPr>
              <w:spacing w:after="0"/>
              <w:rPr>
                <w:sz w:val="1"/>
                <w:szCs w:val="1"/>
                <w:color w:val="auto"/>
              </w:rPr>
            </w:pPr>
          </w:p>
        </w:tc>
      </w:tr>
      <w:tr>
        <w:trPr>
          <w:trHeight w:val="101"/>
        </w:trPr>
        <w:tc>
          <w:tcPr>
            <w:tcW w:w="1140" w:type="dxa"/>
            <w:vAlign w:val="bottom"/>
            <w:tcBorders>
              <w:bottom w:val="single" w:sz="8" w:color="007DB6"/>
              <w:right w:val="single" w:sz="8" w:color="007DB6"/>
            </w:tcBorders>
            <w:shd w:val="clear" w:color="auto" w:fill="007DB6"/>
          </w:tcPr>
          <w:p>
            <w:pPr>
              <w:spacing w:after="0"/>
              <w:rPr>
                <w:sz w:val="8"/>
                <w:szCs w:val="8"/>
                <w:color w:val="auto"/>
              </w:rPr>
            </w:pPr>
          </w:p>
        </w:tc>
        <w:tc>
          <w:tcPr>
            <w:tcW w:w="680" w:type="dxa"/>
            <w:vAlign w:val="bottom"/>
            <w:tcBorders>
              <w:bottom w:val="single" w:sz="8" w:color="007DB6"/>
              <w:right w:val="single" w:sz="8" w:color="007DB6"/>
            </w:tcBorders>
            <w:shd w:val="clear" w:color="auto" w:fill="007DB6"/>
          </w:tcPr>
          <w:p>
            <w:pPr>
              <w:spacing w:after="0"/>
              <w:rPr>
                <w:sz w:val="8"/>
                <w:szCs w:val="8"/>
                <w:color w:val="auto"/>
              </w:rPr>
            </w:pPr>
          </w:p>
        </w:tc>
        <w:tc>
          <w:tcPr>
            <w:tcW w:w="2260" w:type="dxa"/>
            <w:vAlign w:val="bottom"/>
            <w:tcBorders>
              <w:bottom w:val="single" w:sz="8" w:color="007DB6"/>
              <w:right w:val="single" w:sz="8" w:color="007DB6"/>
            </w:tcBorders>
            <w:shd w:val="clear" w:color="auto" w:fill="007DB6"/>
          </w:tcPr>
          <w:p>
            <w:pPr>
              <w:spacing w:after="0"/>
              <w:rPr>
                <w:sz w:val="8"/>
                <w:szCs w:val="8"/>
                <w:color w:val="auto"/>
              </w:rPr>
            </w:pPr>
          </w:p>
        </w:tc>
        <w:tc>
          <w:tcPr>
            <w:tcW w:w="1120" w:type="dxa"/>
            <w:vAlign w:val="bottom"/>
            <w:tcBorders>
              <w:bottom w:val="single" w:sz="8" w:color="007DB6"/>
              <w:right w:val="single" w:sz="8" w:color="007DB6"/>
            </w:tcBorders>
            <w:vMerge w:val="continue"/>
            <w:shd w:val="clear" w:color="auto" w:fill="007DB6"/>
          </w:tcPr>
          <w:p>
            <w:pPr>
              <w:spacing w:after="0"/>
              <w:rPr>
                <w:sz w:val="8"/>
                <w:szCs w:val="8"/>
                <w:color w:val="auto"/>
              </w:rPr>
            </w:pPr>
          </w:p>
        </w:tc>
        <w:tc>
          <w:tcPr>
            <w:tcW w:w="1120" w:type="dxa"/>
            <w:vAlign w:val="bottom"/>
            <w:tcBorders>
              <w:bottom w:val="single" w:sz="8" w:color="007DB6"/>
              <w:right w:val="single" w:sz="8" w:color="007DB6"/>
            </w:tcBorders>
            <w:shd w:val="clear" w:color="auto" w:fill="007DB6"/>
          </w:tcPr>
          <w:p>
            <w:pPr>
              <w:spacing w:after="0"/>
              <w:rPr>
                <w:sz w:val="8"/>
                <w:szCs w:val="8"/>
                <w:color w:val="auto"/>
              </w:rPr>
            </w:pPr>
          </w:p>
        </w:tc>
        <w:tc>
          <w:tcPr>
            <w:tcW w:w="1140" w:type="dxa"/>
            <w:vAlign w:val="bottom"/>
            <w:tcBorders>
              <w:bottom w:val="single" w:sz="8" w:color="007DB6"/>
              <w:right w:val="single" w:sz="8" w:color="007DB6"/>
            </w:tcBorders>
            <w:vMerge w:val="continue"/>
            <w:shd w:val="clear" w:color="auto" w:fill="007DB6"/>
          </w:tcPr>
          <w:p>
            <w:pPr>
              <w:spacing w:after="0"/>
              <w:rPr>
                <w:sz w:val="8"/>
                <w:szCs w:val="8"/>
                <w:color w:val="auto"/>
              </w:rPr>
            </w:pPr>
          </w:p>
        </w:tc>
        <w:tc>
          <w:tcPr>
            <w:tcW w:w="3780" w:type="dxa"/>
            <w:vAlign w:val="bottom"/>
            <w:tcBorders>
              <w:bottom w:val="single" w:sz="8" w:color="007DB6"/>
            </w:tcBorders>
            <w:vMerge w:val="continue"/>
            <w:shd w:val="clear" w:color="auto" w:fill="007DB6"/>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14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Jennifer M.</w:t>
            </w:r>
          </w:p>
        </w:tc>
        <w:tc>
          <w:tcPr>
            <w:tcW w:w="68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w w:val="96"/>
              </w:rPr>
              <w:t>60</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Former Chief Marketing Officer,</w:t>
            </w:r>
          </w:p>
        </w:tc>
        <w:tc>
          <w:tcPr>
            <w:tcW w:w="112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2021</w:t>
            </w:r>
          </w:p>
        </w:tc>
        <w:tc>
          <w:tcPr>
            <w:tcW w:w="112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w w:val="97"/>
              </w:rPr>
              <w:t>Yes</w:t>
            </w:r>
          </w:p>
        </w:tc>
        <w:tc>
          <w:tcPr>
            <w:tcW w:w="114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0</w:t>
            </w:r>
          </w:p>
        </w:tc>
        <w:tc>
          <w:tcPr>
            <w:tcW w:w="3780" w:type="dxa"/>
            <w:vAlign w:val="bottom"/>
          </w:tcPr>
          <w:p>
            <w:pPr>
              <w:jc w:val="center"/>
              <w:spacing w:after="0"/>
              <w:rPr>
                <w:sz w:val="20"/>
                <w:szCs w:val="20"/>
                <w:color w:val="auto"/>
              </w:rPr>
            </w:pPr>
            <w:r>
              <w:rPr>
                <w:rFonts w:ascii="Arial" w:cs="Arial" w:eastAsia="Arial" w:hAnsi="Arial"/>
                <w:sz w:val="13"/>
                <w:szCs w:val="13"/>
                <w:color w:val="474C55"/>
              </w:rPr>
              <w:t>Nominating and Corporate Governance</w:t>
            </w:r>
          </w:p>
        </w:tc>
        <w:tc>
          <w:tcPr>
            <w:tcW w:w="0" w:type="dxa"/>
            <w:vAlign w:val="bottom"/>
          </w:tcPr>
          <w:p>
            <w:pPr>
              <w:spacing w:after="0"/>
              <w:rPr>
                <w:sz w:val="1"/>
                <w:szCs w:val="1"/>
                <w:color w:val="auto"/>
              </w:rPr>
            </w:pPr>
          </w:p>
        </w:tc>
      </w:tr>
      <w:tr>
        <w:trPr>
          <w:trHeight w:val="100"/>
        </w:trPr>
        <w:tc>
          <w:tcPr>
            <w:tcW w:w="114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Bazante</w:t>
            </w:r>
          </w:p>
        </w:tc>
        <w:tc>
          <w:tcPr>
            <w:tcW w:w="680" w:type="dxa"/>
            <w:vAlign w:val="bottom"/>
            <w:tcBorders>
              <w:right w:val="single" w:sz="8" w:color="E5E6E6"/>
            </w:tcBorders>
            <w:vMerge w:val="continue"/>
          </w:tcPr>
          <w:p>
            <w:pPr>
              <w:spacing w:after="0"/>
              <w:rPr>
                <w:sz w:val="8"/>
                <w:szCs w:val="8"/>
                <w:color w:val="auto"/>
              </w:rPr>
            </w:pPr>
          </w:p>
        </w:tc>
        <w:tc>
          <w:tcPr>
            <w:tcW w:w="226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Humana</w:t>
            </w:r>
          </w:p>
        </w:tc>
        <w:tc>
          <w:tcPr>
            <w:tcW w:w="1120" w:type="dxa"/>
            <w:vAlign w:val="bottom"/>
            <w:tcBorders>
              <w:right w:val="single" w:sz="8" w:color="E5E6E6"/>
            </w:tcBorders>
            <w:vMerge w:val="continue"/>
          </w:tcPr>
          <w:p>
            <w:pPr>
              <w:spacing w:after="0"/>
              <w:rPr>
                <w:sz w:val="8"/>
                <w:szCs w:val="8"/>
                <w:color w:val="auto"/>
              </w:rPr>
            </w:pPr>
          </w:p>
        </w:tc>
        <w:tc>
          <w:tcPr>
            <w:tcW w:w="1120" w:type="dxa"/>
            <w:vAlign w:val="bottom"/>
            <w:tcBorders>
              <w:right w:val="single" w:sz="8" w:color="E5E6E6"/>
            </w:tcBorders>
            <w:vMerge w:val="continue"/>
          </w:tcPr>
          <w:p>
            <w:pPr>
              <w:spacing w:after="0"/>
              <w:rPr>
                <w:sz w:val="8"/>
                <w:szCs w:val="8"/>
                <w:color w:val="auto"/>
              </w:rPr>
            </w:pPr>
          </w:p>
        </w:tc>
        <w:tc>
          <w:tcPr>
            <w:tcW w:w="1140" w:type="dxa"/>
            <w:vAlign w:val="bottom"/>
            <w:tcBorders>
              <w:right w:val="single" w:sz="8" w:color="E5E6E6"/>
            </w:tcBorders>
            <w:vMerge w:val="continue"/>
          </w:tcPr>
          <w:p>
            <w:pPr>
              <w:spacing w:after="0"/>
              <w:rPr>
                <w:sz w:val="8"/>
                <w:szCs w:val="8"/>
                <w:color w:val="auto"/>
              </w:rPr>
            </w:pPr>
          </w:p>
        </w:tc>
        <w:tc>
          <w:tcPr>
            <w:tcW w:w="3780" w:type="dxa"/>
            <w:vAlign w:val="bottom"/>
            <w:vMerge w:val="restart"/>
          </w:tcPr>
          <w:p>
            <w:pPr>
              <w:jc w:val="center"/>
              <w:spacing w:after="0"/>
              <w:rPr>
                <w:sz w:val="20"/>
                <w:szCs w:val="20"/>
                <w:color w:val="auto"/>
              </w:rPr>
            </w:pPr>
            <w:r>
              <w:rPr>
                <w:rFonts w:ascii="Arial" w:cs="Arial" w:eastAsia="Arial" w:hAnsi="Arial"/>
                <w:sz w:val="13"/>
                <w:szCs w:val="13"/>
                <w:color w:val="474C55"/>
              </w:rPr>
              <w:t>Talent and Compensation</w:t>
            </w:r>
          </w:p>
        </w:tc>
        <w:tc>
          <w:tcPr>
            <w:tcW w:w="0" w:type="dxa"/>
            <w:vAlign w:val="bottom"/>
          </w:tcPr>
          <w:p>
            <w:pPr>
              <w:spacing w:after="0"/>
              <w:rPr>
                <w:sz w:val="1"/>
                <w:szCs w:val="1"/>
                <w:color w:val="auto"/>
              </w:rPr>
            </w:pPr>
          </w:p>
        </w:tc>
      </w:tr>
      <w:tr>
        <w:trPr>
          <w:trHeight w:val="121"/>
        </w:trPr>
        <w:tc>
          <w:tcPr>
            <w:tcW w:w="1140" w:type="dxa"/>
            <w:vAlign w:val="bottom"/>
            <w:tcBorders>
              <w:right w:val="single" w:sz="8" w:color="E5E6E6"/>
            </w:tcBorders>
            <w:vMerge w:val="continue"/>
          </w:tcPr>
          <w:p>
            <w:pPr>
              <w:spacing w:after="0"/>
              <w:rPr>
                <w:sz w:val="10"/>
                <w:szCs w:val="10"/>
                <w:color w:val="auto"/>
              </w:rPr>
            </w:pPr>
          </w:p>
        </w:tc>
        <w:tc>
          <w:tcPr>
            <w:tcW w:w="680" w:type="dxa"/>
            <w:vAlign w:val="bottom"/>
            <w:tcBorders>
              <w:right w:val="single" w:sz="8" w:color="E5E6E6"/>
            </w:tcBorders>
          </w:tcPr>
          <w:p>
            <w:pPr>
              <w:spacing w:after="0"/>
              <w:rPr>
                <w:sz w:val="10"/>
                <w:szCs w:val="10"/>
                <w:color w:val="auto"/>
              </w:rPr>
            </w:pPr>
          </w:p>
        </w:tc>
        <w:tc>
          <w:tcPr>
            <w:tcW w:w="2260" w:type="dxa"/>
            <w:vAlign w:val="bottom"/>
            <w:tcBorders>
              <w:right w:val="single" w:sz="8" w:color="E5E6E6"/>
            </w:tcBorders>
            <w:vMerge w:val="continue"/>
          </w:tcPr>
          <w:p>
            <w:pPr>
              <w:spacing w:after="0"/>
              <w:rPr>
                <w:sz w:val="10"/>
                <w:szCs w:val="10"/>
                <w:color w:val="auto"/>
              </w:rPr>
            </w:pPr>
          </w:p>
        </w:tc>
        <w:tc>
          <w:tcPr>
            <w:tcW w:w="1120" w:type="dxa"/>
            <w:vAlign w:val="bottom"/>
            <w:tcBorders>
              <w:right w:val="single" w:sz="8" w:color="E5E6E6"/>
            </w:tcBorders>
          </w:tcPr>
          <w:p>
            <w:pPr>
              <w:spacing w:after="0"/>
              <w:rPr>
                <w:sz w:val="10"/>
                <w:szCs w:val="10"/>
                <w:color w:val="auto"/>
              </w:rPr>
            </w:pPr>
          </w:p>
        </w:tc>
        <w:tc>
          <w:tcPr>
            <w:tcW w:w="1120" w:type="dxa"/>
            <w:vAlign w:val="bottom"/>
            <w:tcBorders>
              <w:right w:val="single" w:sz="8" w:color="E5E6E6"/>
            </w:tcBorders>
          </w:tcPr>
          <w:p>
            <w:pPr>
              <w:spacing w:after="0"/>
              <w:rPr>
                <w:sz w:val="10"/>
                <w:szCs w:val="10"/>
                <w:color w:val="auto"/>
              </w:rPr>
            </w:pPr>
          </w:p>
        </w:tc>
        <w:tc>
          <w:tcPr>
            <w:tcW w:w="1140" w:type="dxa"/>
            <w:vAlign w:val="bottom"/>
            <w:tcBorders>
              <w:right w:val="single" w:sz="8" w:color="E5E6E6"/>
            </w:tcBorders>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140" w:type="dxa"/>
            <w:vAlign w:val="bottom"/>
            <w:tcBorders>
              <w:right w:val="single" w:sz="8" w:color="E2E3E4"/>
            </w:tcBorders>
            <w:shd w:val="clear" w:color="auto" w:fill="E2E3E4"/>
          </w:tcPr>
          <w:p>
            <w:pPr>
              <w:spacing w:after="0"/>
              <w:rPr>
                <w:sz w:val="17"/>
                <w:szCs w:val="17"/>
                <w:color w:val="auto"/>
              </w:rPr>
            </w:pPr>
          </w:p>
        </w:tc>
        <w:tc>
          <w:tcPr>
            <w:tcW w:w="680" w:type="dxa"/>
            <w:vAlign w:val="bottom"/>
            <w:tcBorders>
              <w:right w:val="single" w:sz="8" w:color="E2E3E4"/>
            </w:tcBorders>
            <w:shd w:val="clear" w:color="auto" w:fill="E2E3E4"/>
          </w:tcPr>
          <w:p>
            <w:pPr>
              <w:spacing w:after="0"/>
              <w:rPr>
                <w:sz w:val="17"/>
                <w:szCs w:val="17"/>
                <w:color w:val="auto"/>
              </w:rPr>
            </w:pPr>
          </w:p>
        </w:tc>
        <w:tc>
          <w:tcPr>
            <w:tcW w:w="226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3"/>
                <w:szCs w:val="13"/>
                <w:color w:val="474C55"/>
              </w:rPr>
              <w:t>Former Executive Vice President</w:t>
            </w:r>
          </w:p>
        </w:tc>
        <w:tc>
          <w:tcPr>
            <w:tcW w:w="1120" w:type="dxa"/>
            <w:vAlign w:val="bottom"/>
            <w:tcBorders>
              <w:right w:val="single" w:sz="8" w:color="E2E3E4"/>
            </w:tcBorders>
            <w:shd w:val="clear" w:color="auto" w:fill="E2E3E4"/>
          </w:tcPr>
          <w:p>
            <w:pPr>
              <w:spacing w:after="0"/>
              <w:rPr>
                <w:sz w:val="17"/>
                <w:szCs w:val="17"/>
                <w:color w:val="auto"/>
              </w:rPr>
            </w:pPr>
          </w:p>
        </w:tc>
        <w:tc>
          <w:tcPr>
            <w:tcW w:w="1120" w:type="dxa"/>
            <w:vAlign w:val="bottom"/>
            <w:tcBorders>
              <w:right w:val="single" w:sz="8" w:color="E2E3E4"/>
            </w:tcBorders>
            <w:shd w:val="clear" w:color="auto" w:fill="E2E3E4"/>
          </w:tcPr>
          <w:p>
            <w:pPr>
              <w:spacing w:after="0"/>
              <w:rPr>
                <w:sz w:val="17"/>
                <w:szCs w:val="17"/>
                <w:color w:val="auto"/>
              </w:rPr>
            </w:pPr>
          </w:p>
        </w:tc>
        <w:tc>
          <w:tcPr>
            <w:tcW w:w="1140" w:type="dxa"/>
            <w:vAlign w:val="bottom"/>
            <w:tcBorders>
              <w:right w:val="single" w:sz="8" w:color="E2E3E4"/>
            </w:tcBorders>
            <w:shd w:val="clear" w:color="auto" w:fill="E2E3E4"/>
          </w:tcPr>
          <w:p>
            <w:pPr>
              <w:spacing w:after="0"/>
              <w:rPr>
                <w:sz w:val="17"/>
                <w:szCs w:val="17"/>
                <w:color w:val="auto"/>
              </w:rPr>
            </w:pPr>
          </w:p>
        </w:tc>
        <w:tc>
          <w:tcPr>
            <w:tcW w:w="3780" w:type="dxa"/>
            <w:vAlign w:val="bottom"/>
            <w:vMerge w:val="restart"/>
            <w:shd w:val="clear" w:color="auto" w:fill="E2E3E4"/>
          </w:tcPr>
          <w:p>
            <w:pPr>
              <w:jc w:val="center"/>
              <w:spacing w:after="0"/>
              <w:rPr>
                <w:sz w:val="20"/>
                <w:szCs w:val="20"/>
                <w:color w:val="auto"/>
              </w:rPr>
            </w:pPr>
            <w:r>
              <w:rPr>
                <w:rFonts w:ascii="Arial" w:cs="Arial" w:eastAsia="Arial" w:hAnsi="Arial"/>
                <w:sz w:val="13"/>
                <w:szCs w:val="13"/>
                <w:color w:val="474C55"/>
              </w:rPr>
              <w:t>Audit</w:t>
            </w:r>
          </w:p>
        </w:tc>
        <w:tc>
          <w:tcPr>
            <w:tcW w:w="0" w:type="dxa"/>
            <w:vAlign w:val="bottom"/>
          </w:tcPr>
          <w:p>
            <w:pPr>
              <w:spacing w:after="0"/>
              <w:rPr>
                <w:sz w:val="1"/>
                <w:szCs w:val="1"/>
                <w:color w:val="auto"/>
              </w:rPr>
            </w:pPr>
          </w:p>
        </w:tc>
      </w:tr>
      <w:tr>
        <w:trPr>
          <w:trHeight w:val="75"/>
        </w:trPr>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George B. Bell</w:t>
            </w:r>
          </w:p>
        </w:tc>
        <w:tc>
          <w:tcPr>
            <w:tcW w:w="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6"/>
              </w:rPr>
              <w:t>64</w:t>
            </w:r>
          </w:p>
        </w:tc>
        <w:tc>
          <w:tcPr>
            <w:tcW w:w="226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and Software Engineer Group Head</w:t>
            </w: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2022</w:t>
            </w: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7"/>
              </w:rPr>
              <w:t>Yes</w:t>
            </w:r>
          </w:p>
        </w:tc>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0</w:t>
            </w:r>
          </w:p>
        </w:tc>
        <w:tc>
          <w:tcPr>
            <w:tcW w:w="3780" w:type="dxa"/>
            <w:vAlign w:val="bottom"/>
            <w:vMerge w:val="continue"/>
            <w:shd w:val="clear" w:color="auto" w:fill="E2E3E4"/>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140" w:type="dxa"/>
            <w:vAlign w:val="bottom"/>
            <w:tcBorders>
              <w:right w:val="single" w:sz="8" w:color="E2E3E4"/>
            </w:tcBorders>
            <w:vMerge w:val="continue"/>
            <w:shd w:val="clear" w:color="auto" w:fill="E2E3E4"/>
          </w:tcPr>
          <w:p>
            <w:pPr>
              <w:spacing w:after="0"/>
              <w:rPr>
                <w:sz w:val="6"/>
                <w:szCs w:val="6"/>
                <w:color w:val="auto"/>
              </w:rPr>
            </w:pPr>
          </w:p>
        </w:tc>
        <w:tc>
          <w:tcPr>
            <w:tcW w:w="680" w:type="dxa"/>
            <w:vAlign w:val="bottom"/>
            <w:tcBorders>
              <w:right w:val="single" w:sz="8" w:color="E2E3E4"/>
            </w:tcBorders>
            <w:vMerge w:val="continue"/>
            <w:shd w:val="clear" w:color="auto" w:fill="E2E3E4"/>
          </w:tcPr>
          <w:p>
            <w:pPr>
              <w:spacing w:after="0"/>
              <w:rPr>
                <w:sz w:val="6"/>
                <w:szCs w:val="6"/>
                <w:color w:val="auto"/>
              </w:rPr>
            </w:pPr>
          </w:p>
        </w:tc>
        <w:tc>
          <w:tcPr>
            <w:tcW w:w="2260" w:type="dxa"/>
            <w:vAlign w:val="bottom"/>
            <w:tcBorders>
              <w:right w:val="single" w:sz="8" w:color="E2E3E4"/>
            </w:tcBorders>
            <w:vMerge w:val="continue"/>
            <w:shd w:val="clear" w:color="auto" w:fill="E2E3E4"/>
          </w:tcPr>
          <w:p>
            <w:pPr>
              <w:spacing w:after="0"/>
              <w:rPr>
                <w:sz w:val="6"/>
                <w:szCs w:val="6"/>
                <w:color w:val="auto"/>
              </w:rPr>
            </w:pPr>
          </w:p>
        </w:tc>
        <w:tc>
          <w:tcPr>
            <w:tcW w:w="1120" w:type="dxa"/>
            <w:vAlign w:val="bottom"/>
            <w:tcBorders>
              <w:right w:val="single" w:sz="8" w:color="E2E3E4"/>
            </w:tcBorders>
            <w:vMerge w:val="continue"/>
            <w:shd w:val="clear" w:color="auto" w:fill="E2E3E4"/>
          </w:tcPr>
          <w:p>
            <w:pPr>
              <w:spacing w:after="0"/>
              <w:rPr>
                <w:sz w:val="6"/>
                <w:szCs w:val="6"/>
                <w:color w:val="auto"/>
              </w:rPr>
            </w:pPr>
          </w:p>
        </w:tc>
        <w:tc>
          <w:tcPr>
            <w:tcW w:w="1120" w:type="dxa"/>
            <w:vAlign w:val="bottom"/>
            <w:tcBorders>
              <w:right w:val="single" w:sz="8" w:color="E2E3E4"/>
            </w:tcBorders>
            <w:vMerge w:val="continue"/>
            <w:shd w:val="clear" w:color="auto" w:fill="E2E3E4"/>
          </w:tcPr>
          <w:p>
            <w:pPr>
              <w:spacing w:after="0"/>
              <w:rPr>
                <w:sz w:val="6"/>
                <w:szCs w:val="6"/>
                <w:color w:val="auto"/>
              </w:rPr>
            </w:pPr>
          </w:p>
        </w:tc>
        <w:tc>
          <w:tcPr>
            <w:tcW w:w="1140" w:type="dxa"/>
            <w:vAlign w:val="bottom"/>
            <w:tcBorders>
              <w:right w:val="single" w:sz="8" w:color="E2E3E4"/>
            </w:tcBorders>
            <w:vMerge w:val="continue"/>
            <w:shd w:val="clear" w:color="auto" w:fill="E2E3E4"/>
          </w:tcPr>
          <w:p>
            <w:pPr>
              <w:spacing w:after="0"/>
              <w:rPr>
                <w:sz w:val="6"/>
                <w:szCs w:val="6"/>
                <w:color w:val="auto"/>
              </w:rPr>
            </w:pPr>
          </w:p>
        </w:tc>
        <w:tc>
          <w:tcPr>
            <w:tcW w:w="3780" w:type="dxa"/>
            <w:vAlign w:val="bottom"/>
            <w:vMerge w:val="restart"/>
            <w:shd w:val="clear" w:color="auto" w:fill="E2E3E4"/>
          </w:tcPr>
          <w:p>
            <w:pPr>
              <w:jc w:val="center"/>
              <w:spacing w:after="0"/>
              <w:rPr>
                <w:sz w:val="20"/>
                <w:szCs w:val="20"/>
                <w:color w:val="auto"/>
              </w:rPr>
            </w:pPr>
            <w:r>
              <w:rPr>
                <w:rFonts w:ascii="Arial" w:cs="Arial" w:eastAsia="Arial" w:hAnsi="Arial"/>
                <w:sz w:val="13"/>
                <w:szCs w:val="13"/>
                <w:color w:val="474C55"/>
              </w:rPr>
              <w:t>Risk</w:t>
            </w:r>
          </w:p>
        </w:tc>
        <w:tc>
          <w:tcPr>
            <w:tcW w:w="0" w:type="dxa"/>
            <w:vAlign w:val="bottom"/>
          </w:tcPr>
          <w:p>
            <w:pPr>
              <w:spacing w:after="0"/>
              <w:rPr>
                <w:sz w:val="1"/>
                <w:szCs w:val="1"/>
                <w:color w:val="auto"/>
              </w:rPr>
            </w:pPr>
          </w:p>
        </w:tc>
      </w:tr>
      <w:tr>
        <w:trPr>
          <w:trHeight w:val="100"/>
        </w:trPr>
        <w:tc>
          <w:tcPr>
            <w:tcW w:w="1140" w:type="dxa"/>
            <w:vAlign w:val="bottom"/>
            <w:tcBorders>
              <w:right w:val="single" w:sz="8" w:color="E2E3E4"/>
            </w:tcBorders>
            <w:shd w:val="clear" w:color="auto" w:fill="E2E3E4"/>
          </w:tcPr>
          <w:p>
            <w:pPr>
              <w:spacing w:after="0"/>
              <w:rPr>
                <w:sz w:val="8"/>
                <w:szCs w:val="8"/>
                <w:color w:val="auto"/>
              </w:rPr>
            </w:pPr>
          </w:p>
        </w:tc>
        <w:tc>
          <w:tcPr>
            <w:tcW w:w="680" w:type="dxa"/>
            <w:vAlign w:val="bottom"/>
            <w:tcBorders>
              <w:right w:val="single" w:sz="8" w:color="E2E3E4"/>
            </w:tcBorders>
            <w:shd w:val="clear" w:color="auto" w:fill="E2E3E4"/>
          </w:tcPr>
          <w:p>
            <w:pPr>
              <w:spacing w:after="0"/>
              <w:rPr>
                <w:sz w:val="8"/>
                <w:szCs w:val="8"/>
                <w:color w:val="auto"/>
              </w:rPr>
            </w:pPr>
          </w:p>
        </w:tc>
        <w:tc>
          <w:tcPr>
            <w:tcW w:w="226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II, Truist Financial Corporation</w:t>
            </w:r>
          </w:p>
        </w:tc>
        <w:tc>
          <w:tcPr>
            <w:tcW w:w="1120" w:type="dxa"/>
            <w:vAlign w:val="bottom"/>
            <w:tcBorders>
              <w:right w:val="single" w:sz="8" w:color="E2E3E4"/>
            </w:tcBorders>
            <w:shd w:val="clear" w:color="auto" w:fill="E2E3E4"/>
          </w:tcPr>
          <w:p>
            <w:pPr>
              <w:spacing w:after="0"/>
              <w:rPr>
                <w:sz w:val="8"/>
                <w:szCs w:val="8"/>
                <w:color w:val="auto"/>
              </w:rPr>
            </w:pPr>
          </w:p>
        </w:tc>
        <w:tc>
          <w:tcPr>
            <w:tcW w:w="1120" w:type="dxa"/>
            <w:vAlign w:val="bottom"/>
            <w:tcBorders>
              <w:right w:val="single" w:sz="8" w:color="E2E3E4"/>
            </w:tcBorders>
            <w:shd w:val="clear" w:color="auto" w:fill="E2E3E4"/>
          </w:tcPr>
          <w:p>
            <w:pPr>
              <w:spacing w:after="0"/>
              <w:rPr>
                <w:sz w:val="8"/>
                <w:szCs w:val="8"/>
                <w:color w:val="auto"/>
              </w:rPr>
            </w:pPr>
          </w:p>
        </w:tc>
        <w:tc>
          <w:tcPr>
            <w:tcW w:w="1140" w:type="dxa"/>
            <w:vAlign w:val="bottom"/>
            <w:tcBorders>
              <w:right w:val="single" w:sz="8" w:color="E2E3E4"/>
            </w:tcBorders>
            <w:shd w:val="clear" w:color="auto" w:fill="E2E3E4"/>
          </w:tcPr>
          <w:p>
            <w:pPr>
              <w:spacing w:after="0"/>
              <w:rPr>
                <w:sz w:val="8"/>
                <w:szCs w:val="8"/>
                <w:color w:val="auto"/>
              </w:rPr>
            </w:pPr>
          </w:p>
        </w:tc>
        <w:tc>
          <w:tcPr>
            <w:tcW w:w="3780" w:type="dxa"/>
            <w:vAlign w:val="bottom"/>
            <w:vMerge w:val="continue"/>
            <w:shd w:val="clear" w:color="auto" w:fill="E2E3E4"/>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E2E3E4"/>
              <w:right w:val="single" w:sz="8" w:color="E2E3E4"/>
            </w:tcBorders>
            <w:shd w:val="clear" w:color="auto" w:fill="E2E3E4"/>
          </w:tcPr>
          <w:p>
            <w:pPr>
              <w:spacing w:after="0"/>
              <w:rPr>
                <w:sz w:val="8"/>
                <w:szCs w:val="8"/>
                <w:color w:val="auto"/>
              </w:rPr>
            </w:pPr>
          </w:p>
        </w:tc>
        <w:tc>
          <w:tcPr>
            <w:tcW w:w="680" w:type="dxa"/>
            <w:vAlign w:val="bottom"/>
            <w:tcBorders>
              <w:bottom w:val="single" w:sz="8" w:color="E2E3E4"/>
              <w:right w:val="single" w:sz="8" w:color="E2E3E4"/>
            </w:tcBorders>
            <w:shd w:val="clear" w:color="auto" w:fill="E2E3E4"/>
          </w:tcPr>
          <w:p>
            <w:pPr>
              <w:spacing w:after="0"/>
              <w:rPr>
                <w:sz w:val="8"/>
                <w:szCs w:val="8"/>
                <w:color w:val="auto"/>
              </w:rPr>
            </w:pPr>
          </w:p>
        </w:tc>
        <w:tc>
          <w:tcPr>
            <w:tcW w:w="2260" w:type="dxa"/>
            <w:vAlign w:val="bottom"/>
            <w:tcBorders>
              <w:bottom w:val="single" w:sz="8" w:color="E2E3E4"/>
              <w:right w:val="single" w:sz="8" w:color="E2E3E4"/>
            </w:tcBorders>
            <w:vMerge w:val="continue"/>
            <w:shd w:val="clear" w:color="auto" w:fill="E2E3E4"/>
          </w:tcPr>
          <w:p>
            <w:pPr>
              <w:spacing w:after="0"/>
              <w:rPr>
                <w:sz w:val="8"/>
                <w:szCs w:val="8"/>
                <w:color w:val="auto"/>
              </w:rPr>
            </w:pPr>
          </w:p>
        </w:tc>
        <w:tc>
          <w:tcPr>
            <w:tcW w:w="1120" w:type="dxa"/>
            <w:vAlign w:val="bottom"/>
            <w:tcBorders>
              <w:bottom w:val="single" w:sz="8" w:color="E2E3E4"/>
              <w:right w:val="single" w:sz="8" w:color="E2E3E4"/>
            </w:tcBorders>
            <w:shd w:val="clear" w:color="auto" w:fill="E2E3E4"/>
          </w:tcPr>
          <w:p>
            <w:pPr>
              <w:spacing w:after="0"/>
              <w:rPr>
                <w:sz w:val="8"/>
                <w:szCs w:val="8"/>
                <w:color w:val="auto"/>
              </w:rPr>
            </w:pPr>
          </w:p>
        </w:tc>
        <w:tc>
          <w:tcPr>
            <w:tcW w:w="1120" w:type="dxa"/>
            <w:vAlign w:val="bottom"/>
            <w:tcBorders>
              <w:bottom w:val="single" w:sz="8" w:color="E2E3E4"/>
              <w:right w:val="single" w:sz="8" w:color="E2E3E4"/>
            </w:tcBorders>
            <w:shd w:val="clear" w:color="auto" w:fill="E2E3E4"/>
          </w:tcPr>
          <w:p>
            <w:pPr>
              <w:spacing w:after="0"/>
              <w:rPr>
                <w:sz w:val="8"/>
                <w:szCs w:val="8"/>
                <w:color w:val="auto"/>
              </w:rPr>
            </w:pPr>
          </w:p>
        </w:tc>
        <w:tc>
          <w:tcPr>
            <w:tcW w:w="1140" w:type="dxa"/>
            <w:vAlign w:val="bottom"/>
            <w:tcBorders>
              <w:bottom w:val="single" w:sz="8" w:color="E2E3E4"/>
              <w:right w:val="single" w:sz="8" w:color="E2E3E4"/>
            </w:tcBorders>
            <w:shd w:val="clear" w:color="auto" w:fill="E2E3E4"/>
          </w:tcPr>
          <w:p>
            <w:pPr>
              <w:spacing w:after="0"/>
              <w:rPr>
                <w:sz w:val="8"/>
                <w:szCs w:val="8"/>
                <w:color w:val="auto"/>
              </w:rPr>
            </w:pPr>
          </w:p>
        </w:tc>
        <w:tc>
          <w:tcPr>
            <w:tcW w:w="3780" w:type="dxa"/>
            <w:vAlign w:val="bottom"/>
            <w:tcBorders>
              <w:bottom w:val="single" w:sz="8" w:color="E2E3E4"/>
            </w:tcBorders>
            <w:shd w:val="clear" w:color="auto" w:fill="E2E3E4"/>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14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w w:val="99"/>
              </w:rPr>
              <w:t>James P.</w:t>
            </w:r>
          </w:p>
        </w:tc>
        <w:tc>
          <w:tcPr>
            <w:tcW w:w="68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w w:val="96"/>
              </w:rPr>
              <w:t>61</w:t>
            </w:r>
          </w:p>
        </w:tc>
        <w:tc>
          <w:tcPr>
            <w:tcW w:w="226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President, Clemson University</w:t>
            </w:r>
          </w:p>
        </w:tc>
        <w:tc>
          <w:tcPr>
            <w:tcW w:w="112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2020</w:t>
            </w:r>
          </w:p>
        </w:tc>
        <w:tc>
          <w:tcPr>
            <w:tcW w:w="112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w w:val="97"/>
              </w:rPr>
              <w:t>Yes</w:t>
            </w:r>
          </w:p>
        </w:tc>
        <w:tc>
          <w:tcPr>
            <w:tcW w:w="114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1</w:t>
            </w:r>
          </w:p>
        </w:tc>
        <w:tc>
          <w:tcPr>
            <w:tcW w:w="3780" w:type="dxa"/>
            <w:vAlign w:val="bottom"/>
          </w:tcPr>
          <w:p>
            <w:pPr>
              <w:jc w:val="center"/>
              <w:spacing w:after="0"/>
              <w:rPr>
                <w:sz w:val="20"/>
                <w:szCs w:val="20"/>
                <w:color w:val="auto"/>
              </w:rPr>
            </w:pPr>
            <w:r>
              <w:rPr>
                <w:rFonts w:ascii="Arial" w:cs="Arial" w:eastAsia="Arial" w:hAnsi="Arial"/>
                <w:sz w:val="13"/>
                <w:szCs w:val="13"/>
                <w:color w:val="474C55"/>
              </w:rPr>
              <w:t>Nominating and Corporate Governance</w:t>
            </w:r>
          </w:p>
        </w:tc>
        <w:tc>
          <w:tcPr>
            <w:tcW w:w="0" w:type="dxa"/>
            <w:vAlign w:val="bottom"/>
          </w:tcPr>
          <w:p>
            <w:pPr>
              <w:spacing w:after="0"/>
              <w:rPr>
                <w:sz w:val="1"/>
                <w:szCs w:val="1"/>
                <w:color w:val="auto"/>
              </w:rPr>
            </w:pPr>
          </w:p>
        </w:tc>
      </w:tr>
      <w:tr>
        <w:trPr>
          <w:trHeight w:val="100"/>
        </w:trPr>
        <w:tc>
          <w:tcPr>
            <w:tcW w:w="114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Clements</w:t>
            </w:r>
          </w:p>
        </w:tc>
        <w:tc>
          <w:tcPr>
            <w:tcW w:w="680" w:type="dxa"/>
            <w:vAlign w:val="bottom"/>
            <w:tcBorders>
              <w:right w:val="single" w:sz="8" w:color="E5E6E6"/>
            </w:tcBorders>
            <w:vMerge w:val="continue"/>
          </w:tcPr>
          <w:p>
            <w:pPr>
              <w:spacing w:after="0"/>
              <w:rPr>
                <w:sz w:val="8"/>
                <w:szCs w:val="8"/>
                <w:color w:val="auto"/>
              </w:rPr>
            </w:pPr>
          </w:p>
        </w:tc>
        <w:tc>
          <w:tcPr>
            <w:tcW w:w="2260" w:type="dxa"/>
            <w:vAlign w:val="bottom"/>
            <w:tcBorders>
              <w:right w:val="single" w:sz="8" w:color="E5E6E6"/>
            </w:tcBorders>
            <w:vMerge w:val="continue"/>
          </w:tcPr>
          <w:p>
            <w:pPr>
              <w:spacing w:after="0"/>
              <w:rPr>
                <w:sz w:val="8"/>
                <w:szCs w:val="8"/>
                <w:color w:val="auto"/>
              </w:rPr>
            </w:pPr>
          </w:p>
        </w:tc>
        <w:tc>
          <w:tcPr>
            <w:tcW w:w="1120" w:type="dxa"/>
            <w:vAlign w:val="bottom"/>
            <w:tcBorders>
              <w:right w:val="single" w:sz="8" w:color="E5E6E6"/>
            </w:tcBorders>
            <w:vMerge w:val="continue"/>
          </w:tcPr>
          <w:p>
            <w:pPr>
              <w:spacing w:after="0"/>
              <w:rPr>
                <w:sz w:val="8"/>
                <w:szCs w:val="8"/>
                <w:color w:val="auto"/>
              </w:rPr>
            </w:pPr>
          </w:p>
        </w:tc>
        <w:tc>
          <w:tcPr>
            <w:tcW w:w="1120" w:type="dxa"/>
            <w:vAlign w:val="bottom"/>
            <w:tcBorders>
              <w:right w:val="single" w:sz="8" w:color="E5E6E6"/>
            </w:tcBorders>
            <w:vMerge w:val="continue"/>
          </w:tcPr>
          <w:p>
            <w:pPr>
              <w:spacing w:after="0"/>
              <w:rPr>
                <w:sz w:val="8"/>
                <w:szCs w:val="8"/>
                <w:color w:val="auto"/>
              </w:rPr>
            </w:pPr>
          </w:p>
        </w:tc>
        <w:tc>
          <w:tcPr>
            <w:tcW w:w="1140" w:type="dxa"/>
            <w:vAlign w:val="bottom"/>
            <w:tcBorders>
              <w:right w:val="single" w:sz="8" w:color="E5E6E6"/>
            </w:tcBorders>
            <w:vMerge w:val="continue"/>
          </w:tcPr>
          <w:p>
            <w:pPr>
              <w:spacing w:after="0"/>
              <w:rPr>
                <w:sz w:val="8"/>
                <w:szCs w:val="8"/>
                <w:color w:val="auto"/>
              </w:rPr>
            </w:pPr>
          </w:p>
        </w:tc>
        <w:tc>
          <w:tcPr>
            <w:tcW w:w="3780" w:type="dxa"/>
            <w:vAlign w:val="bottom"/>
            <w:vMerge w:val="restart"/>
          </w:tcPr>
          <w:p>
            <w:pPr>
              <w:jc w:val="center"/>
              <w:spacing w:after="0"/>
              <w:rPr>
                <w:sz w:val="20"/>
                <w:szCs w:val="20"/>
                <w:color w:val="auto"/>
              </w:rPr>
            </w:pPr>
            <w:r>
              <w:rPr>
                <w:rFonts w:ascii="Arial" w:cs="Arial" w:eastAsia="Arial" w:hAnsi="Arial"/>
                <w:sz w:val="13"/>
                <w:szCs w:val="13"/>
                <w:color w:val="474C55"/>
              </w:rPr>
              <w:t>Talent and Compensation</w:t>
            </w:r>
          </w:p>
        </w:tc>
        <w:tc>
          <w:tcPr>
            <w:tcW w:w="0" w:type="dxa"/>
            <w:vAlign w:val="bottom"/>
          </w:tcPr>
          <w:p>
            <w:pPr>
              <w:spacing w:after="0"/>
              <w:rPr>
                <w:sz w:val="1"/>
                <w:szCs w:val="1"/>
                <w:color w:val="auto"/>
              </w:rPr>
            </w:pPr>
          </w:p>
        </w:tc>
      </w:tr>
      <w:tr>
        <w:trPr>
          <w:trHeight w:val="121"/>
        </w:trPr>
        <w:tc>
          <w:tcPr>
            <w:tcW w:w="1140" w:type="dxa"/>
            <w:vAlign w:val="bottom"/>
            <w:tcBorders>
              <w:right w:val="single" w:sz="8" w:color="E5E6E6"/>
            </w:tcBorders>
            <w:vMerge w:val="continue"/>
          </w:tcPr>
          <w:p>
            <w:pPr>
              <w:spacing w:after="0"/>
              <w:rPr>
                <w:sz w:val="10"/>
                <w:szCs w:val="10"/>
                <w:color w:val="auto"/>
              </w:rPr>
            </w:pPr>
          </w:p>
        </w:tc>
        <w:tc>
          <w:tcPr>
            <w:tcW w:w="680" w:type="dxa"/>
            <w:vAlign w:val="bottom"/>
            <w:tcBorders>
              <w:right w:val="single" w:sz="8" w:color="E5E6E6"/>
            </w:tcBorders>
          </w:tcPr>
          <w:p>
            <w:pPr>
              <w:spacing w:after="0"/>
              <w:rPr>
                <w:sz w:val="10"/>
                <w:szCs w:val="10"/>
                <w:color w:val="auto"/>
              </w:rPr>
            </w:pPr>
          </w:p>
        </w:tc>
        <w:tc>
          <w:tcPr>
            <w:tcW w:w="2260" w:type="dxa"/>
            <w:vAlign w:val="bottom"/>
            <w:tcBorders>
              <w:right w:val="single" w:sz="8" w:color="E5E6E6"/>
            </w:tcBorders>
          </w:tcPr>
          <w:p>
            <w:pPr>
              <w:spacing w:after="0"/>
              <w:rPr>
                <w:sz w:val="10"/>
                <w:szCs w:val="10"/>
                <w:color w:val="auto"/>
              </w:rPr>
            </w:pPr>
          </w:p>
        </w:tc>
        <w:tc>
          <w:tcPr>
            <w:tcW w:w="1120" w:type="dxa"/>
            <w:vAlign w:val="bottom"/>
            <w:tcBorders>
              <w:right w:val="single" w:sz="8" w:color="E5E6E6"/>
            </w:tcBorders>
          </w:tcPr>
          <w:p>
            <w:pPr>
              <w:spacing w:after="0"/>
              <w:rPr>
                <w:sz w:val="10"/>
                <w:szCs w:val="10"/>
                <w:color w:val="auto"/>
              </w:rPr>
            </w:pPr>
          </w:p>
        </w:tc>
        <w:tc>
          <w:tcPr>
            <w:tcW w:w="1120" w:type="dxa"/>
            <w:vAlign w:val="bottom"/>
            <w:tcBorders>
              <w:right w:val="single" w:sz="8" w:color="E5E6E6"/>
            </w:tcBorders>
          </w:tcPr>
          <w:p>
            <w:pPr>
              <w:spacing w:after="0"/>
              <w:rPr>
                <w:sz w:val="10"/>
                <w:szCs w:val="10"/>
                <w:color w:val="auto"/>
              </w:rPr>
            </w:pPr>
          </w:p>
        </w:tc>
        <w:tc>
          <w:tcPr>
            <w:tcW w:w="1140" w:type="dxa"/>
            <w:vAlign w:val="bottom"/>
            <w:tcBorders>
              <w:right w:val="single" w:sz="8" w:color="E5E6E6"/>
            </w:tcBorders>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Kenneth L.</w:t>
            </w:r>
          </w:p>
        </w:tc>
        <w:tc>
          <w:tcPr>
            <w:tcW w:w="680" w:type="dxa"/>
            <w:vAlign w:val="bottom"/>
            <w:tcBorders>
              <w:right w:val="single" w:sz="8" w:color="E2E3E4"/>
            </w:tcBorders>
            <w:shd w:val="clear" w:color="auto" w:fill="E2E3E4"/>
          </w:tcPr>
          <w:p>
            <w:pPr>
              <w:spacing w:after="0"/>
              <w:rPr>
                <w:sz w:val="17"/>
                <w:szCs w:val="17"/>
                <w:color w:val="auto"/>
              </w:rPr>
            </w:pPr>
          </w:p>
        </w:tc>
        <w:tc>
          <w:tcPr>
            <w:tcW w:w="226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Former Chief Credit Risk and Policy</w:t>
            </w:r>
          </w:p>
        </w:tc>
        <w:tc>
          <w:tcPr>
            <w:tcW w:w="1120" w:type="dxa"/>
            <w:vAlign w:val="bottom"/>
            <w:tcBorders>
              <w:right w:val="single" w:sz="8" w:color="E2E3E4"/>
            </w:tcBorders>
            <w:shd w:val="clear" w:color="auto" w:fill="E2E3E4"/>
          </w:tcPr>
          <w:p>
            <w:pPr>
              <w:spacing w:after="0"/>
              <w:rPr>
                <w:sz w:val="17"/>
                <w:szCs w:val="17"/>
                <w:color w:val="auto"/>
              </w:rPr>
            </w:pPr>
          </w:p>
        </w:tc>
        <w:tc>
          <w:tcPr>
            <w:tcW w:w="1120" w:type="dxa"/>
            <w:vAlign w:val="bottom"/>
            <w:tcBorders>
              <w:right w:val="single" w:sz="8" w:color="E2E3E4"/>
            </w:tcBorders>
            <w:shd w:val="clear" w:color="auto" w:fill="E2E3E4"/>
          </w:tcPr>
          <w:p>
            <w:pPr>
              <w:spacing w:after="0"/>
              <w:rPr>
                <w:sz w:val="17"/>
                <w:szCs w:val="17"/>
                <w:color w:val="auto"/>
              </w:rPr>
            </w:pPr>
          </w:p>
        </w:tc>
        <w:tc>
          <w:tcPr>
            <w:tcW w:w="1140" w:type="dxa"/>
            <w:vAlign w:val="bottom"/>
            <w:tcBorders>
              <w:right w:val="single" w:sz="8" w:color="E2E3E4"/>
            </w:tcBorders>
            <w:shd w:val="clear" w:color="auto" w:fill="E2E3E4"/>
          </w:tcPr>
          <w:p>
            <w:pPr>
              <w:spacing w:after="0"/>
              <w:rPr>
                <w:sz w:val="17"/>
                <w:szCs w:val="17"/>
                <w:color w:val="auto"/>
              </w:rPr>
            </w:pPr>
          </w:p>
        </w:tc>
        <w:tc>
          <w:tcPr>
            <w:tcW w:w="3780" w:type="dxa"/>
            <w:vAlign w:val="bottom"/>
            <w:shd w:val="clear" w:color="auto" w:fill="E2E3E4"/>
          </w:tcPr>
          <w:p>
            <w:pPr>
              <w:jc w:val="center"/>
              <w:spacing w:after="0"/>
              <w:rPr>
                <w:sz w:val="20"/>
                <w:szCs w:val="20"/>
                <w:color w:val="auto"/>
              </w:rPr>
            </w:pPr>
            <w:r>
              <w:rPr>
                <w:rFonts w:ascii="Arial" w:cs="Arial" w:eastAsia="Arial" w:hAnsi="Arial"/>
                <w:sz w:val="13"/>
                <w:szCs w:val="13"/>
                <w:color w:val="474C55"/>
              </w:rPr>
              <w:t>Audit</w:t>
            </w:r>
          </w:p>
        </w:tc>
        <w:tc>
          <w:tcPr>
            <w:tcW w:w="0" w:type="dxa"/>
            <w:vAlign w:val="bottom"/>
          </w:tcPr>
          <w:p>
            <w:pPr>
              <w:spacing w:after="0"/>
              <w:rPr>
                <w:sz w:val="1"/>
                <w:szCs w:val="1"/>
                <w:color w:val="auto"/>
              </w:rPr>
            </w:pPr>
          </w:p>
        </w:tc>
      </w:tr>
      <w:tr>
        <w:trPr>
          <w:trHeight w:val="75"/>
        </w:trPr>
        <w:tc>
          <w:tcPr>
            <w:tcW w:w="1140" w:type="dxa"/>
            <w:vAlign w:val="bottom"/>
            <w:tcBorders>
              <w:right w:val="single" w:sz="8" w:color="E2E3E4"/>
            </w:tcBorders>
            <w:vMerge w:val="continue"/>
            <w:shd w:val="clear" w:color="auto" w:fill="E2E3E4"/>
          </w:tcPr>
          <w:p>
            <w:pPr>
              <w:spacing w:after="0"/>
              <w:rPr>
                <w:sz w:val="6"/>
                <w:szCs w:val="6"/>
                <w:color w:val="auto"/>
              </w:rPr>
            </w:pPr>
          </w:p>
        </w:tc>
        <w:tc>
          <w:tcPr>
            <w:tcW w:w="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6"/>
              </w:rPr>
              <w:t>73</w:t>
            </w:r>
          </w:p>
        </w:tc>
        <w:tc>
          <w:tcPr>
            <w:tcW w:w="2260" w:type="dxa"/>
            <w:vAlign w:val="bottom"/>
            <w:tcBorders>
              <w:right w:val="single" w:sz="8" w:color="E2E3E4"/>
            </w:tcBorders>
            <w:vMerge w:val="continue"/>
            <w:shd w:val="clear" w:color="auto" w:fill="E2E3E4"/>
          </w:tcPr>
          <w:p>
            <w:pPr>
              <w:spacing w:after="0"/>
              <w:rPr>
                <w:sz w:val="6"/>
                <w:szCs w:val="6"/>
                <w:color w:val="auto"/>
              </w:rPr>
            </w:pP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2015</w:t>
            </w: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7"/>
              </w:rPr>
              <w:t>Yes</w:t>
            </w:r>
          </w:p>
        </w:tc>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0</w:t>
            </w:r>
          </w:p>
        </w:tc>
        <w:tc>
          <w:tcPr>
            <w:tcW w:w="3780" w:type="dxa"/>
            <w:vAlign w:val="bottom"/>
            <w:vMerge w:val="restart"/>
            <w:shd w:val="clear" w:color="auto" w:fill="E2E3E4"/>
          </w:tcPr>
          <w:p>
            <w:pPr>
              <w:jc w:val="center"/>
              <w:spacing w:after="0"/>
              <w:rPr>
                <w:sz w:val="20"/>
                <w:szCs w:val="20"/>
                <w:color w:val="auto"/>
              </w:rPr>
            </w:pPr>
            <w:r>
              <w:rPr>
                <w:rFonts w:ascii="Arial" w:cs="Arial" w:eastAsia="Arial" w:hAnsi="Arial"/>
                <w:sz w:val="13"/>
                <w:szCs w:val="13"/>
                <w:color w:val="474C55"/>
              </w:rPr>
              <w:t>Executive</w:t>
            </w:r>
          </w:p>
        </w:tc>
        <w:tc>
          <w:tcPr>
            <w:tcW w:w="0" w:type="dxa"/>
            <w:vAlign w:val="bottom"/>
          </w:tcPr>
          <w:p>
            <w:pPr>
              <w:spacing w:after="0"/>
              <w:rPr>
                <w:sz w:val="1"/>
                <w:szCs w:val="1"/>
                <w:color w:val="auto"/>
              </w:rPr>
            </w:pPr>
          </w:p>
        </w:tc>
      </w:tr>
      <w:tr>
        <w:trPr>
          <w:trHeight w:val="75"/>
        </w:trPr>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Daniels</w:t>
            </w:r>
          </w:p>
        </w:tc>
        <w:tc>
          <w:tcPr>
            <w:tcW w:w="680" w:type="dxa"/>
            <w:vAlign w:val="bottom"/>
            <w:tcBorders>
              <w:right w:val="single" w:sz="8" w:color="E2E3E4"/>
            </w:tcBorders>
            <w:vMerge w:val="continue"/>
            <w:shd w:val="clear" w:color="auto" w:fill="E2E3E4"/>
          </w:tcPr>
          <w:p>
            <w:pPr>
              <w:spacing w:after="0"/>
              <w:rPr>
                <w:sz w:val="6"/>
                <w:szCs w:val="6"/>
                <w:color w:val="auto"/>
              </w:rPr>
            </w:pPr>
          </w:p>
        </w:tc>
        <w:tc>
          <w:tcPr>
            <w:tcW w:w="226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Officer, Sr. Risk Advisor, BB&amp;T</w:t>
            </w:r>
          </w:p>
        </w:tc>
        <w:tc>
          <w:tcPr>
            <w:tcW w:w="1120" w:type="dxa"/>
            <w:vAlign w:val="bottom"/>
            <w:tcBorders>
              <w:right w:val="single" w:sz="8" w:color="E2E3E4"/>
            </w:tcBorders>
            <w:vMerge w:val="continue"/>
            <w:shd w:val="clear" w:color="auto" w:fill="E2E3E4"/>
          </w:tcPr>
          <w:p>
            <w:pPr>
              <w:spacing w:after="0"/>
              <w:rPr>
                <w:sz w:val="6"/>
                <w:szCs w:val="6"/>
                <w:color w:val="auto"/>
              </w:rPr>
            </w:pPr>
          </w:p>
        </w:tc>
        <w:tc>
          <w:tcPr>
            <w:tcW w:w="1120" w:type="dxa"/>
            <w:vAlign w:val="bottom"/>
            <w:tcBorders>
              <w:right w:val="single" w:sz="8" w:color="E2E3E4"/>
            </w:tcBorders>
            <w:vMerge w:val="continue"/>
            <w:shd w:val="clear" w:color="auto" w:fill="E2E3E4"/>
          </w:tcPr>
          <w:p>
            <w:pPr>
              <w:spacing w:after="0"/>
              <w:rPr>
                <w:sz w:val="6"/>
                <w:szCs w:val="6"/>
                <w:color w:val="auto"/>
              </w:rPr>
            </w:pPr>
          </w:p>
        </w:tc>
        <w:tc>
          <w:tcPr>
            <w:tcW w:w="1140" w:type="dxa"/>
            <w:vAlign w:val="bottom"/>
            <w:tcBorders>
              <w:right w:val="single" w:sz="8" w:color="E2E3E4"/>
            </w:tcBorders>
            <w:vMerge w:val="continue"/>
            <w:shd w:val="clear" w:color="auto" w:fill="E2E3E4"/>
          </w:tcPr>
          <w:p>
            <w:pPr>
              <w:spacing w:after="0"/>
              <w:rPr>
                <w:sz w:val="6"/>
                <w:szCs w:val="6"/>
                <w:color w:val="auto"/>
              </w:rPr>
            </w:pPr>
          </w:p>
        </w:tc>
        <w:tc>
          <w:tcPr>
            <w:tcW w:w="3780" w:type="dxa"/>
            <w:vAlign w:val="bottom"/>
            <w:vMerge w:val="continue"/>
            <w:shd w:val="clear" w:color="auto" w:fill="E2E3E4"/>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140" w:type="dxa"/>
            <w:vAlign w:val="bottom"/>
            <w:tcBorders>
              <w:right w:val="single" w:sz="8" w:color="E2E3E4"/>
            </w:tcBorders>
            <w:vMerge w:val="continue"/>
            <w:shd w:val="clear" w:color="auto" w:fill="E2E3E4"/>
          </w:tcPr>
          <w:p>
            <w:pPr>
              <w:spacing w:after="0"/>
              <w:rPr>
                <w:sz w:val="8"/>
                <w:szCs w:val="8"/>
                <w:color w:val="auto"/>
              </w:rPr>
            </w:pPr>
          </w:p>
        </w:tc>
        <w:tc>
          <w:tcPr>
            <w:tcW w:w="680" w:type="dxa"/>
            <w:vAlign w:val="bottom"/>
            <w:tcBorders>
              <w:right w:val="single" w:sz="8" w:color="E2E3E4"/>
            </w:tcBorders>
            <w:shd w:val="clear" w:color="auto" w:fill="E2E3E4"/>
          </w:tcPr>
          <w:p>
            <w:pPr>
              <w:spacing w:after="0"/>
              <w:rPr>
                <w:sz w:val="8"/>
                <w:szCs w:val="8"/>
                <w:color w:val="auto"/>
              </w:rPr>
            </w:pPr>
          </w:p>
        </w:tc>
        <w:tc>
          <w:tcPr>
            <w:tcW w:w="2260" w:type="dxa"/>
            <w:vAlign w:val="bottom"/>
            <w:tcBorders>
              <w:right w:val="single" w:sz="8" w:color="E2E3E4"/>
            </w:tcBorders>
            <w:vMerge w:val="continue"/>
            <w:shd w:val="clear" w:color="auto" w:fill="E2E3E4"/>
          </w:tcPr>
          <w:p>
            <w:pPr>
              <w:spacing w:after="0"/>
              <w:rPr>
                <w:sz w:val="8"/>
                <w:szCs w:val="8"/>
                <w:color w:val="auto"/>
              </w:rPr>
            </w:pPr>
          </w:p>
        </w:tc>
        <w:tc>
          <w:tcPr>
            <w:tcW w:w="1120" w:type="dxa"/>
            <w:vAlign w:val="bottom"/>
            <w:tcBorders>
              <w:right w:val="single" w:sz="8" w:color="E2E3E4"/>
            </w:tcBorders>
            <w:shd w:val="clear" w:color="auto" w:fill="E2E3E4"/>
          </w:tcPr>
          <w:p>
            <w:pPr>
              <w:spacing w:after="0"/>
              <w:rPr>
                <w:sz w:val="8"/>
                <w:szCs w:val="8"/>
                <w:color w:val="auto"/>
              </w:rPr>
            </w:pPr>
          </w:p>
        </w:tc>
        <w:tc>
          <w:tcPr>
            <w:tcW w:w="1120" w:type="dxa"/>
            <w:vAlign w:val="bottom"/>
            <w:tcBorders>
              <w:right w:val="single" w:sz="8" w:color="E2E3E4"/>
            </w:tcBorders>
            <w:shd w:val="clear" w:color="auto" w:fill="E2E3E4"/>
          </w:tcPr>
          <w:p>
            <w:pPr>
              <w:spacing w:after="0"/>
              <w:rPr>
                <w:sz w:val="8"/>
                <w:szCs w:val="8"/>
                <w:color w:val="auto"/>
              </w:rPr>
            </w:pPr>
          </w:p>
        </w:tc>
        <w:tc>
          <w:tcPr>
            <w:tcW w:w="1140" w:type="dxa"/>
            <w:vAlign w:val="bottom"/>
            <w:tcBorders>
              <w:right w:val="single" w:sz="8" w:color="E2E3E4"/>
            </w:tcBorders>
            <w:shd w:val="clear" w:color="auto" w:fill="E2E3E4"/>
          </w:tcPr>
          <w:p>
            <w:pPr>
              <w:spacing w:after="0"/>
              <w:rPr>
                <w:sz w:val="8"/>
                <w:szCs w:val="8"/>
                <w:color w:val="auto"/>
              </w:rPr>
            </w:pPr>
          </w:p>
        </w:tc>
        <w:tc>
          <w:tcPr>
            <w:tcW w:w="3780" w:type="dxa"/>
            <w:vAlign w:val="bottom"/>
            <w:vMerge w:val="restart"/>
            <w:shd w:val="clear" w:color="auto" w:fill="E2E3E4"/>
          </w:tcPr>
          <w:p>
            <w:pPr>
              <w:jc w:val="center"/>
              <w:spacing w:after="0"/>
              <w:rPr>
                <w:sz w:val="20"/>
                <w:szCs w:val="20"/>
                <w:color w:val="auto"/>
              </w:rPr>
            </w:pPr>
            <w:r>
              <w:rPr>
                <w:rFonts w:ascii="Arial" w:cs="Arial" w:eastAsia="Arial" w:hAnsi="Arial"/>
                <w:sz w:val="13"/>
                <w:szCs w:val="13"/>
                <w:color w:val="474C55"/>
              </w:rPr>
              <w:t>Risk ( C )</w:t>
            </w:r>
          </w:p>
        </w:tc>
        <w:tc>
          <w:tcPr>
            <w:tcW w:w="0" w:type="dxa"/>
            <w:vAlign w:val="bottom"/>
          </w:tcPr>
          <w:p>
            <w:pPr>
              <w:spacing w:after="0"/>
              <w:rPr>
                <w:sz w:val="1"/>
                <w:szCs w:val="1"/>
                <w:color w:val="auto"/>
              </w:rPr>
            </w:pPr>
          </w:p>
        </w:tc>
      </w:tr>
      <w:tr>
        <w:trPr>
          <w:trHeight w:val="101"/>
        </w:trPr>
        <w:tc>
          <w:tcPr>
            <w:tcW w:w="1140" w:type="dxa"/>
            <w:vAlign w:val="bottom"/>
            <w:tcBorders>
              <w:bottom w:val="single" w:sz="8" w:color="E2E3E4"/>
              <w:right w:val="single" w:sz="8" w:color="E2E3E4"/>
            </w:tcBorders>
            <w:shd w:val="clear" w:color="auto" w:fill="E2E3E4"/>
          </w:tcPr>
          <w:p>
            <w:pPr>
              <w:spacing w:after="0"/>
              <w:rPr>
                <w:sz w:val="8"/>
                <w:szCs w:val="8"/>
                <w:color w:val="auto"/>
              </w:rPr>
            </w:pPr>
          </w:p>
        </w:tc>
        <w:tc>
          <w:tcPr>
            <w:tcW w:w="680" w:type="dxa"/>
            <w:vAlign w:val="bottom"/>
            <w:tcBorders>
              <w:bottom w:val="single" w:sz="8" w:color="E2E3E4"/>
              <w:right w:val="single" w:sz="8" w:color="E2E3E4"/>
            </w:tcBorders>
            <w:shd w:val="clear" w:color="auto" w:fill="E2E3E4"/>
          </w:tcPr>
          <w:p>
            <w:pPr>
              <w:spacing w:after="0"/>
              <w:rPr>
                <w:sz w:val="8"/>
                <w:szCs w:val="8"/>
                <w:color w:val="auto"/>
              </w:rPr>
            </w:pPr>
          </w:p>
        </w:tc>
        <w:tc>
          <w:tcPr>
            <w:tcW w:w="2260" w:type="dxa"/>
            <w:vAlign w:val="bottom"/>
            <w:tcBorders>
              <w:bottom w:val="single" w:sz="8" w:color="E2E3E4"/>
              <w:right w:val="single" w:sz="8" w:color="E2E3E4"/>
            </w:tcBorders>
            <w:shd w:val="clear" w:color="auto" w:fill="E2E3E4"/>
          </w:tcPr>
          <w:p>
            <w:pPr>
              <w:spacing w:after="0"/>
              <w:rPr>
                <w:sz w:val="8"/>
                <w:szCs w:val="8"/>
                <w:color w:val="auto"/>
              </w:rPr>
            </w:pPr>
          </w:p>
        </w:tc>
        <w:tc>
          <w:tcPr>
            <w:tcW w:w="1120" w:type="dxa"/>
            <w:vAlign w:val="bottom"/>
            <w:tcBorders>
              <w:bottom w:val="single" w:sz="8" w:color="E2E3E4"/>
              <w:right w:val="single" w:sz="8" w:color="E2E3E4"/>
            </w:tcBorders>
            <w:shd w:val="clear" w:color="auto" w:fill="E2E3E4"/>
          </w:tcPr>
          <w:p>
            <w:pPr>
              <w:spacing w:after="0"/>
              <w:rPr>
                <w:sz w:val="8"/>
                <w:szCs w:val="8"/>
                <w:color w:val="auto"/>
              </w:rPr>
            </w:pPr>
          </w:p>
        </w:tc>
        <w:tc>
          <w:tcPr>
            <w:tcW w:w="1120" w:type="dxa"/>
            <w:vAlign w:val="bottom"/>
            <w:tcBorders>
              <w:bottom w:val="single" w:sz="8" w:color="E2E3E4"/>
              <w:right w:val="single" w:sz="8" w:color="E2E3E4"/>
            </w:tcBorders>
            <w:shd w:val="clear" w:color="auto" w:fill="E2E3E4"/>
          </w:tcPr>
          <w:p>
            <w:pPr>
              <w:spacing w:after="0"/>
              <w:rPr>
                <w:sz w:val="8"/>
                <w:szCs w:val="8"/>
                <w:color w:val="auto"/>
              </w:rPr>
            </w:pPr>
          </w:p>
        </w:tc>
        <w:tc>
          <w:tcPr>
            <w:tcW w:w="1140" w:type="dxa"/>
            <w:vAlign w:val="bottom"/>
            <w:tcBorders>
              <w:bottom w:val="single" w:sz="8" w:color="E2E3E4"/>
              <w:right w:val="single" w:sz="8" w:color="E2E3E4"/>
            </w:tcBorders>
            <w:shd w:val="clear" w:color="auto" w:fill="E2E3E4"/>
          </w:tcPr>
          <w:p>
            <w:pPr>
              <w:spacing w:after="0"/>
              <w:rPr>
                <w:sz w:val="8"/>
                <w:szCs w:val="8"/>
                <w:color w:val="auto"/>
              </w:rPr>
            </w:pPr>
          </w:p>
        </w:tc>
        <w:tc>
          <w:tcPr>
            <w:tcW w:w="3780" w:type="dxa"/>
            <w:vAlign w:val="bottom"/>
            <w:tcBorders>
              <w:bottom w:val="single" w:sz="8" w:color="E2E3E4"/>
            </w:tcBorders>
            <w:vMerge w:val="continue"/>
            <w:shd w:val="clear" w:color="auto" w:fill="E2E3E4"/>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140" w:type="dxa"/>
            <w:vAlign w:val="bottom"/>
            <w:vMerge w:val="restart"/>
          </w:tcPr>
          <w:p>
            <w:pPr>
              <w:jc w:val="center"/>
              <w:spacing w:after="0"/>
              <w:rPr>
                <w:sz w:val="20"/>
                <w:szCs w:val="20"/>
                <w:color w:val="auto"/>
              </w:rPr>
            </w:pPr>
            <w:r>
              <w:rPr>
                <w:rFonts w:ascii="Arial" w:cs="Arial" w:eastAsia="Arial" w:hAnsi="Arial"/>
                <w:sz w:val="13"/>
                <w:szCs w:val="13"/>
                <w:color w:val="474C55"/>
              </w:rPr>
              <w:t>Sally Pope Davis</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474C55"/>
                <w:w w:val="96"/>
              </w:rPr>
              <w:t>67</w:t>
            </w:r>
          </w:p>
        </w:tc>
        <w:tc>
          <w:tcPr>
            <w:tcW w:w="2260" w:type="dxa"/>
            <w:vAlign w:val="bottom"/>
          </w:tcPr>
          <w:p>
            <w:pPr>
              <w:jc w:val="center"/>
              <w:spacing w:after="0"/>
              <w:rPr>
                <w:sz w:val="20"/>
                <w:szCs w:val="20"/>
                <w:color w:val="auto"/>
              </w:rPr>
            </w:pPr>
            <w:r>
              <w:rPr>
                <w:rFonts w:ascii="Arial" w:cs="Arial" w:eastAsia="Arial" w:hAnsi="Arial"/>
                <w:sz w:val="13"/>
                <w:szCs w:val="13"/>
                <w:color w:val="474C55"/>
              </w:rPr>
              <w:t>Former Managing Director,</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474C55"/>
              </w:rPr>
              <w:t>2024</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474C55"/>
                <w:w w:val="97"/>
              </w:rPr>
              <w:t>Yes</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474C55"/>
              </w:rPr>
              <w:t>1</w:t>
            </w:r>
          </w:p>
        </w:tc>
        <w:tc>
          <w:tcPr>
            <w:tcW w:w="3780" w:type="dxa"/>
            <w:vAlign w:val="bottom"/>
          </w:tcPr>
          <w:p>
            <w:pPr>
              <w:jc w:val="center"/>
              <w:spacing w:after="0"/>
              <w:rPr>
                <w:sz w:val="20"/>
                <w:szCs w:val="20"/>
                <w:color w:val="auto"/>
              </w:rPr>
            </w:pPr>
            <w:r>
              <w:rPr>
                <w:rFonts w:ascii="Arial" w:cs="Arial" w:eastAsia="Arial" w:hAnsi="Arial"/>
                <w:sz w:val="13"/>
                <w:szCs w:val="13"/>
                <w:color w:val="474C55"/>
              </w:rPr>
              <w:t>Nominating and Corporate Governance</w:t>
            </w:r>
          </w:p>
        </w:tc>
        <w:tc>
          <w:tcPr>
            <w:tcW w:w="0" w:type="dxa"/>
            <w:vAlign w:val="bottom"/>
          </w:tcPr>
          <w:p>
            <w:pPr>
              <w:spacing w:after="0"/>
              <w:rPr>
                <w:sz w:val="1"/>
                <w:szCs w:val="1"/>
                <w:color w:val="auto"/>
              </w:rPr>
            </w:pPr>
          </w:p>
        </w:tc>
      </w:tr>
      <w:tr>
        <w:trPr>
          <w:trHeight w:val="100"/>
        </w:trPr>
        <w:tc>
          <w:tcPr>
            <w:tcW w:w="11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Arial" w:cs="Arial" w:eastAsia="Arial" w:hAnsi="Arial"/>
                <w:sz w:val="13"/>
                <w:szCs w:val="13"/>
                <w:color w:val="474C55"/>
              </w:rPr>
              <w:t>Goldman Sachs Asset Management</w:t>
            </w:r>
          </w:p>
        </w:tc>
        <w:tc>
          <w:tcPr>
            <w:tcW w:w="11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3780" w:type="dxa"/>
            <w:vAlign w:val="bottom"/>
            <w:vMerge w:val="restart"/>
          </w:tcPr>
          <w:p>
            <w:pPr>
              <w:jc w:val="center"/>
              <w:spacing w:after="0"/>
              <w:rPr>
                <w:sz w:val="20"/>
                <w:szCs w:val="20"/>
                <w:color w:val="auto"/>
              </w:rPr>
            </w:pPr>
            <w:r>
              <w:rPr>
                <w:rFonts w:ascii="Arial" w:cs="Arial" w:eastAsia="Arial" w:hAnsi="Arial"/>
                <w:sz w:val="13"/>
                <w:szCs w:val="13"/>
                <w:color w:val="474C55"/>
              </w:rPr>
              <w:t>Risk</w:t>
            </w:r>
          </w:p>
        </w:tc>
        <w:tc>
          <w:tcPr>
            <w:tcW w:w="0" w:type="dxa"/>
            <w:vAlign w:val="bottom"/>
          </w:tcPr>
          <w:p>
            <w:pPr>
              <w:spacing w:after="0"/>
              <w:rPr>
                <w:sz w:val="1"/>
                <w:szCs w:val="1"/>
                <w:color w:val="auto"/>
              </w:rPr>
            </w:pPr>
          </w:p>
        </w:tc>
      </w:tr>
      <w:tr>
        <w:trPr>
          <w:trHeight w:val="75"/>
        </w:trPr>
        <w:tc>
          <w:tcPr>
            <w:tcW w:w="1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8"/>
              </w:rPr>
              <w:t>Lance F.</w:t>
            </w:r>
          </w:p>
        </w:tc>
        <w:tc>
          <w:tcPr>
            <w:tcW w:w="680" w:type="dxa"/>
            <w:vAlign w:val="bottom"/>
            <w:tcBorders>
              <w:right w:val="single" w:sz="8" w:color="E2E3E4"/>
            </w:tcBorders>
            <w:shd w:val="clear" w:color="auto" w:fill="E2E3E4"/>
          </w:tcPr>
          <w:p>
            <w:pPr>
              <w:spacing w:after="0"/>
              <w:rPr>
                <w:sz w:val="17"/>
                <w:szCs w:val="17"/>
                <w:color w:val="auto"/>
              </w:rPr>
            </w:pPr>
          </w:p>
        </w:tc>
        <w:tc>
          <w:tcPr>
            <w:tcW w:w="226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3"/>
                <w:szCs w:val="13"/>
                <w:color w:val="474C55"/>
              </w:rPr>
              <w:t>Former Executive Vice President of</w:t>
            </w:r>
          </w:p>
        </w:tc>
        <w:tc>
          <w:tcPr>
            <w:tcW w:w="1120" w:type="dxa"/>
            <w:vAlign w:val="bottom"/>
            <w:tcBorders>
              <w:right w:val="single" w:sz="8" w:color="E2E3E4"/>
            </w:tcBorders>
            <w:shd w:val="clear" w:color="auto" w:fill="E2E3E4"/>
          </w:tcPr>
          <w:p>
            <w:pPr>
              <w:spacing w:after="0"/>
              <w:rPr>
                <w:sz w:val="17"/>
                <w:szCs w:val="17"/>
                <w:color w:val="auto"/>
              </w:rPr>
            </w:pPr>
          </w:p>
        </w:tc>
        <w:tc>
          <w:tcPr>
            <w:tcW w:w="1120" w:type="dxa"/>
            <w:vAlign w:val="bottom"/>
            <w:tcBorders>
              <w:right w:val="single" w:sz="8" w:color="E2E3E4"/>
            </w:tcBorders>
            <w:shd w:val="clear" w:color="auto" w:fill="E2E3E4"/>
          </w:tcPr>
          <w:p>
            <w:pPr>
              <w:spacing w:after="0"/>
              <w:rPr>
                <w:sz w:val="17"/>
                <w:szCs w:val="17"/>
                <w:color w:val="auto"/>
              </w:rPr>
            </w:pPr>
          </w:p>
        </w:tc>
        <w:tc>
          <w:tcPr>
            <w:tcW w:w="1140" w:type="dxa"/>
            <w:vAlign w:val="bottom"/>
            <w:tcBorders>
              <w:right w:val="single" w:sz="8" w:color="E2E3E4"/>
            </w:tcBorders>
            <w:shd w:val="clear" w:color="auto" w:fill="E2E3E4"/>
          </w:tcPr>
          <w:p>
            <w:pPr>
              <w:spacing w:after="0"/>
              <w:rPr>
                <w:sz w:val="17"/>
                <w:szCs w:val="17"/>
                <w:color w:val="auto"/>
              </w:rPr>
            </w:pPr>
          </w:p>
        </w:tc>
        <w:tc>
          <w:tcPr>
            <w:tcW w:w="3780" w:type="dxa"/>
            <w:vAlign w:val="bottom"/>
            <w:shd w:val="clear" w:color="auto" w:fill="E2E3E4"/>
          </w:tcPr>
          <w:p>
            <w:pPr>
              <w:jc w:val="center"/>
              <w:spacing w:after="0"/>
              <w:rPr>
                <w:sz w:val="20"/>
                <w:szCs w:val="20"/>
                <w:color w:val="auto"/>
              </w:rPr>
            </w:pPr>
            <w:r>
              <w:rPr>
                <w:rFonts w:ascii="Arial" w:cs="Arial" w:eastAsia="Arial" w:hAnsi="Arial"/>
                <w:sz w:val="13"/>
                <w:szCs w:val="13"/>
                <w:color w:val="474C55"/>
              </w:rPr>
              <w:t>Executive</w:t>
            </w:r>
          </w:p>
        </w:tc>
        <w:tc>
          <w:tcPr>
            <w:tcW w:w="0" w:type="dxa"/>
            <w:vAlign w:val="bottom"/>
          </w:tcPr>
          <w:p>
            <w:pPr>
              <w:spacing w:after="0"/>
              <w:rPr>
                <w:sz w:val="1"/>
                <w:szCs w:val="1"/>
                <w:color w:val="auto"/>
              </w:rPr>
            </w:pPr>
          </w:p>
        </w:tc>
      </w:tr>
      <w:tr>
        <w:trPr>
          <w:trHeight w:val="75"/>
        </w:trPr>
        <w:tc>
          <w:tcPr>
            <w:tcW w:w="1140" w:type="dxa"/>
            <w:vAlign w:val="bottom"/>
            <w:tcBorders>
              <w:right w:val="single" w:sz="8" w:color="E2E3E4"/>
            </w:tcBorders>
            <w:vMerge w:val="continue"/>
            <w:shd w:val="clear" w:color="auto" w:fill="E2E3E4"/>
          </w:tcPr>
          <w:p>
            <w:pPr>
              <w:spacing w:after="0"/>
              <w:rPr>
                <w:sz w:val="6"/>
                <w:szCs w:val="6"/>
                <w:color w:val="auto"/>
              </w:rPr>
            </w:pPr>
          </w:p>
        </w:tc>
        <w:tc>
          <w:tcPr>
            <w:tcW w:w="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6"/>
              </w:rPr>
              <w:t>70</w:t>
            </w:r>
          </w:p>
        </w:tc>
        <w:tc>
          <w:tcPr>
            <w:tcW w:w="226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Operations and Technology, TD</w:t>
            </w: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2018</w:t>
            </w: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7"/>
              </w:rPr>
              <w:t>Yes</w:t>
            </w:r>
          </w:p>
        </w:tc>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1</w:t>
            </w:r>
          </w:p>
        </w:tc>
        <w:tc>
          <w:tcPr>
            <w:tcW w:w="3780" w:type="dxa"/>
            <w:vAlign w:val="bottom"/>
            <w:vMerge w:val="restart"/>
            <w:shd w:val="clear" w:color="auto" w:fill="E2E3E4"/>
          </w:tcPr>
          <w:p>
            <w:pPr>
              <w:jc w:val="center"/>
              <w:spacing w:after="0"/>
              <w:rPr>
                <w:sz w:val="20"/>
                <w:szCs w:val="20"/>
                <w:color w:val="auto"/>
              </w:rPr>
            </w:pPr>
            <w:r>
              <w:rPr>
                <w:rFonts w:ascii="Arial" w:cs="Arial" w:eastAsia="Arial" w:hAnsi="Arial"/>
                <w:sz w:val="13"/>
                <w:szCs w:val="13"/>
                <w:color w:val="474C55"/>
              </w:rPr>
              <w:t>Nominating and Corporate Governance ( C )</w:t>
            </w:r>
          </w:p>
        </w:tc>
        <w:tc>
          <w:tcPr>
            <w:tcW w:w="0" w:type="dxa"/>
            <w:vAlign w:val="bottom"/>
          </w:tcPr>
          <w:p>
            <w:pPr>
              <w:spacing w:after="0"/>
              <w:rPr>
                <w:sz w:val="1"/>
                <w:szCs w:val="1"/>
                <w:color w:val="auto"/>
              </w:rPr>
            </w:pPr>
          </w:p>
        </w:tc>
      </w:tr>
      <w:tr>
        <w:trPr>
          <w:trHeight w:val="75"/>
        </w:trPr>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Drummond</w:t>
            </w:r>
          </w:p>
        </w:tc>
        <w:tc>
          <w:tcPr>
            <w:tcW w:w="680" w:type="dxa"/>
            <w:vAlign w:val="bottom"/>
            <w:tcBorders>
              <w:right w:val="single" w:sz="8" w:color="E2E3E4"/>
            </w:tcBorders>
            <w:vMerge w:val="continue"/>
            <w:shd w:val="clear" w:color="auto" w:fill="E2E3E4"/>
          </w:tcPr>
          <w:p>
            <w:pPr>
              <w:spacing w:after="0"/>
              <w:rPr>
                <w:sz w:val="6"/>
                <w:szCs w:val="6"/>
                <w:color w:val="auto"/>
              </w:rPr>
            </w:pPr>
          </w:p>
        </w:tc>
        <w:tc>
          <w:tcPr>
            <w:tcW w:w="2260" w:type="dxa"/>
            <w:vAlign w:val="bottom"/>
            <w:tcBorders>
              <w:right w:val="single" w:sz="8" w:color="E2E3E4"/>
            </w:tcBorders>
            <w:vMerge w:val="continue"/>
            <w:shd w:val="clear" w:color="auto" w:fill="E2E3E4"/>
          </w:tcPr>
          <w:p>
            <w:pPr>
              <w:spacing w:after="0"/>
              <w:rPr>
                <w:sz w:val="6"/>
                <w:szCs w:val="6"/>
                <w:color w:val="auto"/>
              </w:rPr>
            </w:pPr>
          </w:p>
        </w:tc>
        <w:tc>
          <w:tcPr>
            <w:tcW w:w="1120" w:type="dxa"/>
            <w:vAlign w:val="bottom"/>
            <w:tcBorders>
              <w:right w:val="single" w:sz="8" w:color="E2E3E4"/>
            </w:tcBorders>
            <w:vMerge w:val="continue"/>
            <w:shd w:val="clear" w:color="auto" w:fill="E2E3E4"/>
          </w:tcPr>
          <w:p>
            <w:pPr>
              <w:spacing w:after="0"/>
              <w:rPr>
                <w:sz w:val="6"/>
                <w:szCs w:val="6"/>
                <w:color w:val="auto"/>
              </w:rPr>
            </w:pPr>
          </w:p>
        </w:tc>
        <w:tc>
          <w:tcPr>
            <w:tcW w:w="1120" w:type="dxa"/>
            <w:vAlign w:val="bottom"/>
            <w:tcBorders>
              <w:right w:val="single" w:sz="8" w:color="E2E3E4"/>
            </w:tcBorders>
            <w:vMerge w:val="continue"/>
            <w:shd w:val="clear" w:color="auto" w:fill="E2E3E4"/>
          </w:tcPr>
          <w:p>
            <w:pPr>
              <w:spacing w:after="0"/>
              <w:rPr>
                <w:sz w:val="6"/>
                <w:szCs w:val="6"/>
                <w:color w:val="auto"/>
              </w:rPr>
            </w:pPr>
          </w:p>
        </w:tc>
        <w:tc>
          <w:tcPr>
            <w:tcW w:w="1140" w:type="dxa"/>
            <w:vAlign w:val="bottom"/>
            <w:tcBorders>
              <w:right w:val="single" w:sz="8" w:color="E2E3E4"/>
            </w:tcBorders>
            <w:vMerge w:val="continue"/>
            <w:shd w:val="clear" w:color="auto" w:fill="E2E3E4"/>
          </w:tcPr>
          <w:p>
            <w:pPr>
              <w:spacing w:after="0"/>
              <w:rPr>
                <w:sz w:val="6"/>
                <w:szCs w:val="6"/>
                <w:color w:val="auto"/>
              </w:rPr>
            </w:pPr>
          </w:p>
        </w:tc>
        <w:tc>
          <w:tcPr>
            <w:tcW w:w="3780" w:type="dxa"/>
            <w:vAlign w:val="bottom"/>
            <w:vMerge w:val="continue"/>
            <w:shd w:val="clear" w:color="auto" w:fill="E2E3E4"/>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140" w:type="dxa"/>
            <w:vAlign w:val="bottom"/>
            <w:tcBorders>
              <w:right w:val="single" w:sz="8" w:color="E2E3E4"/>
            </w:tcBorders>
            <w:vMerge w:val="continue"/>
            <w:shd w:val="clear" w:color="auto" w:fill="E2E3E4"/>
          </w:tcPr>
          <w:p>
            <w:pPr>
              <w:spacing w:after="0"/>
              <w:rPr>
                <w:sz w:val="8"/>
                <w:szCs w:val="8"/>
                <w:color w:val="auto"/>
              </w:rPr>
            </w:pPr>
          </w:p>
        </w:tc>
        <w:tc>
          <w:tcPr>
            <w:tcW w:w="680" w:type="dxa"/>
            <w:vAlign w:val="bottom"/>
            <w:tcBorders>
              <w:right w:val="single" w:sz="8" w:color="E2E3E4"/>
            </w:tcBorders>
            <w:shd w:val="clear" w:color="auto" w:fill="E2E3E4"/>
          </w:tcPr>
          <w:p>
            <w:pPr>
              <w:spacing w:after="0"/>
              <w:rPr>
                <w:sz w:val="8"/>
                <w:szCs w:val="8"/>
                <w:color w:val="auto"/>
              </w:rPr>
            </w:pPr>
          </w:p>
        </w:tc>
        <w:tc>
          <w:tcPr>
            <w:tcW w:w="226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Canada Trust</w:t>
            </w:r>
          </w:p>
        </w:tc>
        <w:tc>
          <w:tcPr>
            <w:tcW w:w="1120" w:type="dxa"/>
            <w:vAlign w:val="bottom"/>
            <w:tcBorders>
              <w:right w:val="single" w:sz="8" w:color="E2E3E4"/>
            </w:tcBorders>
            <w:shd w:val="clear" w:color="auto" w:fill="E2E3E4"/>
          </w:tcPr>
          <w:p>
            <w:pPr>
              <w:spacing w:after="0"/>
              <w:rPr>
                <w:sz w:val="8"/>
                <w:szCs w:val="8"/>
                <w:color w:val="auto"/>
              </w:rPr>
            </w:pPr>
          </w:p>
        </w:tc>
        <w:tc>
          <w:tcPr>
            <w:tcW w:w="1120" w:type="dxa"/>
            <w:vAlign w:val="bottom"/>
            <w:tcBorders>
              <w:right w:val="single" w:sz="8" w:color="E2E3E4"/>
            </w:tcBorders>
            <w:shd w:val="clear" w:color="auto" w:fill="E2E3E4"/>
          </w:tcPr>
          <w:p>
            <w:pPr>
              <w:spacing w:after="0"/>
              <w:rPr>
                <w:sz w:val="8"/>
                <w:szCs w:val="8"/>
                <w:color w:val="auto"/>
              </w:rPr>
            </w:pPr>
          </w:p>
        </w:tc>
        <w:tc>
          <w:tcPr>
            <w:tcW w:w="1140" w:type="dxa"/>
            <w:vAlign w:val="bottom"/>
            <w:tcBorders>
              <w:right w:val="single" w:sz="8" w:color="E2E3E4"/>
            </w:tcBorders>
            <w:shd w:val="clear" w:color="auto" w:fill="E2E3E4"/>
          </w:tcPr>
          <w:p>
            <w:pPr>
              <w:spacing w:after="0"/>
              <w:rPr>
                <w:sz w:val="8"/>
                <w:szCs w:val="8"/>
                <w:color w:val="auto"/>
              </w:rPr>
            </w:pPr>
          </w:p>
        </w:tc>
        <w:tc>
          <w:tcPr>
            <w:tcW w:w="3780" w:type="dxa"/>
            <w:vAlign w:val="bottom"/>
            <w:vMerge w:val="restart"/>
            <w:shd w:val="clear" w:color="auto" w:fill="E2E3E4"/>
          </w:tcPr>
          <w:p>
            <w:pPr>
              <w:jc w:val="center"/>
              <w:spacing w:after="0"/>
              <w:rPr>
                <w:sz w:val="20"/>
                <w:szCs w:val="20"/>
                <w:color w:val="auto"/>
              </w:rPr>
            </w:pPr>
            <w:r>
              <w:rPr>
                <w:rFonts w:ascii="Arial" w:cs="Arial" w:eastAsia="Arial" w:hAnsi="Arial"/>
                <w:sz w:val="13"/>
                <w:szCs w:val="13"/>
                <w:color w:val="474C55"/>
              </w:rPr>
              <w:t>Risk</w:t>
            </w:r>
          </w:p>
        </w:tc>
        <w:tc>
          <w:tcPr>
            <w:tcW w:w="0" w:type="dxa"/>
            <w:vAlign w:val="bottom"/>
          </w:tcPr>
          <w:p>
            <w:pPr>
              <w:spacing w:after="0"/>
              <w:rPr>
                <w:sz w:val="1"/>
                <w:szCs w:val="1"/>
                <w:color w:val="auto"/>
              </w:rPr>
            </w:pPr>
          </w:p>
        </w:tc>
      </w:tr>
      <w:tr>
        <w:trPr>
          <w:trHeight w:val="101"/>
        </w:trPr>
        <w:tc>
          <w:tcPr>
            <w:tcW w:w="1140" w:type="dxa"/>
            <w:vAlign w:val="bottom"/>
            <w:tcBorders>
              <w:bottom w:val="single" w:sz="8" w:color="E2E3E4"/>
              <w:right w:val="single" w:sz="8" w:color="E2E3E4"/>
            </w:tcBorders>
            <w:shd w:val="clear" w:color="auto" w:fill="E2E3E4"/>
          </w:tcPr>
          <w:p>
            <w:pPr>
              <w:spacing w:after="0"/>
              <w:rPr>
                <w:sz w:val="8"/>
                <w:szCs w:val="8"/>
                <w:color w:val="auto"/>
              </w:rPr>
            </w:pPr>
          </w:p>
        </w:tc>
        <w:tc>
          <w:tcPr>
            <w:tcW w:w="680" w:type="dxa"/>
            <w:vAlign w:val="bottom"/>
            <w:tcBorders>
              <w:bottom w:val="single" w:sz="8" w:color="E2E3E4"/>
              <w:right w:val="single" w:sz="8" w:color="E2E3E4"/>
            </w:tcBorders>
            <w:shd w:val="clear" w:color="auto" w:fill="E2E3E4"/>
          </w:tcPr>
          <w:p>
            <w:pPr>
              <w:spacing w:after="0"/>
              <w:rPr>
                <w:sz w:val="8"/>
                <w:szCs w:val="8"/>
                <w:color w:val="auto"/>
              </w:rPr>
            </w:pPr>
          </w:p>
        </w:tc>
        <w:tc>
          <w:tcPr>
            <w:tcW w:w="2260" w:type="dxa"/>
            <w:vAlign w:val="bottom"/>
            <w:tcBorders>
              <w:bottom w:val="single" w:sz="8" w:color="E2E3E4"/>
              <w:right w:val="single" w:sz="8" w:color="E2E3E4"/>
            </w:tcBorders>
            <w:vMerge w:val="continue"/>
            <w:shd w:val="clear" w:color="auto" w:fill="E2E3E4"/>
          </w:tcPr>
          <w:p>
            <w:pPr>
              <w:spacing w:after="0"/>
              <w:rPr>
                <w:sz w:val="8"/>
                <w:szCs w:val="8"/>
                <w:color w:val="auto"/>
              </w:rPr>
            </w:pPr>
          </w:p>
        </w:tc>
        <w:tc>
          <w:tcPr>
            <w:tcW w:w="1120" w:type="dxa"/>
            <w:vAlign w:val="bottom"/>
            <w:tcBorders>
              <w:bottom w:val="single" w:sz="8" w:color="E2E3E4"/>
              <w:right w:val="single" w:sz="8" w:color="E2E3E4"/>
            </w:tcBorders>
            <w:shd w:val="clear" w:color="auto" w:fill="E2E3E4"/>
          </w:tcPr>
          <w:p>
            <w:pPr>
              <w:spacing w:after="0"/>
              <w:rPr>
                <w:sz w:val="8"/>
                <w:szCs w:val="8"/>
                <w:color w:val="auto"/>
              </w:rPr>
            </w:pPr>
          </w:p>
        </w:tc>
        <w:tc>
          <w:tcPr>
            <w:tcW w:w="1120" w:type="dxa"/>
            <w:vAlign w:val="bottom"/>
            <w:tcBorders>
              <w:bottom w:val="single" w:sz="8" w:color="E2E3E4"/>
              <w:right w:val="single" w:sz="8" w:color="E2E3E4"/>
            </w:tcBorders>
            <w:shd w:val="clear" w:color="auto" w:fill="E2E3E4"/>
          </w:tcPr>
          <w:p>
            <w:pPr>
              <w:spacing w:after="0"/>
              <w:rPr>
                <w:sz w:val="8"/>
                <w:szCs w:val="8"/>
                <w:color w:val="auto"/>
              </w:rPr>
            </w:pPr>
          </w:p>
        </w:tc>
        <w:tc>
          <w:tcPr>
            <w:tcW w:w="1140" w:type="dxa"/>
            <w:vAlign w:val="bottom"/>
            <w:tcBorders>
              <w:bottom w:val="single" w:sz="8" w:color="E2E3E4"/>
              <w:right w:val="single" w:sz="8" w:color="E2E3E4"/>
            </w:tcBorders>
            <w:shd w:val="clear" w:color="auto" w:fill="E2E3E4"/>
          </w:tcPr>
          <w:p>
            <w:pPr>
              <w:spacing w:after="0"/>
              <w:rPr>
                <w:sz w:val="8"/>
                <w:szCs w:val="8"/>
                <w:color w:val="auto"/>
              </w:rPr>
            </w:pPr>
          </w:p>
        </w:tc>
        <w:tc>
          <w:tcPr>
            <w:tcW w:w="3780" w:type="dxa"/>
            <w:vAlign w:val="bottom"/>
            <w:tcBorders>
              <w:bottom w:val="single" w:sz="8" w:color="E2E3E4"/>
            </w:tcBorders>
            <w:vMerge w:val="continue"/>
            <w:shd w:val="clear" w:color="auto" w:fill="E2E3E4"/>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140" w:type="dxa"/>
            <w:vAlign w:val="bottom"/>
            <w:tcBorders>
              <w:right w:val="single" w:sz="8" w:color="E5E6E6"/>
            </w:tcBorders>
          </w:tcPr>
          <w:p>
            <w:pPr>
              <w:spacing w:after="0"/>
              <w:rPr>
                <w:sz w:val="17"/>
                <w:szCs w:val="17"/>
                <w:color w:val="auto"/>
              </w:rPr>
            </w:pPr>
          </w:p>
        </w:tc>
        <w:tc>
          <w:tcPr>
            <w:tcW w:w="680" w:type="dxa"/>
            <w:vAlign w:val="bottom"/>
            <w:tcBorders>
              <w:right w:val="single" w:sz="8" w:color="E5E6E6"/>
            </w:tcBorders>
          </w:tcPr>
          <w:p>
            <w:pPr>
              <w:spacing w:after="0"/>
              <w:rPr>
                <w:sz w:val="17"/>
                <w:szCs w:val="17"/>
                <w:color w:val="auto"/>
              </w:rPr>
            </w:pP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Chairman, President, and Chief</w:t>
            </w:r>
          </w:p>
        </w:tc>
        <w:tc>
          <w:tcPr>
            <w:tcW w:w="1120" w:type="dxa"/>
            <w:vAlign w:val="bottom"/>
            <w:tcBorders>
              <w:right w:val="single" w:sz="8" w:color="E5E6E6"/>
            </w:tcBorders>
          </w:tcPr>
          <w:p>
            <w:pPr>
              <w:spacing w:after="0"/>
              <w:rPr>
                <w:sz w:val="17"/>
                <w:szCs w:val="17"/>
                <w:color w:val="auto"/>
              </w:rPr>
            </w:pPr>
          </w:p>
        </w:tc>
        <w:tc>
          <w:tcPr>
            <w:tcW w:w="1120" w:type="dxa"/>
            <w:vAlign w:val="bottom"/>
            <w:tcBorders>
              <w:right w:val="single" w:sz="8" w:color="E5E6E6"/>
            </w:tcBorders>
          </w:tcPr>
          <w:p>
            <w:pPr>
              <w:spacing w:after="0"/>
              <w:rPr>
                <w:sz w:val="17"/>
                <w:szCs w:val="17"/>
                <w:color w:val="auto"/>
              </w:rPr>
            </w:pPr>
          </w:p>
        </w:tc>
        <w:tc>
          <w:tcPr>
            <w:tcW w:w="1140" w:type="dxa"/>
            <w:vAlign w:val="bottom"/>
            <w:tcBorders>
              <w:right w:val="single" w:sz="8" w:color="E5E6E6"/>
            </w:tcBorders>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14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H. Lynn Harton</w:t>
            </w:r>
          </w:p>
        </w:tc>
        <w:tc>
          <w:tcPr>
            <w:tcW w:w="68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w w:val="96"/>
              </w:rPr>
              <w:t>63</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Executive Officer, United</w:t>
            </w:r>
          </w:p>
        </w:tc>
        <w:tc>
          <w:tcPr>
            <w:tcW w:w="112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2015</w:t>
            </w:r>
          </w:p>
        </w:tc>
        <w:tc>
          <w:tcPr>
            <w:tcW w:w="112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No</w:t>
            </w:r>
          </w:p>
        </w:tc>
        <w:tc>
          <w:tcPr>
            <w:tcW w:w="114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0</w:t>
            </w:r>
          </w:p>
        </w:tc>
        <w:tc>
          <w:tcPr>
            <w:tcW w:w="3780" w:type="dxa"/>
            <w:vAlign w:val="bottom"/>
          </w:tcPr>
          <w:p>
            <w:pPr>
              <w:jc w:val="center"/>
              <w:spacing w:after="0"/>
              <w:rPr>
                <w:sz w:val="20"/>
                <w:szCs w:val="20"/>
                <w:color w:val="auto"/>
              </w:rPr>
            </w:pPr>
            <w:r>
              <w:rPr>
                <w:rFonts w:ascii="Arial" w:cs="Arial" w:eastAsia="Arial" w:hAnsi="Arial"/>
                <w:sz w:val="13"/>
                <w:szCs w:val="13"/>
                <w:color w:val="474C55"/>
              </w:rPr>
              <w:t>Executive ( C )</w:t>
            </w:r>
          </w:p>
        </w:tc>
        <w:tc>
          <w:tcPr>
            <w:tcW w:w="0" w:type="dxa"/>
            <w:vAlign w:val="bottom"/>
          </w:tcPr>
          <w:p>
            <w:pPr>
              <w:spacing w:after="0"/>
              <w:rPr>
                <w:sz w:val="1"/>
                <w:szCs w:val="1"/>
                <w:color w:val="auto"/>
              </w:rPr>
            </w:pPr>
          </w:p>
        </w:tc>
      </w:tr>
      <w:tr>
        <w:trPr>
          <w:trHeight w:val="220"/>
        </w:trPr>
        <w:tc>
          <w:tcPr>
            <w:tcW w:w="1140" w:type="dxa"/>
            <w:vAlign w:val="bottom"/>
            <w:tcBorders>
              <w:right w:val="single" w:sz="8" w:color="E5E6E6"/>
            </w:tcBorders>
          </w:tcPr>
          <w:p>
            <w:pPr>
              <w:spacing w:after="0"/>
              <w:rPr>
                <w:sz w:val="19"/>
                <w:szCs w:val="19"/>
                <w:color w:val="auto"/>
              </w:rPr>
            </w:pPr>
          </w:p>
        </w:tc>
        <w:tc>
          <w:tcPr>
            <w:tcW w:w="680" w:type="dxa"/>
            <w:vAlign w:val="bottom"/>
            <w:tcBorders>
              <w:right w:val="single" w:sz="8" w:color="E5E6E6"/>
            </w:tcBorders>
          </w:tcPr>
          <w:p>
            <w:pPr>
              <w:spacing w:after="0"/>
              <w:rPr>
                <w:sz w:val="19"/>
                <w:szCs w:val="19"/>
                <w:color w:val="auto"/>
              </w:rPr>
            </w:pP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Community Banks, Inc.</w:t>
            </w:r>
          </w:p>
        </w:tc>
        <w:tc>
          <w:tcPr>
            <w:tcW w:w="1120" w:type="dxa"/>
            <w:vAlign w:val="bottom"/>
            <w:tcBorders>
              <w:right w:val="single" w:sz="8" w:color="E5E6E6"/>
            </w:tcBorders>
          </w:tcPr>
          <w:p>
            <w:pPr>
              <w:spacing w:after="0"/>
              <w:rPr>
                <w:sz w:val="19"/>
                <w:szCs w:val="19"/>
                <w:color w:val="auto"/>
              </w:rPr>
            </w:pPr>
          </w:p>
        </w:tc>
        <w:tc>
          <w:tcPr>
            <w:tcW w:w="1120" w:type="dxa"/>
            <w:vAlign w:val="bottom"/>
            <w:tcBorders>
              <w:right w:val="single" w:sz="8" w:color="E5E6E6"/>
            </w:tcBorders>
          </w:tcPr>
          <w:p>
            <w:pPr>
              <w:spacing w:after="0"/>
              <w:rPr>
                <w:sz w:val="19"/>
                <w:szCs w:val="19"/>
                <w:color w:val="auto"/>
              </w:rPr>
            </w:pPr>
          </w:p>
        </w:tc>
        <w:tc>
          <w:tcPr>
            <w:tcW w:w="1140" w:type="dxa"/>
            <w:vAlign w:val="bottom"/>
            <w:tcBorders>
              <w:right w:val="single" w:sz="8" w:color="E5E6E6"/>
            </w:tcBorders>
          </w:tcPr>
          <w:p>
            <w:pPr>
              <w:spacing w:after="0"/>
              <w:rPr>
                <w:sz w:val="19"/>
                <w:szCs w:val="19"/>
                <w:color w:val="auto"/>
              </w:rPr>
            </w:pP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John M. James</w:t>
            </w:r>
          </w:p>
        </w:tc>
        <w:tc>
          <w:tcPr>
            <w:tcW w:w="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6"/>
              </w:rPr>
              <w:t>65</w:t>
            </w:r>
          </w:p>
        </w:tc>
        <w:tc>
          <w:tcPr>
            <w:tcW w:w="226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3"/>
                <w:szCs w:val="13"/>
                <w:color w:val="474C55"/>
              </w:rPr>
              <w:t>Former SVP, Corporate Controller</w:t>
            </w: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2023</w:t>
            </w: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7"/>
              </w:rPr>
              <w:t>Yes</w:t>
            </w:r>
          </w:p>
        </w:tc>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0</w:t>
            </w:r>
          </w:p>
        </w:tc>
        <w:tc>
          <w:tcPr>
            <w:tcW w:w="3780" w:type="dxa"/>
            <w:vAlign w:val="bottom"/>
            <w:shd w:val="clear" w:color="auto" w:fill="E2E3E4"/>
          </w:tcPr>
          <w:p>
            <w:pPr>
              <w:jc w:val="center"/>
              <w:spacing w:after="0"/>
              <w:rPr>
                <w:sz w:val="20"/>
                <w:szCs w:val="20"/>
                <w:color w:val="auto"/>
              </w:rPr>
            </w:pPr>
            <w:r>
              <w:rPr>
                <w:rFonts w:ascii="Arial" w:cs="Arial" w:eastAsia="Arial" w:hAnsi="Arial"/>
                <w:sz w:val="13"/>
                <w:szCs w:val="13"/>
                <w:color w:val="474C55"/>
              </w:rPr>
              <w:t>Audit</w:t>
            </w:r>
          </w:p>
        </w:tc>
        <w:tc>
          <w:tcPr>
            <w:tcW w:w="0" w:type="dxa"/>
            <w:vAlign w:val="bottom"/>
          </w:tcPr>
          <w:p>
            <w:pPr>
              <w:spacing w:after="0"/>
              <w:rPr>
                <w:sz w:val="1"/>
                <w:szCs w:val="1"/>
                <w:color w:val="auto"/>
              </w:rPr>
            </w:pPr>
          </w:p>
        </w:tc>
      </w:tr>
      <w:tr>
        <w:trPr>
          <w:trHeight w:val="100"/>
        </w:trPr>
        <w:tc>
          <w:tcPr>
            <w:tcW w:w="1140" w:type="dxa"/>
            <w:vAlign w:val="bottom"/>
            <w:tcBorders>
              <w:right w:val="single" w:sz="8" w:color="E2E3E4"/>
            </w:tcBorders>
            <w:vMerge w:val="continue"/>
            <w:shd w:val="clear" w:color="auto" w:fill="E2E3E4"/>
          </w:tcPr>
          <w:p>
            <w:pPr>
              <w:spacing w:after="0"/>
              <w:rPr>
                <w:sz w:val="8"/>
                <w:szCs w:val="8"/>
                <w:color w:val="auto"/>
              </w:rPr>
            </w:pPr>
          </w:p>
        </w:tc>
        <w:tc>
          <w:tcPr>
            <w:tcW w:w="680" w:type="dxa"/>
            <w:vAlign w:val="bottom"/>
            <w:tcBorders>
              <w:right w:val="single" w:sz="8" w:color="E2E3E4"/>
            </w:tcBorders>
            <w:vMerge w:val="continue"/>
            <w:shd w:val="clear" w:color="auto" w:fill="E2E3E4"/>
          </w:tcPr>
          <w:p>
            <w:pPr>
              <w:spacing w:after="0"/>
              <w:rPr>
                <w:sz w:val="8"/>
                <w:szCs w:val="8"/>
                <w:color w:val="auto"/>
              </w:rPr>
            </w:pPr>
          </w:p>
        </w:tc>
        <w:tc>
          <w:tcPr>
            <w:tcW w:w="226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Executive, Bank of America</w:t>
            </w:r>
          </w:p>
        </w:tc>
        <w:tc>
          <w:tcPr>
            <w:tcW w:w="1120" w:type="dxa"/>
            <w:vAlign w:val="bottom"/>
            <w:tcBorders>
              <w:right w:val="single" w:sz="8" w:color="E2E3E4"/>
            </w:tcBorders>
            <w:vMerge w:val="continue"/>
            <w:shd w:val="clear" w:color="auto" w:fill="E2E3E4"/>
          </w:tcPr>
          <w:p>
            <w:pPr>
              <w:spacing w:after="0"/>
              <w:rPr>
                <w:sz w:val="8"/>
                <w:szCs w:val="8"/>
                <w:color w:val="auto"/>
              </w:rPr>
            </w:pPr>
          </w:p>
        </w:tc>
        <w:tc>
          <w:tcPr>
            <w:tcW w:w="1120" w:type="dxa"/>
            <w:vAlign w:val="bottom"/>
            <w:tcBorders>
              <w:right w:val="single" w:sz="8" w:color="E2E3E4"/>
            </w:tcBorders>
            <w:vMerge w:val="continue"/>
            <w:shd w:val="clear" w:color="auto" w:fill="E2E3E4"/>
          </w:tcPr>
          <w:p>
            <w:pPr>
              <w:spacing w:after="0"/>
              <w:rPr>
                <w:sz w:val="8"/>
                <w:szCs w:val="8"/>
                <w:color w:val="auto"/>
              </w:rPr>
            </w:pPr>
          </w:p>
        </w:tc>
        <w:tc>
          <w:tcPr>
            <w:tcW w:w="1140" w:type="dxa"/>
            <w:vAlign w:val="bottom"/>
            <w:tcBorders>
              <w:right w:val="single" w:sz="8" w:color="E2E3E4"/>
            </w:tcBorders>
            <w:vMerge w:val="continue"/>
            <w:shd w:val="clear" w:color="auto" w:fill="E2E3E4"/>
          </w:tcPr>
          <w:p>
            <w:pPr>
              <w:spacing w:after="0"/>
              <w:rPr>
                <w:sz w:val="8"/>
                <w:szCs w:val="8"/>
                <w:color w:val="auto"/>
              </w:rPr>
            </w:pPr>
          </w:p>
        </w:tc>
        <w:tc>
          <w:tcPr>
            <w:tcW w:w="3780" w:type="dxa"/>
            <w:vAlign w:val="bottom"/>
            <w:vMerge w:val="restart"/>
            <w:shd w:val="clear" w:color="auto" w:fill="E2E3E4"/>
          </w:tcPr>
          <w:p>
            <w:pPr>
              <w:jc w:val="center"/>
              <w:spacing w:after="0"/>
              <w:rPr>
                <w:sz w:val="20"/>
                <w:szCs w:val="20"/>
                <w:color w:val="auto"/>
              </w:rPr>
            </w:pPr>
            <w:r>
              <w:rPr>
                <w:rFonts w:ascii="Arial" w:cs="Arial" w:eastAsia="Arial" w:hAnsi="Arial"/>
                <w:sz w:val="13"/>
                <w:szCs w:val="13"/>
                <w:color w:val="474C55"/>
              </w:rPr>
              <w:t>Risk</w:t>
            </w:r>
          </w:p>
        </w:tc>
        <w:tc>
          <w:tcPr>
            <w:tcW w:w="0" w:type="dxa"/>
            <w:vAlign w:val="bottom"/>
          </w:tcPr>
          <w:p>
            <w:pPr>
              <w:spacing w:after="0"/>
              <w:rPr>
                <w:sz w:val="1"/>
                <w:szCs w:val="1"/>
                <w:color w:val="auto"/>
              </w:rPr>
            </w:pPr>
          </w:p>
        </w:tc>
      </w:tr>
      <w:tr>
        <w:trPr>
          <w:trHeight w:val="101"/>
        </w:trPr>
        <w:tc>
          <w:tcPr>
            <w:tcW w:w="1140" w:type="dxa"/>
            <w:vAlign w:val="bottom"/>
            <w:tcBorders>
              <w:bottom w:val="single" w:sz="8" w:color="E2E3E4"/>
              <w:right w:val="single" w:sz="8" w:color="E2E3E4"/>
            </w:tcBorders>
            <w:shd w:val="clear" w:color="auto" w:fill="E2E3E4"/>
          </w:tcPr>
          <w:p>
            <w:pPr>
              <w:spacing w:after="0"/>
              <w:rPr>
                <w:sz w:val="8"/>
                <w:szCs w:val="8"/>
                <w:color w:val="auto"/>
              </w:rPr>
            </w:pPr>
          </w:p>
        </w:tc>
        <w:tc>
          <w:tcPr>
            <w:tcW w:w="680" w:type="dxa"/>
            <w:vAlign w:val="bottom"/>
            <w:tcBorders>
              <w:bottom w:val="single" w:sz="8" w:color="E2E3E4"/>
              <w:right w:val="single" w:sz="8" w:color="E2E3E4"/>
            </w:tcBorders>
            <w:shd w:val="clear" w:color="auto" w:fill="E2E3E4"/>
          </w:tcPr>
          <w:p>
            <w:pPr>
              <w:spacing w:after="0"/>
              <w:rPr>
                <w:sz w:val="8"/>
                <w:szCs w:val="8"/>
                <w:color w:val="auto"/>
              </w:rPr>
            </w:pPr>
          </w:p>
        </w:tc>
        <w:tc>
          <w:tcPr>
            <w:tcW w:w="2260" w:type="dxa"/>
            <w:vAlign w:val="bottom"/>
            <w:tcBorders>
              <w:bottom w:val="single" w:sz="8" w:color="E2E3E4"/>
              <w:right w:val="single" w:sz="8" w:color="E2E3E4"/>
            </w:tcBorders>
            <w:vMerge w:val="continue"/>
            <w:shd w:val="clear" w:color="auto" w:fill="E2E3E4"/>
          </w:tcPr>
          <w:p>
            <w:pPr>
              <w:spacing w:after="0"/>
              <w:rPr>
                <w:sz w:val="8"/>
                <w:szCs w:val="8"/>
                <w:color w:val="auto"/>
              </w:rPr>
            </w:pPr>
          </w:p>
        </w:tc>
        <w:tc>
          <w:tcPr>
            <w:tcW w:w="1120" w:type="dxa"/>
            <w:vAlign w:val="bottom"/>
            <w:tcBorders>
              <w:bottom w:val="single" w:sz="8" w:color="E2E3E4"/>
              <w:right w:val="single" w:sz="8" w:color="E2E3E4"/>
            </w:tcBorders>
            <w:shd w:val="clear" w:color="auto" w:fill="E2E3E4"/>
          </w:tcPr>
          <w:p>
            <w:pPr>
              <w:spacing w:after="0"/>
              <w:rPr>
                <w:sz w:val="8"/>
                <w:szCs w:val="8"/>
                <w:color w:val="auto"/>
              </w:rPr>
            </w:pPr>
          </w:p>
        </w:tc>
        <w:tc>
          <w:tcPr>
            <w:tcW w:w="1120" w:type="dxa"/>
            <w:vAlign w:val="bottom"/>
            <w:tcBorders>
              <w:bottom w:val="single" w:sz="8" w:color="E2E3E4"/>
              <w:right w:val="single" w:sz="8" w:color="E2E3E4"/>
            </w:tcBorders>
            <w:shd w:val="clear" w:color="auto" w:fill="E2E3E4"/>
          </w:tcPr>
          <w:p>
            <w:pPr>
              <w:spacing w:after="0"/>
              <w:rPr>
                <w:sz w:val="8"/>
                <w:szCs w:val="8"/>
                <w:color w:val="auto"/>
              </w:rPr>
            </w:pPr>
          </w:p>
        </w:tc>
        <w:tc>
          <w:tcPr>
            <w:tcW w:w="1140" w:type="dxa"/>
            <w:vAlign w:val="bottom"/>
            <w:tcBorders>
              <w:bottom w:val="single" w:sz="8" w:color="E2E3E4"/>
              <w:right w:val="single" w:sz="8" w:color="E2E3E4"/>
            </w:tcBorders>
            <w:shd w:val="clear" w:color="auto" w:fill="E2E3E4"/>
          </w:tcPr>
          <w:p>
            <w:pPr>
              <w:spacing w:after="0"/>
              <w:rPr>
                <w:sz w:val="8"/>
                <w:szCs w:val="8"/>
                <w:color w:val="auto"/>
              </w:rPr>
            </w:pPr>
          </w:p>
        </w:tc>
        <w:tc>
          <w:tcPr>
            <w:tcW w:w="3780" w:type="dxa"/>
            <w:vAlign w:val="bottom"/>
            <w:tcBorders>
              <w:bottom w:val="single" w:sz="8" w:color="E2E3E4"/>
            </w:tcBorders>
            <w:vMerge w:val="continue"/>
            <w:shd w:val="clear" w:color="auto" w:fill="E2E3E4"/>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14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Jennifer K. Mann</w:t>
            </w:r>
          </w:p>
        </w:tc>
        <w:tc>
          <w:tcPr>
            <w:tcW w:w="68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w w:val="96"/>
              </w:rPr>
              <w:t>54</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Executive Vice President of Human</w:t>
            </w:r>
          </w:p>
        </w:tc>
        <w:tc>
          <w:tcPr>
            <w:tcW w:w="112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2018</w:t>
            </w:r>
          </w:p>
        </w:tc>
        <w:tc>
          <w:tcPr>
            <w:tcW w:w="112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w w:val="97"/>
              </w:rPr>
              <w:t>Yes</w:t>
            </w:r>
          </w:p>
        </w:tc>
        <w:tc>
          <w:tcPr>
            <w:tcW w:w="114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0</w:t>
            </w:r>
          </w:p>
        </w:tc>
        <w:tc>
          <w:tcPr>
            <w:tcW w:w="3780" w:type="dxa"/>
            <w:vAlign w:val="bottom"/>
          </w:tcPr>
          <w:p>
            <w:pPr>
              <w:jc w:val="center"/>
              <w:spacing w:after="0"/>
              <w:rPr>
                <w:sz w:val="20"/>
                <w:szCs w:val="20"/>
                <w:color w:val="auto"/>
              </w:rPr>
            </w:pPr>
            <w:r>
              <w:rPr>
                <w:rFonts w:ascii="Arial" w:cs="Arial" w:eastAsia="Arial" w:hAnsi="Arial"/>
                <w:sz w:val="13"/>
                <w:szCs w:val="13"/>
                <w:color w:val="474C55"/>
              </w:rPr>
              <w:t>Executive</w:t>
            </w:r>
          </w:p>
        </w:tc>
        <w:tc>
          <w:tcPr>
            <w:tcW w:w="0" w:type="dxa"/>
            <w:vAlign w:val="bottom"/>
          </w:tcPr>
          <w:p>
            <w:pPr>
              <w:spacing w:after="0"/>
              <w:rPr>
                <w:sz w:val="1"/>
                <w:szCs w:val="1"/>
                <w:color w:val="auto"/>
              </w:rPr>
            </w:pPr>
          </w:p>
        </w:tc>
      </w:tr>
      <w:tr>
        <w:trPr>
          <w:trHeight w:val="100"/>
        </w:trPr>
        <w:tc>
          <w:tcPr>
            <w:tcW w:w="1140" w:type="dxa"/>
            <w:vAlign w:val="bottom"/>
            <w:tcBorders>
              <w:right w:val="single" w:sz="8" w:color="E5E6E6"/>
            </w:tcBorders>
            <w:vMerge w:val="continue"/>
          </w:tcPr>
          <w:p>
            <w:pPr>
              <w:spacing w:after="0"/>
              <w:rPr>
                <w:sz w:val="8"/>
                <w:szCs w:val="8"/>
                <w:color w:val="auto"/>
              </w:rPr>
            </w:pPr>
          </w:p>
        </w:tc>
        <w:tc>
          <w:tcPr>
            <w:tcW w:w="680" w:type="dxa"/>
            <w:vAlign w:val="bottom"/>
            <w:tcBorders>
              <w:right w:val="single" w:sz="8" w:color="E5E6E6"/>
            </w:tcBorders>
            <w:vMerge w:val="continue"/>
          </w:tcPr>
          <w:p>
            <w:pPr>
              <w:spacing w:after="0"/>
              <w:rPr>
                <w:sz w:val="8"/>
                <w:szCs w:val="8"/>
                <w:color w:val="auto"/>
              </w:rPr>
            </w:pPr>
          </w:p>
        </w:tc>
        <w:tc>
          <w:tcPr>
            <w:tcW w:w="2260" w:type="dxa"/>
            <w:vAlign w:val="bottom"/>
            <w:tcBorders>
              <w:right w:val="single" w:sz="8" w:color="E5E6E6"/>
            </w:tcBorders>
            <w:vMerge w:val="restart"/>
          </w:tcPr>
          <w:p>
            <w:pPr>
              <w:jc w:val="center"/>
              <w:spacing w:after="0"/>
              <w:rPr>
                <w:sz w:val="20"/>
                <w:szCs w:val="20"/>
                <w:color w:val="auto"/>
              </w:rPr>
            </w:pPr>
            <w:r>
              <w:rPr>
                <w:rFonts w:ascii="Arial" w:cs="Arial" w:eastAsia="Arial" w:hAnsi="Arial"/>
                <w:sz w:val="13"/>
                <w:szCs w:val="13"/>
                <w:color w:val="474C55"/>
              </w:rPr>
              <w:t>Resources, SAS</w:t>
            </w:r>
          </w:p>
        </w:tc>
        <w:tc>
          <w:tcPr>
            <w:tcW w:w="1120" w:type="dxa"/>
            <w:vAlign w:val="bottom"/>
            <w:tcBorders>
              <w:right w:val="single" w:sz="8" w:color="E5E6E6"/>
            </w:tcBorders>
            <w:vMerge w:val="continue"/>
          </w:tcPr>
          <w:p>
            <w:pPr>
              <w:spacing w:after="0"/>
              <w:rPr>
                <w:sz w:val="8"/>
                <w:szCs w:val="8"/>
                <w:color w:val="auto"/>
              </w:rPr>
            </w:pPr>
          </w:p>
        </w:tc>
        <w:tc>
          <w:tcPr>
            <w:tcW w:w="1120" w:type="dxa"/>
            <w:vAlign w:val="bottom"/>
            <w:tcBorders>
              <w:right w:val="single" w:sz="8" w:color="E5E6E6"/>
            </w:tcBorders>
            <w:vMerge w:val="continue"/>
          </w:tcPr>
          <w:p>
            <w:pPr>
              <w:spacing w:after="0"/>
              <w:rPr>
                <w:sz w:val="8"/>
                <w:szCs w:val="8"/>
                <w:color w:val="auto"/>
              </w:rPr>
            </w:pPr>
          </w:p>
        </w:tc>
        <w:tc>
          <w:tcPr>
            <w:tcW w:w="1140" w:type="dxa"/>
            <w:vAlign w:val="bottom"/>
            <w:tcBorders>
              <w:right w:val="single" w:sz="8" w:color="E5E6E6"/>
            </w:tcBorders>
            <w:vMerge w:val="continue"/>
          </w:tcPr>
          <w:p>
            <w:pPr>
              <w:spacing w:after="0"/>
              <w:rPr>
                <w:sz w:val="8"/>
                <w:szCs w:val="8"/>
                <w:color w:val="auto"/>
              </w:rPr>
            </w:pPr>
          </w:p>
        </w:tc>
        <w:tc>
          <w:tcPr>
            <w:tcW w:w="3780" w:type="dxa"/>
            <w:vAlign w:val="bottom"/>
            <w:vMerge w:val="restart"/>
          </w:tcPr>
          <w:p>
            <w:pPr>
              <w:jc w:val="center"/>
              <w:spacing w:after="0"/>
              <w:rPr>
                <w:sz w:val="20"/>
                <w:szCs w:val="20"/>
                <w:color w:val="auto"/>
              </w:rPr>
            </w:pPr>
            <w:r>
              <w:rPr>
                <w:rFonts w:ascii="Arial" w:cs="Arial" w:eastAsia="Arial" w:hAnsi="Arial"/>
                <w:sz w:val="13"/>
                <w:szCs w:val="13"/>
                <w:color w:val="474C55"/>
              </w:rPr>
              <w:t>Talent and Compensation ( C )</w:t>
            </w:r>
          </w:p>
        </w:tc>
        <w:tc>
          <w:tcPr>
            <w:tcW w:w="0" w:type="dxa"/>
            <w:vAlign w:val="bottom"/>
          </w:tcPr>
          <w:p>
            <w:pPr>
              <w:spacing w:after="0"/>
              <w:rPr>
                <w:sz w:val="1"/>
                <w:szCs w:val="1"/>
                <w:color w:val="auto"/>
              </w:rPr>
            </w:pPr>
          </w:p>
        </w:tc>
      </w:tr>
      <w:tr>
        <w:trPr>
          <w:trHeight w:val="121"/>
        </w:trPr>
        <w:tc>
          <w:tcPr>
            <w:tcW w:w="1140" w:type="dxa"/>
            <w:vAlign w:val="bottom"/>
            <w:tcBorders>
              <w:right w:val="single" w:sz="8" w:color="E5E6E6"/>
            </w:tcBorders>
          </w:tcPr>
          <w:p>
            <w:pPr>
              <w:spacing w:after="0"/>
              <w:rPr>
                <w:sz w:val="10"/>
                <w:szCs w:val="10"/>
                <w:color w:val="auto"/>
              </w:rPr>
            </w:pPr>
          </w:p>
        </w:tc>
        <w:tc>
          <w:tcPr>
            <w:tcW w:w="680" w:type="dxa"/>
            <w:vAlign w:val="bottom"/>
            <w:tcBorders>
              <w:right w:val="single" w:sz="8" w:color="E5E6E6"/>
            </w:tcBorders>
          </w:tcPr>
          <w:p>
            <w:pPr>
              <w:spacing w:after="0"/>
              <w:rPr>
                <w:sz w:val="10"/>
                <w:szCs w:val="10"/>
                <w:color w:val="auto"/>
              </w:rPr>
            </w:pPr>
          </w:p>
        </w:tc>
        <w:tc>
          <w:tcPr>
            <w:tcW w:w="2260" w:type="dxa"/>
            <w:vAlign w:val="bottom"/>
            <w:tcBorders>
              <w:right w:val="single" w:sz="8" w:color="E5E6E6"/>
            </w:tcBorders>
            <w:vMerge w:val="continue"/>
          </w:tcPr>
          <w:p>
            <w:pPr>
              <w:spacing w:after="0"/>
              <w:rPr>
                <w:sz w:val="10"/>
                <w:szCs w:val="10"/>
                <w:color w:val="auto"/>
              </w:rPr>
            </w:pPr>
          </w:p>
        </w:tc>
        <w:tc>
          <w:tcPr>
            <w:tcW w:w="1120" w:type="dxa"/>
            <w:vAlign w:val="bottom"/>
            <w:tcBorders>
              <w:right w:val="single" w:sz="8" w:color="E5E6E6"/>
            </w:tcBorders>
          </w:tcPr>
          <w:p>
            <w:pPr>
              <w:spacing w:after="0"/>
              <w:rPr>
                <w:sz w:val="10"/>
                <w:szCs w:val="10"/>
                <w:color w:val="auto"/>
              </w:rPr>
            </w:pPr>
          </w:p>
        </w:tc>
        <w:tc>
          <w:tcPr>
            <w:tcW w:w="1120" w:type="dxa"/>
            <w:vAlign w:val="bottom"/>
            <w:tcBorders>
              <w:right w:val="single" w:sz="8" w:color="E5E6E6"/>
            </w:tcBorders>
          </w:tcPr>
          <w:p>
            <w:pPr>
              <w:spacing w:after="0"/>
              <w:rPr>
                <w:sz w:val="10"/>
                <w:szCs w:val="10"/>
                <w:color w:val="auto"/>
              </w:rPr>
            </w:pPr>
          </w:p>
        </w:tc>
        <w:tc>
          <w:tcPr>
            <w:tcW w:w="1140" w:type="dxa"/>
            <w:vAlign w:val="bottom"/>
            <w:tcBorders>
              <w:right w:val="single" w:sz="8" w:color="E5E6E6"/>
            </w:tcBorders>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140" w:type="dxa"/>
            <w:vAlign w:val="bottom"/>
            <w:tcBorders>
              <w:right w:val="single" w:sz="8" w:color="E2E3E4"/>
            </w:tcBorders>
            <w:shd w:val="clear" w:color="auto" w:fill="E2E3E4"/>
          </w:tcPr>
          <w:p>
            <w:pPr>
              <w:spacing w:after="0"/>
              <w:rPr>
                <w:sz w:val="17"/>
                <w:szCs w:val="17"/>
                <w:color w:val="auto"/>
              </w:rPr>
            </w:pPr>
          </w:p>
        </w:tc>
        <w:tc>
          <w:tcPr>
            <w:tcW w:w="680" w:type="dxa"/>
            <w:vAlign w:val="bottom"/>
            <w:tcBorders>
              <w:right w:val="single" w:sz="8" w:color="E2E3E4"/>
            </w:tcBorders>
            <w:shd w:val="clear" w:color="auto" w:fill="E2E3E4"/>
          </w:tcPr>
          <w:p>
            <w:pPr>
              <w:spacing w:after="0"/>
              <w:rPr>
                <w:sz w:val="17"/>
                <w:szCs w:val="17"/>
                <w:color w:val="auto"/>
              </w:rPr>
            </w:pPr>
          </w:p>
        </w:tc>
        <w:tc>
          <w:tcPr>
            <w:tcW w:w="2260" w:type="dxa"/>
            <w:vAlign w:val="bottom"/>
            <w:tcBorders>
              <w:right w:val="single" w:sz="8" w:color="E2E3E4"/>
            </w:tcBorders>
            <w:shd w:val="clear" w:color="auto" w:fill="E2E3E4"/>
          </w:tcPr>
          <w:p>
            <w:pPr>
              <w:spacing w:after="0"/>
              <w:rPr>
                <w:sz w:val="17"/>
                <w:szCs w:val="17"/>
                <w:color w:val="auto"/>
              </w:rPr>
            </w:pPr>
          </w:p>
        </w:tc>
        <w:tc>
          <w:tcPr>
            <w:tcW w:w="1120" w:type="dxa"/>
            <w:vAlign w:val="bottom"/>
            <w:tcBorders>
              <w:right w:val="single" w:sz="8" w:color="E2E3E4"/>
            </w:tcBorders>
            <w:shd w:val="clear" w:color="auto" w:fill="E2E3E4"/>
          </w:tcPr>
          <w:p>
            <w:pPr>
              <w:spacing w:after="0"/>
              <w:rPr>
                <w:sz w:val="17"/>
                <w:szCs w:val="17"/>
                <w:color w:val="auto"/>
              </w:rPr>
            </w:pPr>
          </w:p>
        </w:tc>
        <w:tc>
          <w:tcPr>
            <w:tcW w:w="1120" w:type="dxa"/>
            <w:vAlign w:val="bottom"/>
            <w:tcBorders>
              <w:right w:val="single" w:sz="8" w:color="E2E3E4"/>
            </w:tcBorders>
            <w:shd w:val="clear" w:color="auto" w:fill="E2E3E4"/>
          </w:tcPr>
          <w:p>
            <w:pPr>
              <w:spacing w:after="0"/>
              <w:rPr>
                <w:sz w:val="17"/>
                <w:szCs w:val="17"/>
                <w:color w:val="auto"/>
              </w:rPr>
            </w:pPr>
          </w:p>
        </w:tc>
        <w:tc>
          <w:tcPr>
            <w:tcW w:w="1140" w:type="dxa"/>
            <w:vAlign w:val="bottom"/>
            <w:tcBorders>
              <w:right w:val="single" w:sz="8" w:color="E2E3E4"/>
            </w:tcBorders>
            <w:shd w:val="clear" w:color="auto" w:fill="E2E3E4"/>
          </w:tcPr>
          <w:p>
            <w:pPr>
              <w:spacing w:after="0"/>
              <w:rPr>
                <w:sz w:val="17"/>
                <w:szCs w:val="17"/>
                <w:color w:val="auto"/>
              </w:rPr>
            </w:pPr>
          </w:p>
        </w:tc>
        <w:tc>
          <w:tcPr>
            <w:tcW w:w="3780" w:type="dxa"/>
            <w:vAlign w:val="bottom"/>
            <w:shd w:val="clear" w:color="auto" w:fill="E2E3E4"/>
          </w:tcPr>
          <w:p>
            <w:pPr>
              <w:jc w:val="center"/>
              <w:spacing w:after="0"/>
              <w:rPr>
                <w:sz w:val="20"/>
                <w:szCs w:val="20"/>
                <w:color w:val="auto"/>
              </w:rPr>
            </w:pPr>
            <w:r>
              <w:rPr>
                <w:rFonts w:ascii="Arial" w:cs="Arial" w:eastAsia="Arial" w:hAnsi="Arial"/>
                <w:sz w:val="13"/>
                <w:szCs w:val="13"/>
                <w:color w:val="474C55"/>
              </w:rPr>
              <w:t>Lead Director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3"/>
                <w:szCs w:val="13"/>
                <w:color w:val="474C55"/>
              </w:rPr>
              <w:t>Thomas A.</w:t>
            </w:r>
          </w:p>
        </w:tc>
        <w:tc>
          <w:tcPr>
            <w:tcW w:w="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6"/>
              </w:rPr>
              <w:t>73</w:t>
            </w:r>
          </w:p>
        </w:tc>
        <w:tc>
          <w:tcPr>
            <w:tcW w:w="226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3"/>
                <w:szCs w:val="13"/>
                <w:color w:val="474C55"/>
              </w:rPr>
              <w:t>Former Executive Vice President,</w:t>
            </w: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2012</w:t>
            </w: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7"/>
              </w:rPr>
              <w:t>Yes</w:t>
            </w:r>
          </w:p>
        </w:tc>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0</w:t>
            </w:r>
          </w:p>
        </w:tc>
        <w:tc>
          <w:tcPr>
            <w:tcW w:w="3780" w:type="dxa"/>
            <w:vAlign w:val="bottom"/>
            <w:shd w:val="clear" w:color="auto" w:fill="E2E3E4"/>
          </w:tcPr>
          <w:p>
            <w:pPr>
              <w:jc w:val="center"/>
              <w:spacing w:after="0"/>
              <w:rPr>
                <w:sz w:val="20"/>
                <w:szCs w:val="20"/>
                <w:color w:val="auto"/>
              </w:rPr>
            </w:pPr>
            <w:r>
              <w:rPr>
                <w:rFonts w:ascii="Arial" w:cs="Arial" w:eastAsia="Arial" w:hAnsi="Arial"/>
                <w:sz w:val="13"/>
                <w:szCs w:val="13"/>
                <w:color w:val="474C55"/>
              </w:rPr>
              <w:t>Audit</w:t>
            </w:r>
          </w:p>
        </w:tc>
        <w:tc>
          <w:tcPr>
            <w:tcW w:w="0" w:type="dxa"/>
            <w:vAlign w:val="bottom"/>
          </w:tcPr>
          <w:p>
            <w:pPr>
              <w:spacing w:after="0"/>
              <w:rPr>
                <w:sz w:val="1"/>
                <w:szCs w:val="1"/>
                <w:color w:val="auto"/>
              </w:rPr>
            </w:pPr>
          </w:p>
        </w:tc>
      </w:tr>
      <w:tr>
        <w:trPr>
          <w:trHeight w:val="100"/>
        </w:trPr>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Richlovsky</w:t>
            </w:r>
          </w:p>
        </w:tc>
        <w:tc>
          <w:tcPr>
            <w:tcW w:w="680" w:type="dxa"/>
            <w:vAlign w:val="bottom"/>
            <w:tcBorders>
              <w:right w:val="single" w:sz="8" w:color="E2E3E4"/>
            </w:tcBorders>
            <w:vMerge w:val="continue"/>
            <w:shd w:val="clear" w:color="auto" w:fill="E2E3E4"/>
          </w:tcPr>
          <w:p>
            <w:pPr>
              <w:spacing w:after="0"/>
              <w:rPr>
                <w:sz w:val="8"/>
                <w:szCs w:val="8"/>
                <w:color w:val="auto"/>
              </w:rPr>
            </w:pPr>
          </w:p>
        </w:tc>
        <w:tc>
          <w:tcPr>
            <w:tcW w:w="226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PNC Financial Services Group</w:t>
            </w:r>
          </w:p>
        </w:tc>
        <w:tc>
          <w:tcPr>
            <w:tcW w:w="1120" w:type="dxa"/>
            <w:vAlign w:val="bottom"/>
            <w:tcBorders>
              <w:right w:val="single" w:sz="8" w:color="E2E3E4"/>
            </w:tcBorders>
            <w:vMerge w:val="continue"/>
            <w:shd w:val="clear" w:color="auto" w:fill="E2E3E4"/>
          </w:tcPr>
          <w:p>
            <w:pPr>
              <w:spacing w:after="0"/>
              <w:rPr>
                <w:sz w:val="8"/>
                <w:szCs w:val="8"/>
                <w:color w:val="auto"/>
              </w:rPr>
            </w:pPr>
          </w:p>
        </w:tc>
        <w:tc>
          <w:tcPr>
            <w:tcW w:w="1120" w:type="dxa"/>
            <w:vAlign w:val="bottom"/>
            <w:tcBorders>
              <w:right w:val="single" w:sz="8" w:color="E2E3E4"/>
            </w:tcBorders>
            <w:vMerge w:val="continue"/>
            <w:shd w:val="clear" w:color="auto" w:fill="E2E3E4"/>
          </w:tcPr>
          <w:p>
            <w:pPr>
              <w:spacing w:after="0"/>
              <w:rPr>
                <w:sz w:val="8"/>
                <w:szCs w:val="8"/>
                <w:color w:val="auto"/>
              </w:rPr>
            </w:pPr>
          </w:p>
        </w:tc>
        <w:tc>
          <w:tcPr>
            <w:tcW w:w="1140" w:type="dxa"/>
            <w:vAlign w:val="bottom"/>
            <w:tcBorders>
              <w:right w:val="single" w:sz="8" w:color="E2E3E4"/>
            </w:tcBorders>
            <w:vMerge w:val="continue"/>
            <w:shd w:val="clear" w:color="auto" w:fill="E2E3E4"/>
          </w:tcPr>
          <w:p>
            <w:pPr>
              <w:spacing w:after="0"/>
              <w:rPr>
                <w:sz w:val="8"/>
                <w:szCs w:val="8"/>
                <w:color w:val="auto"/>
              </w:rPr>
            </w:pPr>
          </w:p>
        </w:tc>
        <w:tc>
          <w:tcPr>
            <w:tcW w:w="3780" w:type="dxa"/>
            <w:vAlign w:val="bottom"/>
            <w:vMerge w:val="restart"/>
            <w:shd w:val="clear" w:color="auto" w:fill="E2E3E4"/>
          </w:tcPr>
          <w:p>
            <w:pPr>
              <w:jc w:val="center"/>
              <w:spacing w:after="0"/>
              <w:rPr>
                <w:sz w:val="20"/>
                <w:szCs w:val="20"/>
                <w:color w:val="auto"/>
              </w:rPr>
            </w:pPr>
            <w:r>
              <w:rPr>
                <w:rFonts w:ascii="Arial" w:cs="Arial" w:eastAsia="Arial" w:hAnsi="Arial"/>
                <w:sz w:val="13"/>
                <w:szCs w:val="13"/>
                <w:color w:val="474C55"/>
              </w:rPr>
              <w:t>Executive</w:t>
            </w:r>
          </w:p>
        </w:tc>
        <w:tc>
          <w:tcPr>
            <w:tcW w:w="0" w:type="dxa"/>
            <w:vAlign w:val="bottom"/>
          </w:tcPr>
          <w:p>
            <w:pPr>
              <w:spacing w:after="0"/>
              <w:rPr>
                <w:sz w:val="1"/>
                <w:szCs w:val="1"/>
                <w:color w:val="auto"/>
              </w:rPr>
            </w:pPr>
          </w:p>
        </w:tc>
      </w:tr>
      <w:tr>
        <w:trPr>
          <w:trHeight w:val="51"/>
        </w:trPr>
        <w:tc>
          <w:tcPr>
            <w:tcW w:w="1140" w:type="dxa"/>
            <w:vAlign w:val="bottom"/>
            <w:tcBorders>
              <w:right w:val="single" w:sz="8" w:color="E2E3E4"/>
            </w:tcBorders>
            <w:vMerge w:val="continue"/>
            <w:shd w:val="clear" w:color="auto" w:fill="E2E3E4"/>
          </w:tcPr>
          <w:p>
            <w:pPr>
              <w:spacing w:after="0"/>
              <w:rPr>
                <w:sz w:val="4"/>
                <w:szCs w:val="4"/>
                <w:color w:val="auto"/>
              </w:rPr>
            </w:pPr>
          </w:p>
        </w:tc>
        <w:tc>
          <w:tcPr>
            <w:tcW w:w="680" w:type="dxa"/>
            <w:vAlign w:val="bottom"/>
            <w:tcBorders>
              <w:right w:val="single" w:sz="8" w:color="E2E3E4"/>
            </w:tcBorders>
            <w:shd w:val="clear" w:color="auto" w:fill="E2E3E4"/>
          </w:tcPr>
          <w:p>
            <w:pPr>
              <w:spacing w:after="0"/>
              <w:rPr>
                <w:sz w:val="4"/>
                <w:szCs w:val="4"/>
                <w:color w:val="auto"/>
              </w:rPr>
            </w:pPr>
          </w:p>
        </w:tc>
        <w:tc>
          <w:tcPr>
            <w:tcW w:w="2260" w:type="dxa"/>
            <w:vAlign w:val="bottom"/>
            <w:tcBorders>
              <w:right w:val="single" w:sz="8" w:color="E2E3E4"/>
            </w:tcBorders>
            <w:vMerge w:val="continue"/>
            <w:shd w:val="clear" w:color="auto" w:fill="E2E3E4"/>
          </w:tcPr>
          <w:p>
            <w:pPr>
              <w:spacing w:after="0"/>
              <w:rPr>
                <w:sz w:val="4"/>
                <w:szCs w:val="4"/>
                <w:color w:val="auto"/>
              </w:rPr>
            </w:pPr>
          </w:p>
        </w:tc>
        <w:tc>
          <w:tcPr>
            <w:tcW w:w="1120" w:type="dxa"/>
            <w:vAlign w:val="bottom"/>
            <w:tcBorders>
              <w:right w:val="single" w:sz="8" w:color="E2E3E4"/>
            </w:tcBorders>
            <w:shd w:val="clear" w:color="auto" w:fill="E2E3E4"/>
          </w:tcPr>
          <w:p>
            <w:pPr>
              <w:spacing w:after="0"/>
              <w:rPr>
                <w:sz w:val="4"/>
                <w:szCs w:val="4"/>
                <w:color w:val="auto"/>
              </w:rPr>
            </w:pPr>
          </w:p>
        </w:tc>
        <w:tc>
          <w:tcPr>
            <w:tcW w:w="1120" w:type="dxa"/>
            <w:vAlign w:val="bottom"/>
            <w:tcBorders>
              <w:right w:val="single" w:sz="8" w:color="E2E3E4"/>
            </w:tcBorders>
            <w:shd w:val="clear" w:color="auto" w:fill="E2E3E4"/>
          </w:tcPr>
          <w:p>
            <w:pPr>
              <w:spacing w:after="0"/>
              <w:rPr>
                <w:sz w:val="4"/>
                <w:szCs w:val="4"/>
                <w:color w:val="auto"/>
              </w:rPr>
            </w:pPr>
          </w:p>
        </w:tc>
        <w:tc>
          <w:tcPr>
            <w:tcW w:w="1140" w:type="dxa"/>
            <w:vAlign w:val="bottom"/>
            <w:tcBorders>
              <w:right w:val="single" w:sz="8" w:color="E2E3E4"/>
            </w:tcBorders>
            <w:shd w:val="clear" w:color="auto" w:fill="E2E3E4"/>
          </w:tcPr>
          <w:p>
            <w:pPr>
              <w:spacing w:after="0"/>
              <w:rPr>
                <w:sz w:val="4"/>
                <w:szCs w:val="4"/>
                <w:color w:val="auto"/>
              </w:rPr>
            </w:pPr>
          </w:p>
        </w:tc>
        <w:tc>
          <w:tcPr>
            <w:tcW w:w="3780" w:type="dxa"/>
            <w:vAlign w:val="bottom"/>
            <w:vMerge w:val="continue"/>
            <w:shd w:val="clear" w:color="auto" w:fill="E2E3E4"/>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140" w:type="dxa"/>
            <w:vAlign w:val="bottom"/>
            <w:tcBorders>
              <w:bottom w:val="single" w:sz="8" w:color="E2E3E4"/>
              <w:right w:val="single" w:sz="8" w:color="E2E3E4"/>
            </w:tcBorders>
            <w:shd w:val="clear" w:color="auto" w:fill="E2E3E4"/>
          </w:tcPr>
          <w:p>
            <w:pPr>
              <w:spacing w:after="0"/>
              <w:rPr>
                <w:sz w:val="17"/>
                <w:szCs w:val="17"/>
                <w:color w:val="auto"/>
              </w:rPr>
            </w:pPr>
          </w:p>
        </w:tc>
        <w:tc>
          <w:tcPr>
            <w:tcW w:w="680" w:type="dxa"/>
            <w:vAlign w:val="bottom"/>
            <w:tcBorders>
              <w:bottom w:val="single" w:sz="8" w:color="E2E3E4"/>
              <w:right w:val="single" w:sz="8" w:color="E2E3E4"/>
            </w:tcBorders>
            <w:shd w:val="clear" w:color="auto" w:fill="E2E3E4"/>
          </w:tcPr>
          <w:p>
            <w:pPr>
              <w:spacing w:after="0"/>
              <w:rPr>
                <w:sz w:val="17"/>
                <w:szCs w:val="17"/>
                <w:color w:val="auto"/>
              </w:rPr>
            </w:pPr>
          </w:p>
        </w:tc>
        <w:tc>
          <w:tcPr>
            <w:tcW w:w="2260" w:type="dxa"/>
            <w:vAlign w:val="bottom"/>
            <w:tcBorders>
              <w:bottom w:val="single" w:sz="8" w:color="E2E3E4"/>
              <w:right w:val="single" w:sz="8" w:color="E2E3E4"/>
            </w:tcBorders>
            <w:shd w:val="clear" w:color="auto" w:fill="E2E3E4"/>
          </w:tcPr>
          <w:p>
            <w:pPr>
              <w:spacing w:after="0"/>
              <w:rPr>
                <w:sz w:val="17"/>
                <w:szCs w:val="17"/>
                <w:color w:val="auto"/>
              </w:rPr>
            </w:pPr>
          </w:p>
        </w:tc>
        <w:tc>
          <w:tcPr>
            <w:tcW w:w="1120" w:type="dxa"/>
            <w:vAlign w:val="bottom"/>
            <w:tcBorders>
              <w:bottom w:val="single" w:sz="8" w:color="E2E3E4"/>
              <w:right w:val="single" w:sz="8" w:color="E2E3E4"/>
            </w:tcBorders>
            <w:shd w:val="clear" w:color="auto" w:fill="E2E3E4"/>
          </w:tcPr>
          <w:p>
            <w:pPr>
              <w:spacing w:after="0"/>
              <w:rPr>
                <w:sz w:val="17"/>
                <w:szCs w:val="17"/>
                <w:color w:val="auto"/>
              </w:rPr>
            </w:pPr>
          </w:p>
        </w:tc>
        <w:tc>
          <w:tcPr>
            <w:tcW w:w="1120" w:type="dxa"/>
            <w:vAlign w:val="bottom"/>
            <w:tcBorders>
              <w:bottom w:val="single" w:sz="8" w:color="E2E3E4"/>
              <w:right w:val="single" w:sz="8" w:color="E2E3E4"/>
            </w:tcBorders>
            <w:shd w:val="clear" w:color="auto" w:fill="E2E3E4"/>
          </w:tcPr>
          <w:p>
            <w:pPr>
              <w:spacing w:after="0"/>
              <w:rPr>
                <w:sz w:val="17"/>
                <w:szCs w:val="17"/>
                <w:color w:val="auto"/>
              </w:rPr>
            </w:pPr>
          </w:p>
        </w:tc>
        <w:tc>
          <w:tcPr>
            <w:tcW w:w="1140" w:type="dxa"/>
            <w:vAlign w:val="bottom"/>
            <w:tcBorders>
              <w:bottom w:val="single" w:sz="8" w:color="E2E3E4"/>
              <w:right w:val="single" w:sz="8" w:color="E2E3E4"/>
            </w:tcBorders>
            <w:shd w:val="clear" w:color="auto" w:fill="E2E3E4"/>
          </w:tcPr>
          <w:p>
            <w:pPr>
              <w:spacing w:after="0"/>
              <w:rPr>
                <w:sz w:val="17"/>
                <w:szCs w:val="17"/>
                <w:color w:val="auto"/>
              </w:rPr>
            </w:pPr>
          </w:p>
        </w:tc>
        <w:tc>
          <w:tcPr>
            <w:tcW w:w="3780" w:type="dxa"/>
            <w:vAlign w:val="bottom"/>
            <w:tcBorders>
              <w:bottom w:val="single" w:sz="8" w:color="E2E3E4"/>
            </w:tcBorders>
            <w:shd w:val="clear" w:color="auto" w:fill="E2E3E4"/>
          </w:tcPr>
          <w:p>
            <w:pPr>
              <w:jc w:val="center"/>
              <w:spacing w:after="0"/>
              <w:rPr>
                <w:sz w:val="20"/>
                <w:szCs w:val="20"/>
                <w:color w:val="auto"/>
              </w:rPr>
            </w:pPr>
            <w:r>
              <w:rPr>
                <w:rFonts w:ascii="Arial" w:cs="Arial" w:eastAsia="Arial" w:hAnsi="Arial"/>
                <w:sz w:val="13"/>
                <w:szCs w:val="13"/>
                <w:color w:val="474C55"/>
              </w:rPr>
              <w:t>Nominating and Corporate Governance</w:t>
            </w:r>
          </w:p>
        </w:tc>
        <w:tc>
          <w:tcPr>
            <w:tcW w:w="0" w:type="dxa"/>
            <w:vAlign w:val="bottom"/>
          </w:tcPr>
          <w:p>
            <w:pPr>
              <w:spacing w:after="0"/>
              <w:rPr>
                <w:sz w:val="1"/>
                <w:szCs w:val="1"/>
                <w:color w:val="auto"/>
              </w:rPr>
            </w:pPr>
          </w:p>
        </w:tc>
      </w:tr>
      <w:tr>
        <w:trPr>
          <w:trHeight w:val="275"/>
        </w:trPr>
        <w:tc>
          <w:tcPr>
            <w:tcW w:w="114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Tim R. Wallis</w:t>
            </w:r>
          </w:p>
        </w:tc>
        <w:tc>
          <w:tcPr>
            <w:tcW w:w="68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w w:val="96"/>
              </w:rPr>
              <w:t>73</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Former President, Wallis Printing</w:t>
            </w:r>
          </w:p>
        </w:tc>
        <w:tc>
          <w:tcPr>
            <w:tcW w:w="112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1999</w:t>
            </w:r>
          </w:p>
        </w:tc>
        <w:tc>
          <w:tcPr>
            <w:tcW w:w="112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w w:val="97"/>
              </w:rPr>
              <w:t>Yes</w:t>
            </w:r>
          </w:p>
        </w:tc>
        <w:tc>
          <w:tcPr>
            <w:tcW w:w="1140" w:type="dxa"/>
            <w:vAlign w:val="bottom"/>
            <w:tcBorders>
              <w:right w:val="single" w:sz="8" w:color="E5E6E6"/>
            </w:tcBorders>
          </w:tcPr>
          <w:p>
            <w:pPr>
              <w:jc w:val="center"/>
              <w:spacing w:after="0"/>
              <w:rPr>
                <w:sz w:val="20"/>
                <w:szCs w:val="20"/>
                <w:color w:val="auto"/>
              </w:rPr>
            </w:pPr>
            <w:r>
              <w:rPr>
                <w:rFonts w:ascii="Arial" w:cs="Arial" w:eastAsia="Arial" w:hAnsi="Arial"/>
                <w:sz w:val="13"/>
                <w:szCs w:val="13"/>
                <w:color w:val="474C55"/>
              </w:rPr>
              <w:t>0</w:t>
            </w:r>
          </w:p>
        </w:tc>
        <w:tc>
          <w:tcPr>
            <w:tcW w:w="3780" w:type="dxa"/>
            <w:vAlign w:val="bottom"/>
          </w:tcPr>
          <w:p>
            <w:pPr>
              <w:jc w:val="center"/>
              <w:spacing w:after="0"/>
              <w:rPr>
                <w:sz w:val="20"/>
                <w:szCs w:val="20"/>
                <w:color w:val="auto"/>
              </w:rPr>
            </w:pPr>
            <w:r>
              <w:rPr>
                <w:rFonts w:ascii="Arial" w:cs="Arial" w:eastAsia="Arial" w:hAnsi="Arial"/>
                <w:sz w:val="13"/>
                <w:szCs w:val="13"/>
                <w:color w:val="474C55"/>
              </w:rPr>
              <w:t>Talent and Compensation</w:t>
            </w:r>
          </w:p>
        </w:tc>
        <w:tc>
          <w:tcPr>
            <w:tcW w:w="0" w:type="dxa"/>
            <w:vAlign w:val="bottom"/>
          </w:tcPr>
          <w:p>
            <w:pPr>
              <w:spacing w:after="0"/>
              <w:rPr>
                <w:sz w:val="1"/>
                <w:szCs w:val="1"/>
                <w:color w:val="auto"/>
              </w:rPr>
            </w:pPr>
          </w:p>
        </w:tc>
      </w:tr>
      <w:tr>
        <w:trPr>
          <w:trHeight w:val="205"/>
        </w:trPr>
        <w:tc>
          <w:tcPr>
            <w:tcW w:w="1140" w:type="dxa"/>
            <w:vAlign w:val="bottom"/>
            <w:tcBorders>
              <w:right w:val="single" w:sz="8" w:color="E2E3E4"/>
            </w:tcBorders>
            <w:shd w:val="clear" w:color="auto" w:fill="E2E3E4"/>
          </w:tcPr>
          <w:p>
            <w:pPr>
              <w:spacing w:after="0"/>
              <w:rPr>
                <w:sz w:val="17"/>
                <w:szCs w:val="17"/>
                <w:color w:val="auto"/>
              </w:rPr>
            </w:pPr>
          </w:p>
        </w:tc>
        <w:tc>
          <w:tcPr>
            <w:tcW w:w="680" w:type="dxa"/>
            <w:vAlign w:val="bottom"/>
            <w:tcBorders>
              <w:right w:val="single" w:sz="8" w:color="E2E3E4"/>
            </w:tcBorders>
            <w:shd w:val="clear" w:color="auto" w:fill="E2E3E4"/>
          </w:tcPr>
          <w:p>
            <w:pPr>
              <w:spacing w:after="0"/>
              <w:rPr>
                <w:sz w:val="17"/>
                <w:szCs w:val="17"/>
                <w:color w:val="auto"/>
              </w:rPr>
            </w:pPr>
          </w:p>
        </w:tc>
        <w:tc>
          <w:tcPr>
            <w:tcW w:w="226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3"/>
                <w:szCs w:val="13"/>
                <w:color w:val="474C55"/>
              </w:rPr>
              <w:t>Former US Ambassador to Canada;</w:t>
            </w:r>
          </w:p>
        </w:tc>
        <w:tc>
          <w:tcPr>
            <w:tcW w:w="1120" w:type="dxa"/>
            <w:vAlign w:val="bottom"/>
            <w:tcBorders>
              <w:right w:val="single" w:sz="8" w:color="E2E3E4"/>
            </w:tcBorders>
            <w:shd w:val="clear" w:color="auto" w:fill="E2E3E4"/>
          </w:tcPr>
          <w:p>
            <w:pPr>
              <w:spacing w:after="0"/>
              <w:rPr>
                <w:sz w:val="17"/>
                <w:szCs w:val="17"/>
                <w:color w:val="auto"/>
              </w:rPr>
            </w:pPr>
          </w:p>
        </w:tc>
        <w:tc>
          <w:tcPr>
            <w:tcW w:w="1120" w:type="dxa"/>
            <w:vAlign w:val="bottom"/>
            <w:tcBorders>
              <w:right w:val="single" w:sz="8" w:color="E2E3E4"/>
            </w:tcBorders>
            <w:shd w:val="clear" w:color="auto" w:fill="E2E3E4"/>
          </w:tcPr>
          <w:p>
            <w:pPr>
              <w:spacing w:after="0"/>
              <w:rPr>
                <w:sz w:val="17"/>
                <w:szCs w:val="17"/>
                <w:color w:val="auto"/>
              </w:rPr>
            </w:pPr>
          </w:p>
        </w:tc>
        <w:tc>
          <w:tcPr>
            <w:tcW w:w="1140" w:type="dxa"/>
            <w:vAlign w:val="bottom"/>
            <w:tcBorders>
              <w:right w:val="single" w:sz="8" w:color="E2E3E4"/>
            </w:tcBorders>
            <w:shd w:val="clear" w:color="auto" w:fill="E2E3E4"/>
          </w:tcPr>
          <w:p>
            <w:pPr>
              <w:spacing w:after="0"/>
              <w:rPr>
                <w:sz w:val="17"/>
                <w:szCs w:val="17"/>
                <w:color w:val="auto"/>
              </w:rPr>
            </w:pPr>
          </w:p>
        </w:tc>
        <w:tc>
          <w:tcPr>
            <w:tcW w:w="3780" w:type="dxa"/>
            <w:vAlign w:val="bottom"/>
            <w:shd w:val="clear" w:color="auto" w:fill="E2E3E4"/>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14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3"/>
                <w:szCs w:val="13"/>
                <w:color w:val="474C55"/>
              </w:rPr>
              <w:t>Ambassador</w:t>
            </w:r>
          </w:p>
        </w:tc>
        <w:tc>
          <w:tcPr>
            <w:tcW w:w="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6"/>
              </w:rPr>
              <w:t>78</w:t>
            </w:r>
          </w:p>
        </w:tc>
        <w:tc>
          <w:tcPr>
            <w:tcW w:w="226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3"/>
                <w:szCs w:val="13"/>
                <w:color w:val="474C55"/>
              </w:rPr>
              <w:t>Former Speaker, SC House of</w:t>
            </w: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2016</w:t>
            </w:r>
          </w:p>
        </w:tc>
        <w:tc>
          <w:tcPr>
            <w:tcW w:w="112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w w:val="97"/>
              </w:rPr>
              <w:t>Yes</w:t>
            </w:r>
          </w:p>
        </w:tc>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0</w:t>
            </w:r>
          </w:p>
        </w:tc>
        <w:tc>
          <w:tcPr>
            <w:tcW w:w="3780" w:type="dxa"/>
            <w:vAlign w:val="bottom"/>
            <w:vMerge w:val="restart"/>
            <w:shd w:val="clear" w:color="auto" w:fill="E2E3E4"/>
          </w:tcPr>
          <w:p>
            <w:pPr>
              <w:jc w:val="center"/>
              <w:spacing w:after="0"/>
              <w:rPr>
                <w:sz w:val="20"/>
                <w:szCs w:val="20"/>
                <w:color w:val="auto"/>
              </w:rPr>
            </w:pPr>
            <w:r>
              <w:rPr>
                <w:rFonts w:ascii="Arial" w:cs="Arial" w:eastAsia="Arial" w:hAnsi="Arial"/>
                <w:sz w:val="13"/>
                <w:szCs w:val="13"/>
                <w:color w:val="474C55"/>
              </w:rPr>
              <w:t>Risk</w:t>
            </w:r>
          </w:p>
        </w:tc>
        <w:tc>
          <w:tcPr>
            <w:tcW w:w="0" w:type="dxa"/>
            <w:vAlign w:val="bottom"/>
          </w:tcPr>
          <w:p>
            <w:pPr>
              <w:spacing w:after="0"/>
              <w:rPr>
                <w:sz w:val="1"/>
                <w:szCs w:val="1"/>
                <w:color w:val="auto"/>
              </w:rPr>
            </w:pPr>
          </w:p>
        </w:tc>
      </w:tr>
      <w:tr>
        <w:trPr>
          <w:trHeight w:val="100"/>
        </w:trPr>
        <w:tc>
          <w:tcPr>
            <w:tcW w:w="114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David H. Wilkins</w:t>
            </w:r>
          </w:p>
        </w:tc>
        <w:tc>
          <w:tcPr>
            <w:tcW w:w="680" w:type="dxa"/>
            <w:vAlign w:val="bottom"/>
            <w:tcBorders>
              <w:right w:val="single" w:sz="8" w:color="E2E3E4"/>
            </w:tcBorders>
            <w:vMerge w:val="continue"/>
            <w:shd w:val="clear" w:color="auto" w:fill="E2E3E4"/>
          </w:tcPr>
          <w:p>
            <w:pPr>
              <w:spacing w:after="0"/>
              <w:rPr>
                <w:sz w:val="8"/>
                <w:szCs w:val="8"/>
                <w:color w:val="auto"/>
              </w:rPr>
            </w:pPr>
          </w:p>
        </w:tc>
        <w:tc>
          <w:tcPr>
            <w:tcW w:w="226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3"/>
                <w:szCs w:val="13"/>
                <w:color w:val="474C55"/>
              </w:rPr>
              <w:t>Representatives; Partner, Nelson</w:t>
            </w:r>
          </w:p>
        </w:tc>
        <w:tc>
          <w:tcPr>
            <w:tcW w:w="1120" w:type="dxa"/>
            <w:vAlign w:val="bottom"/>
            <w:tcBorders>
              <w:right w:val="single" w:sz="8" w:color="E2E3E4"/>
            </w:tcBorders>
            <w:vMerge w:val="continue"/>
            <w:shd w:val="clear" w:color="auto" w:fill="E2E3E4"/>
          </w:tcPr>
          <w:p>
            <w:pPr>
              <w:spacing w:after="0"/>
              <w:rPr>
                <w:sz w:val="8"/>
                <w:szCs w:val="8"/>
                <w:color w:val="auto"/>
              </w:rPr>
            </w:pPr>
          </w:p>
        </w:tc>
        <w:tc>
          <w:tcPr>
            <w:tcW w:w="1120" w:type="dxa"/>
            <w:vAlign w:val="bottom"/>
            <w:tcBorders>
              <w:right w:val="single" w:sz="8" w:color="E2E3E4"/>
            </w:tcBorders>
            <w:vMerge w:val="continue"/>
            <w:shd w:val="clear" w:color="auto" w:fill="E2E3E4"/>
          </w:tcPr>
          <w:p>
            <w:pPr>
              <w:spacing w:after="0"/>
              <w:rPr>
                <w:sz w:val="8"/>
                <w:szCs w:val="8"/>
                <w:color w:val="auto"/>
              </w:rPr>
            </w:pPr>
          </w:p>
        </w:tc>
        <w:tc>
          <w:tcPr>
            <w:tcW w:w="1140" w:type="dxa"/>
            <w:vAlign w:val="bottom"/>
            <w:tcBorders>
              <w:right w:val="single" w:sz="8" w:color="E2E3E4"/>
            </w:tcBorders>
            <w:vMerge w:val="continue"/>
            <w:shd w:val="clear" w:color="auto" w:fill="E2E3E4"/>
          </w:tcPr>
          <w:p>
            <w:pPr>
              <w:spacing w:after="0"/>
              <w:rPr>
                <w:sz w:val="8"/>
                <w:szCs w:val="8"/>
                <w:color w:val="auto"/>
              </w:rPr>
            </w:pPr>
          </w:p>
        </w:tc>
        <w:tc>
          <w:tcPr>
            <w:tcW w:w="3780" w:type="dxa"/>
            <w:vAlign w:val="bottom"/>
            <w:vMerge w:val="continue"/>
            <w:shd w:val="clear" w:color="auto" w:fill="E2E3E4"/>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1140" w:type="dxa"/>
            <w:vAlign w:val="bottom"/>
            <w:tcBorders>
              <w:right w:val="single" w:sz="8" w:color="E2E3E4"/>
            </w:tcBorders>
            <w:vMerge w:val="continue"/>
            <w:shd w:val="clear" w:color="auto" w:fill="E2E3E4"/>
          </w:tcPr>
          <w:p>
            <w:pPr>
              <w:spacing w:after="0"/>
              <w:rPr>
                <w:sz w:val="4"/>
                <w:szCs w:val="4"/>
                <w:color w:val="auto"/>
              </w:rPr>
            </w:pPr>
          </w:p>
        </w:tc>
        <w:tc>
          <w:tcPr>
            <w:tcW w:w="680" w:type="dxa"/>
            <w:vAlign w:val="bottom"/>
            <w:tcBorders>
              <w:right w:val="single" w:sz="8" w:color="E2E3E4"/>
            </w:tcBorders>
            <w:shd w:val="clear" w:color="auto" w:fill="E2E3E4"/>
          </w:tcPr>
          <w:p>
            <w:pPr>
              <w:spacing w:after="0"/>
              <w:rPr>
                <w:sz w:val="4"/>
                <w:szCs w:val="4"/>
                <w:color w:val="auto"/>
              </w:rPr>
            </w:pPr>
          </w:p>
        </w:tc>
        <w:tc>
          <w:tcPr>
            <w:tcW w:w="2260" w:type="dxa"/>
            <w:vAlign w:val="bottom"/>
            <w:tcBorders>
              <w:right w:val="single" w:sz="8" w:color="E2E3E4"/>
            </w:tcBorders>
            <w:vMerge w:val="continue"/>
            <w:shd w:val="clear" w:color="auto" w:fill="E2E3E4"/>
          </w:tcPr>
          <w:p>
            <w:pPr>
              <w:spacing w:after="0"/>
              <w:rPr>
                <w:sz w:val="4"/>
                <w:szCs w:val="4"/>
                <w:color w:val="auto"/>
              </w:rPr>
            </w:pPr>
          </w:p>
        </w:tc>
        <w:tc>
          <w:tcPr>
            <w:tcW w:w="1120" w:type="dxa"/>
            <w:vAlign w:val="bottom"/>
            <w:tcBorders>
              <w:right w:val="single" w:sz="8" w:color="E2E3E4"/>
            </w:tcBorders>
            <w:shd w:val="clear" w:color="auto" w:fill="E2E3E4"/>
          </w:tcPr>
          <w:p>
            <w:pPr>
              <w:spacing w:after="0"/>
              <w:rPr>
                <w:sz w:val="4"/>
                <w:szCs w:val="4"/>
                <w:color w:val="auto"/>
              </w:rPr>
            </w:pPr>
          </w:p>
        </w:tc>
        <w:tc>
          <w:tcPr>
            <w:tcW w:w="1120" w:type="dxa"/>
            <w:vAlign w:val="bottom"/>
            <w:tcBorders>
              <w:right w:val="single" w:sz="8" w:color="E2E3E4"/>
            </w:tcBorders>
            <w:shd w:val="clear" w:color="auto" w:fill="E2E3E4"/>
          </w:tcPr>
          <w:p>
            <w:pPr>
              <w:spacing w:after="0"/>
              <w:rPr>
                <w:sz w:val="4"/>
                <w:szCs w:val="4"/>
                <w:color w:val="auto"/>
              </w:rPr>
            </w:pPr>
          </w:p>
        </w:tc>
        <w:tc>
          <w:tcPr>
            <w:tcW w:w="1140" w:type="dxa"/>
            <w:vAlign w:val="bottom"/>
            <w:tcBorders>
              <w:right w:val="single" w:sz="8" w:color="E2E3E4"/>
            </w:tcBorders>
            <w:shd w:val="clear" w:color="auto" w:fill="E2E3E4"/>
          </w:tcPr>
          <w:p>
            <w:pPr>
              <w:spacing w:after="0"/>
              <w:rPr>
                <w:sz w:val="4"/>
                <w:szCs w:val="4"/>
                <w:color w:val="auto"/>
              </w:rPr>
            </w:pPr>
          </w:p>
        </w:tc>
        <w:tc>
          <w:tcPr>
            <w:tcW w:w="3780" w:type="dxa"/>
            <w:vAlign w:val="bottom"/>
            <w:shd w:val="clear" w:color="auto" w:fill="E2E3E4"/>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40" w:type="dxa"/>
            <w:vAlign w:val="bottom"/>
            <w:tcBorders>
              <w:right w:val="single" w:sz="8" w:color="E2E3E4"/>
            </w:tcBorders>
            <w:shd w:val="clear" w:color="auto" w:fill="E2E3E4"/>
          </w:tcPr>
          <w:p>
            <w:pPr>
              <w:spacing w:after="0"/>
              <w:rPr>
                <w:sz w:val="15"/>
                <w:szCs w:val="15"/>
                <w:color w:val="auto"/>
              </w:rPr>
            </w:pPr>
          </w:p>
        </w:tc>
        <w:tc>
          <w:tcPr>
            <w:tcW w:w="680" w:type="dxa"/>
            <w:vAlign w:val="bottom"/>
            <w:tcBorders>
              <w:right w:val="single" w:sz="8" w:color="E2E3E4"/>
            </w:tcBorders>
            <w:shd w:val="clear" w:color="auto" w:fill="E2E3E4"/>
          </w:tcPr>
          <w:p>
            <w:pPr>
              <w:spacing w:after="0"/>
              <w:rPr>
                <w:sz w:val="15"/>
                <w:szCs w:val="15"/>
                <w:color w:val="auto"/>
              </w:rPr>
            </w:pPr>
          </w:p>
        </w:tc>
        <w:tc>
          <w:tcPr>
            <w:tcW w:w="226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3"/>
                <w:szCs w:val="13"/>
                <w:color w:val="474C55"/>
              </w:rPr>
              <w:t>Mullins Riley &amp; Scarborough</w:t>
            </w:r>
          </w:p>
        </w:tc>
        <w:tc>
          <w:tcPr>
            <w:tcW w:w="1120" w:type="dxa"/>
            <w:vAlign w:val="bottom"/>
            <w:tcBorders>
              <w:right w:val="single" w:sz="8" w:color="E2E3E4"/>
            </w:tcBorders>
            <w:shd w:val="clear" w:color="auto" w:fill="E2E3E4"/>
          </w:tcPr>
          <w:p>
            <w:pPr>
              <w:spacing w:after="0"/>
              <w:rPr>
                <w:sz w:val="15"/>
                <w:szCs w:val="15"/>
                <w:color w:val="auto"/>
              </w:rPr>
            </w:pPr>
          </w:p>
        </w:tc>
        <w:tc>
          <w:tcPr>
            <w:tcW w:w="1120" w:type="dxa"/>
            <w:vAlign w:val="bottom"/>
            <w:tcBorders>
              <w:right w:val="single" w:sz="8" w:color="E2E3E4"/>
            </w:tcBorders>
            <w:shd w:val="clear" w:color="auto" w:fill="E2E3E4"/>
          </w:tcPr>
          <w:p>
            <w:pPr>
              <w:spacing w:after="0"/>
              <w:rPr>
                <w:sz w:val="15"/>
                <w:szCs w:val="15"/>
                <w:color w:val="auto"/>
              </w:rPr>
            </w:pPr>
          </w:p>
        </w:tc>
        <w:tc>
          <w:tcPr>
            <w:tcW w:w="1140" w:type="dxa"/>
            <w:vAlign w:val="bottom"/>
            <w:tcBorders>
              <w:right w:val="single" w:sz="8" w:color="E2E3E4"/>
            </w:tcBorders>
            <w:shd w:val="clear" w:color="auto" w:fill="E2E3E4"/>
          </w:tcPr>
          <w:p>
            <w:pPr>
              <w:spacing w:after="0"/>
              <w:rPr>
                <w:sz w:val="15"/>
                <w:szCs w:val="15"/>
                <w:color w:val="auto"/>
              </w:rPr>
            </w:pPr>
          </w:p>
        </w:tc>
        <w:tc>
          <w:tcPr>
            <w:tcW w:w="3780" w:type="dxa"/>
            <w:vAlign w:val="bottom"/>
            <w:shd w:val="clear" w:color="auto" w:fill="E2E3E4"/>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140" w:type="dxa"/>
            <w:vAlign w:val="bottom"/>
            <w:tcBorders>
              <w:right w:val="single" w:sz="8" w:color="E2E3E4"/>
            </w:tcBorders>
            <w:shd w:val="clear" w:color="auto" w:fill="E2E3E4"/>
          </w:tcPr>
          <w:p>
            <w:pPr>
              <w:spacing w:after="0"/>
              <w:rPr>
                <w:sz w:val="3"/>
                <w:szCs w:val="3"/>
                <w:color w:val="auto"/>
              </w:rPr>
            </w:pPr>
          </w:p>
        </w:tc>
        <w:tc>
          <w:tcPr>
            <w:tcW w:w="680" w:type="dxa"/>
            <w:vAlign w:val="bottom"/>
            <w:tcBorders>
              <w:right w:val="single" w:sz="8" w:color="E2E3E4"/>
            </w:tcBorders>
            <w:shd w:val="clear" w:color="auto" w:fill="E2E3E4"/>
          </w:tcPr>
          <w:p>
            <w:pPr>
              <w:spacing w:after="0"/>
              <w:rPr>
                <w:sz w:val="3"/>
                <w:szCs w:val="3"/>
                <w:color w:val="auto"/>
              </w:rPr>
            </w:pPr>
          </w:p>
        </w:tc>
        <w:tc>
          <w:tcPr>
            <w:tcW w:w="2260" w:type="dxa"/>
            <w:vAlign w:val="bottom"/>
            <w:tcBorders>
              <w:right w:val="single" w:sz="8" w:color="E2E3E4"/>
            </w:tcBorders>
            <w:shd w:val="clear" w:color="auto" w:fill="E2E3E4"/>
          </w:tcPr>
          <w:p>
            <w:pPr>
              <w:spacing w:after="0"/>
              <w:rPr>
                <w:sz w:val="3"/>
                <w:szCs w:val="3"/>
                <w:color w:val="auto"/>
              </w:rPr>
            </w:pPr>
          </w:p>
        </w:tc>
        <w:tc>
          <w:tcPr>
            <w:tcW w:w="1120" w:type="dxa"/>
            <w:vAlign w:val="bottom"/>
            <w:tcBorders>
              <w:right w:val="single" w:sz="8" w:color="E2E3E4"/>
            </w:tcBorders>
            <w:shd w:val="clear" w:color="auto" w:fill="E2E3E4"/>
          </w:tcPr>
          <w:p>
            <w:pPr>
              <w:spacing w:after="0"/>
              <w:rPr>
                <w:sz w:val="3"/>
                <w:szCs w:val="3"/>
                <w:color w:val="auto"/>
              </w:rPr>
            </w:pPr>
          </w:p>
        </w:tc>
        <w:tc>
          <w:tcPr>
            <w:tcW w:w="1120" w:type="dxa"/>
            <w:vAlign w:val="bottom"/>
            <w:tcBorders>
              <w:right w:val="single" w:sz="8" w:color="E2E3E4"/>
            </w:tcBorders>
            <w:shd w:val="clear" w:color="auto" w:fill="E2E3E4"/>
          </w:tcPr>
          <w:p>
            <w:pPr>
              <w:spacing w:after="0"/>
              <w:rPr>
                <w:sz w:val="3"/>
                <w:szCs w:val="3"/>
                <w:color w:val="auto"/>
              </w:rPr>
            </w:pPr>
          </w:p>
        </w:tc>
        <w:tc>
          <w:tcPr>
            <w:tcW w:w="1140" w:type="dxa"/>
            <w:vAlign w:val="bottom"/>
            <w:tcBorders>
              <w:right w:val="single" w:sz="8" w:color="E2E3E4"/>
            </w:tcBorders>
            <w:shd w:val="clear" w:color="auto" w:fill="E2E3E4"/>
          </w:tcPr>
          <w:p>
            <w:pPr>
              <w:spacing w:after="0"/>
              <w:rPr>
                <w:sz w:val="3"/>
                <w:szCs w:val="3"/>
                <w:color w:val="auto"/>
              </w:rPr>
            </w:pPr>
          </w:p>
        </w:tc>
        <w:tc>
          <w:tcPr>
            <w:tcW w:w="3780" w:type="dxa"/>
            <w:vAlign w:val="bottom"/>
            <w:shd w:val="clear" w:color="auto" w:fill="E2E3E4"/>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4719320</wp:posOffset>
            </wp:positionH>
            <wp:positionV relativeFrom="paragraph">
              <wp:posOffset>-460375</wp:posOffset>
            </wp:positionV>
            <wp:extent cx="8255" cy="461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-460375</wp:posOffset>
            </wp:positionV>
            <wp:extent cx="8255" cy="461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-460375</wp:posOffset>
            </wp:positionV>
            <wp:extent cx="8255" cy="4610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-460375</wp:posOffset>
            </wp:positionV>
            <wp:extent cx="8255" cy="461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-460375</wp:posOffset>
            </wp:positionV>
            <wp:extent cx="8255" cy="461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-460375</wp:posOffset>
            </wp:positionV>
            <wp:extent cx="8255" cy="461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-1096010</wp:posOffset>
            </wp:positionV>
            <wp:extent cx="8255" cy="461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-1096010</wp:posOffset>
            </wp:positionV>
            <wp:extent cx="8255" cy="461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-1096010</wp:posOffset>
            </wp:positionV>
            <wp:extent cx="8255" cy="461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-1096010</wp:posOffset>
            </wp:positionV>
            <wp:extent cx="8255" cy="4610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-1096010</wp:posOffset>
            </wp:positionV>
            <wp:extent cx="8255" cy="461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-1096010</wp:posOffset>
            </wp:positionV>
            <wp:extent cx="8255" cy="461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46101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-1635760</wp:posOffset>
            </wp:positionV>
            <wp:extent cx="8255" cy="269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26987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-1635760</wp:posOffset>
            </wp:positionV>
            <wp:extent cx="8255" cy="269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26987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-1635760</wp:posOffset>
            </wp:positionV>
            <wp:extent cx="8255" cy="269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269875"/>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-1635760</wp:posOffset>
            </wp:positionV>
            <wp:extent cx="8255" cy="269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269875"/>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-1635760</wp:posOffset>
            </wp:positionV>
            <wp:extent cx="8255" cy="269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26987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-1635760</wp:posOffset>
            </wp:positionV>
            <wp:extent cx="8255" cy="269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26987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-3002280</wp:posOffset>
            </wp:positionV>
            <wp:extent cx="8255" cy="1000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00076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-3002280</wp:posOffset>
            </wp:positionV>
            <wp:extent cx="8255" cy="1000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00076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-3002280</wp:posOffset>
            </wp:positionV>
            <wp:extent cx="8255" cy="1000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00076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-3002280</wp:posOffset>
            </wp:positionV>
            <wp:extent cx="8255" cy="1000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000760"/>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-3002280</wp:posOffset>
            </wp:positionV>
            <wp:extent cx="8255" cy="1000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00076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-3002280</wp:posOffset>
            </wp:positionV>
            <wp:extent cx="8255" cy="1000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00076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-3637915</wp:posOffset>
            </wp:positionV>
            <wp:extent cx="8255" cy="365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36576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-3637915</wp:posOffset>
            </wp:positionV>
            <wp:extent cx="8255" cy="365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36576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-3637915</wp:posOffset>
            </wp:positionV>
            <wp:extent cx="8255" cy="365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36576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-3637915</wp:posOffset>
            </wp:positionV>
            <wp:extent cx="8255" cy="365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365760"/>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-3637915</wp:posOffset>
            </wp:positionV>
            <wp:extent cx="8255" cy="365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36576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-3637915</wp:posOffset>
            </wp:positionV>
            <wp:extent cx="8255" cy="365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365760"/>
                    </a:xfrm>
                    <a:prstGeom prst="rect">
                      <a:avLst/>
                    </a:prstGeom>
                    <a:noFill/>
                  </pic:spPr>
                </pic:pic>
              </a:graphicData>
            </a:graphic>
          </wp:anchor>
        </w:drawing>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Arial" w:cs="Arial" w:eastAsia="Arial" w:hAnsi="Arial"/>
          <w:sz w:val="24"/>
          <w:szCs w:val="24"/>
          <w:b w:val="1"/>
          <w:bCs w:val="1"/>
          <w:color w:val="017AB5"/>
        </w:rPr>
        <w:t>Overall Board Composition and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142480" cy="1660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2480" cy="166052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left="500" w:right="120"/>
        <w:spacing w:after="0" w:line="234" w:lineRule="auto"/>
        <w:rPr>
          <w:sz w:val="20"/>
          <w:szCs w:val="20"/>
          <w:color w:val="auto"/>
        </w:rPr>
      </w:pPr>
      <w:r>
        <w:rPr>
          <w:rFonts w:ascii="Arial" w:cs="Arial" w:eastAsia="Arial" w:hAnsi="Arial"/>
          <w:sz w:val="17"/>
          <w:szCs w:val="17"/>
          <w:color w:val="474C55"/>
        </w:rPr>
        <w:t>Our Bylaws provide that the number of directors on the Board may range from 8 to 14. The Board has</w:t>
      </w:r>
    </w:p>
    <w:p>
      <w:pPr>
        <w:spacing w:after="0" w:line="1" w:lineRule="exact"/>
        <w:rPr>
          <w:sz w:val="20"/>
          <w:szCs w:val="20"/>
          <w:color w:val="auto"/>
        </w:rPr>
      </w:pPr>
    </w:p>
    <w:p>
      <w:pPr>
        <w:jc w:val="center"/>
        <w:ind w:left="500" w:right="120"/>
        <w:spacing w:after="0" w:line="233" w:lineRule="auto"/>
        <w:rPr>
          <w:sz w:val="20"/>
          <w:szCs w:val="20"/>
          <w:color w:val="auto"/>
        </w:rPr>
      </w:pPr>
      <w:r>
        <w:rPr>
          <w:rFonts w:ascii="Arial" w:cs="Arial" w:eastAsia="Arial" w:hAnsi="Arial"/>
          <w:sz w:val="17"/>
          <w:szCs w:val="17"/>
          <w:color w:val="474C55"/>
        </w:rPr>
        <w:t>nominated 12 directors to serve following the 2025 Annual Meeting. The number of directors may fluctuate in the future.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FFFFFF"/>
        </w:rPr>
        <w:t>Our Board’s current composition has resulted from a thoughtful process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69215</wp:posOffset>
            </wp:positionV>
            <wp:extent cx="5212080" cy="1445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144589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69215</wp:posOffset>
            </wp:positionV>
            <wp:extent cx="5212080" cy="1445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1445895"/>
                    </a:xfrm>
                    <a:prstGeom prst="rect">
                      <a:avLst/>
                    </a:prstGeom>
                    <a:noFill/>
                  </pic:spPr>
                </pic:pic>
              </a:graphicData>
            </a:graphic>
          </wp:anchor>
        </w:drawing>
      </w:r>
    </w:p>
    <w:p>
      <w:pPr>
        <w:spacing w:after="0" w:line="247" w:lineRule="exact"/>
        <w:rPr>
          <w:sz w:val="20"/>
          <w:szCs w:val="20"/>
          <w:color w:val="auto"/>
        </w:rPr>
      </w:pPr>
    </w:p>
    <w:p>
      <w:pPr>
        <w:ind w:left="820"/>
        <w:spacing w:after="0"/>
        <w:rPr>
          <w:sz w:val="20"/>
          <w:szCs w:val="20"/>
          <w:color w:val="auto"/>
        </w:rPr>
      </w:pPr>
      <w:r>
        <w:rPr>
          <w:rFonts w:ascii="Arial" w:cs="Arial" w:eastAsia="Arial" w:hAnsi="Arial"/>
          <w:sz w:val="17"/>
          <w:szCs w:val="17"/>
          <w:color w:val="474C55"/>
        </w:rPr>
        <w:t>Analyzing the effectiveness of our Board</w:t>
      </w:r>
    </w:p>
    <w:p>
      <w:pPr>
        <w:spacing w:after="0" w:line="280" w:lineRule="exact"/>
        <w:rPr>
          <w:sz w:val="20"/>
          <w:szCs w:val="20"/>
          <w:color w:val="auto"/>
        </w:rPr>
      </w:pPr>
    </w:p>
    <w:p>
      <w:pPr>
        <w:ind w:left="820" w:right="160"/>
        <w:spacing w:after="0" w:line="261" w:lineRule="auto"/>
        <w:rPr>
          <w:sz w:val="20"/>
          <w:szCs w:val="20"/>
          <w:color w:val="auto"/>
        </w:rPr>
      </w:pPr>
      <w:r>
        <w:rPr>
          <w:rFonts w:ascii="Arial" w:cs="Arial" w:eastAsia="Arial" w:hAnsi="Arial"/>
          <w:sz w:val="17"/>
          <w:szCs w:val="17"/>
          <w:color w:val="474C55"/>
        </w:rPr>
        <w:t>Identifying the qualifications and experience that we believe should be represented on our Board in light of our industry, business strategy, and risk appetite</w:t>
      </w:r>
    </w:p>
    <w:p>
      <w:pPr>
        <w:spacing w:after="0" w:line="150" w:lineRule="exact"/>
        <w:rPr>
          <w:sz w:val="20"/>
          <w:szCs w:val="20"/>
          <w:color w:val="auto"/>
        </w:rPr>
      </w:pPr>
    </w:p>
    <w:p>
      <w:pPr>
        <w:ind w:left="820" w:right="340"/>
        <w:spacing w:after="0" w:line="261" w:lineRule="auto"/>
        <w:rPr>
          <w:sz w:val="20"/>
          <w:szCs w:val="20"/>
          <w:color w:val="auto"/>
        </w:rPr>
      </w:pPr>
      <w:r>
        <w:rPr>
          <w:rFonts w:ascii="Arial" w:cs="Arial" w:eastAsia="Arial" w:hAnsi="Arial"/>
          <w:sz w:val="17"/>
          <w:szCs w:val="17"/>
          <w:color w:val="474C55"/>
        </w:rPr>
        <w:t>Considering the diversity of viewpoints, professional experience, education, qualifications, and skills that each of our Board members brings to the Board</w:t>
      </w:r>
    </w:p>
    <w:p>
      <w:pPr>
        <w:spacing w:after="0" w:line="150" w:lineRule="exact"/>
        <w:rPr>
          <w:sz w:val="20"/>
          <w:szCs w:val="20"/>
          <w:color w:val="auto"/>
        </w:rPr>
      </w:pPr>
    </w:p>
    <w:p>
      <w:pPr>
        <w:ind w:left="820" w:right="320"/>
        <w:spacing w:after="0" w:line="261" w:lineRule="auto"/>
        <w:rPr>
          <w:sz w:val="20"/>
          <w:szCs w:val="20"/>
          <w:color w:val="auto"/>
        </w:rPr>
      </w:pPr>
      <w:r>
        <w:rPr>
          <w:rFonts w:ascii="Arial" w:cs="Arial" w:eastAsia="Arial" w:hAnsi="Arial"/>
          <w:sz w:val="17"/>
          <w:szCs w:val="17"/>
          <w:color w:val="474C55"/>
        </w:rPr>
        <w:t>Recognizing that the strength of our Board is driven by the collective qualifications and skills of our Board members combined with engaged and open dialogue</w:t>
      </w:r>
    </w:p>
    <w:p>
      <w:pPr>
        <w:spacing w:after="0" w:line="200" w:lineRule="exact"/>
        <w:rPr>
          <w:sz w:val="20"/>
          <w:szCs w:val="20"/>
          <w:color w:val="auto"/>
        </w:rPr>
      </w:pPr>
    </w:p>
    <w:p>
      <w:pPr>
        <w:sectPr>
          <w:pgSz w:w="11900" w:h="16838" w:orient="portrait"/>
          <w:cols w:equalWidth="0" w:num="2">
            <w:col w:w="2420" w:space="720"/>
            <w:col w:w="8100"/>
          </w:cols>
          <w:pgMar w:left="320" w:top="800"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Identifying and Evaluating Director Candidates</w:t>
      </w:r>
    </w:p>
    <w:p>
      <w:pPr>
        <w:spacing w:after="0" w:line="198" w:lineRule="exact"/>
        <w:rPr>
          <w:sz w:val="20"/>
          <w:szCs w:val="20"/>
          <w:color w:val="auto"/>
        </w:rPr>
      </w:pPr>
    </w:p>
    <w:p>
      <w:pPr>
        <w:ind w:right="100"/>
        <w:spacing w:after="0"/>
        <w:rPr>
          <w:sz w:val="20"/>
          <w:szCs w:val="20"/>
          <w:color w:val="auto"/>
        </w:rPr>
      </w:pPr>
      <w:r>
        <w:rPr>
          <w:rFonts w:ascii="Arial" w:cs="Arial" w:eastAsia="Arial" w:hAnsi="Arial"/>
          <w:sz w:val="17"/>
          <w:szCs w:val="17"/>
          <w:color w:val="444A54"/>
        </w:rPr>
        <w:t>Our Board engages in a regular process of reviewing and evaluating its composition. Our Nominating and Corporate Governance Committee is responsible for identifying and recommending director candidates to our Board for nomination using a rigorous director selection process. The Board, in coordination with the Nominating and Corporate Governance Committee, also considers Board leadership succession planning and committee membership.</w:t>
      </w:r>
    </w:p>
    <w:p>
      <w:pPr>
        <w:spacing w:after="0" w:line="156"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444A54"/>
        </w:rPr>
        <w:t>The Nominating and Corporate Governance Committee uses a variety of methods to identify potential director candidates, including recommendations that it receives from:</w:t>
      </w:r>
    </w:p>
    <w:p>
      <w:pPr>
        <w:spacing w:after="0" w:line="1" w:lineRule="exact"/>
        <w:rPr>
          <w:sz w:val="20"/>
          <w:szCs w:val="20"/>
          <w:color w:val="auto"/>
        </w:rPr>
      </w:pPr>
    </w:p>
    <w:p>
      <w:pPr>
        <w:ind w:left="600" w:hanging="300"/>
        <w:spacing w:after="0"/>
        <w:tabs>
          <w:tab w:leader="none" w:pos="600" w:val="left"/>
        </w:tabs>
        <w:numPr>
          <w:ilvl w:val="0"/>
          <w:numId w:val="6"/>
        </w:numPr>
        <w:rPr>
          <w:rFonts w:ascii="Arial" w:cs="Arial" w:eastAsia="Arial" w:hAnsi="Arial"/>
          <w:sz w:val="17"/>
          <w:szCs w:val="17"/>
          <w:color w:val="444A54"/>
        </w:rPr>
      </w:pPr>
      <w:r>
        <w:rPr>
          <w:rFonts w:ascii="Arial" w:cs="Arial" w:eastAsia="Arial" w:hAnsi="Arial"/>
          <w:sz w:val="17"/>
          <w:szCs w:val="17"/>
          <w:color w:val="444A54"/>
        </w:rPr>
        <w:t>Directors</w:t>
      </w:r>
    </w:p>
    <w:p>
      <w:pPr>
        <w:spacing w:after="0" w:line="17" w:lineRule="exact"/>
        <w:rPr>
          <w:rFonts w:ascii="Arial" w:cs="Arial" w:eastAsia="Arial" w:hAnsi="Arial"/>
          <w:sz w:val="17"/>
          <w:szCs w:val="17"/>
          <w:color w:val="444A54"/>
        </w:rPr>
      </w:pPr>
    </w:p>
    <w:p>
      <w:pPr>
        <w:ind w:left="600" w:hanging="300"/>
        <w:spacing w:after="0"/>
        <w:tabs>
          <w:tab w:leader="none" w:pos="600" w:val="left"/>
        </w:tabs>
        <w:numPr>
          <w:ilvl w:val="0"/>
          <w:numId w:val="6"/>
        </w:numPr>
        <w:rPr>
          <w:rFonts w:ascii="Arial" w:cs="Arial" w:eastAsia="Arial" w:hAnsi="Arial"/>
          <w:sz w:val="17"/>
          <w:szCs w:val="17"/>
          <w:color w:val="444A54"/>
        </w:rPr>
      </w:pPr>
      <w:r>
        <w:rPr>
          <w:rFonts w:ascii="Arial" w:cs="Arial" w:eastAsia="Arial" w:hAnsi="Arial"/>
          <w:sz w:val="17"/>
          <w:szCs w:val="17"/>
          <w:color w:val="444A54"/>
        </w:rPr>
        <w:t>Shareholders</w:t>
      </w:r>
    </w:p>
    <w:p>
      <w:pPr>
        <w:spacing w:after="0" w:line="17" w:lineRule="exact"/>
        <w:rPr>
          <w:rFonts w:ascii="Arial" w:cs="Arial" w:eastAsia="Arial" w:hAnsi="Arial"/>
          <w:sz w:val="17"/>
          <w:szCs w:val="17"/>
          <w:color w:val="444A54"/>
        </w:rPr>
      </w:pPr>
    </w:p>
    <w:p>
      <w:pPr>
        <w:ind w:left="600" w:hanging="300"/>
        <w:spacing w:after="0"/>
        <w:tabs>
          <w:tab w:leader="none" w:pos="600" w:val="left"/>
        </w:tabs>
        <w:numPr>
          <w:ilvl w:val="0"/>
          <w:numId w:val="6"/>
        </w:numPr>
        <w:rPr>
          <w:rFonts w:ascii="Arial" w:cs="Arial" w:eastAsia="Arial" w:hAnsi="Arial"/>
          <w:sz w:val="17"/>
          <w:szCs w:val="17"/>
          <w:color w:val="444A54"/>
        </w:rPr>
      </w:pPr>
      <w:r>
        <w:rPr>
          <w:rFonts w:ascii="Arial" w:cs="Arial" w:eastAsia="Arial" w:hAnsi="Arial"/>
          <w:sz w:val="17"/>
          <w:szCs w:val="17"/>
          <w:color w:val="444A54"/>
        </w:rPr>
        <w:t>Management and contacts in the communities we serve</w:t>
      </w:r>
    </w:p>
    <w:p>
      <w:pPr>
        <w:spacing w:after="0" w:line="17" w:lineRule="exact"/>
        <w:rPr>
          <w:rFonts w:ascii="Arial" w:cs="Arial" w:eastAsia="Arial" w:hAnsi="Arial"/>
          <w:sz w:val="17"/>
          <w:szCs w:val="17"/>
          <w:color w:val="444A54"/>
        </w:rPr>
      </w:pPr>
    </w:p>
    <w:p>
      <w:pPr>
        <w:ind w:left="600" w:hanging="300"/>
        <w:spacing w:after="0"/>
        <w:tabs>
          <w:tab w:leader="none" w:pos="600" w:val="left"/>
        </w:tabs>
        <w:numPr>
          <w:ilvl w:val="0"/>
          <w:numId w:val="6"/>
        </w:numPr>
        <w:rPr>
          <w:rFonts w:ascii="Arial" w:cs="Arial" w:eastAsia="Arial" w:hAnsi="Arial"/>
          <w:sz w:val="17"/>
          <w:szCs w:val="17"/>
          <w:color w:val="444A54"/>
        </w:rPr>
      </w:pPr>
      <w:r>
        <w:rPr>
          <w:rFonts w:ascii="Arial" w:cs="Arial" w:eastAsia="Arial" w:hAnsi="Arial"/>
          <w:sz w:val="17"/>
          <w:szCs w:val="17"/>
          <w:color w:val="444A54"/>
        </w:rPr>
        <w:t>Third-party search firms</w:t>
      </w:r>
    </w:p>
    <w:p>
      <w:pPr>
        <w:spacing w:after="0" w:line="172" w:lineRule="exact"/>
        <w:rPr>
          <w:sz w:val="20"/>
          <w:szCs w:val="20"/>
          <w:color w:val="auto"/>
        </w:rPr>
      </w:pPr>
    </w:p>
    <w:p>
      <w:pPr>
        <w:ind w:right="100"/>
        <w:spacing w:after="0"/>
        <w:rPr>
          <w:sz w:val="20"/>
          <w:szCs w:val="20"/>
          <w:color w:val="auto"/>
        </w:rPr>
      </w:pPr>
      <w:r>
        <w:rPr>
          <w:rFonts w:ascii="Arial" w:cs="Arial" w:eastAsia="Arial" w:hAnsi="Arial"/>
          <w:sz w:val="17"/>
          <w:szCs w:val="17"/>
          <w:color w:val="444A54"/>
        </w:rPr>
        <w:t>From time to time, the Nominating and Corporate Governance Committee retains a third-party search firm to assist in identifying potential Board candidates who meet our qualification and experience requirements and, for any such candidate identified by a search firm, to compile and evaluate information regarding the candidate’s qualifications, experience, and education. In 2024, the Nominating and Corporate Governance Committee did not engage any third-party search firm.</w:t>
      </w:r>
    </w:p>
    <w:p>
      <w:pPr>
        <w:spacing w:after="0" w:line="15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444A54"/>
        </w:rPr>
        <w:t>When considering a candidate for membership on the Board, the Nominating and Corporate Governance Committee assesses a candidate’s independence, qualifications, skills, and experience, as compared to the qualifications, skills, and experience that the Board has identified as important to be reflected on the Board. The Nominating and Corporate Governance Committee also evaluates the collective qualifications, skills, and experience of Board nominees. The goal of that evaluation is to create a Board that, as a whole, possesses the necessary qualifications, skills, and experience relevant to the Company for effective oversight.</w:t>
      </w:r>
    </w:p>
    <w:p>
      <w:pPr>
        <w:spacing w:after="0" w:line="157"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444A54"/>
        </w:rPr>
        <w:t>Although the Nominating and Corporate Governance Committee does not have a specific policy governing diversity, it considers, in identifying nominees for director, a nominee’s professional experience, education, qualifications, and skills with a view toward having a diversity of viewpoints in the broadest sense being represented on the Board. These considerations include, without limitation, the individual’s interest in United Community, independence, integrity, reputation, business experience, education, accounting and financial expertise, age, race, ethnicity, gender, geographic location, civic and community relationships, and knowledge and experience in matters impacting financial institutions. The Board believes that the presence of diverse backgrounds and viewpoints in the boardroom leads to more effective oversight, broader dialogue, and better decision-making.</w:t>
      </w:r>
    </w:p>
    <w:p>
      <w:pPr>
        <w:spacing w:after="0" w:line="156" w:lineRule="exact"/>
        <w:rPr>
          <w:sz w:val="20"/>
          <w:szCs w:val="20"/>
          <w:color w:val="auto"/>
        </w:rPr>
      </w:pPr>
    </w:p>
    <w:p>
      <w:pPr>
        <w:jc w:val="both"/>
        <w:ind w:right="340"/>
        <w:spacing w:after="0" w:line="268" w:lineRule="auto"/>
        <w:rPr>
          <w:sz w:val="20"/>
          <w:szCs w:val="20"/>
          <w:color w:val="auto"/>
        </w:rPr>
      </w:pPr>
      <w:r>
        <w:rPr>
          <w:rFonts w:ascii="Arial" w:cs="Arial" w:eastAsia="Arial" w:hAnsi="Arial"/>
          <w:sz w:val="16"/>
          <w:szCs w:val="16"/>
          <w:color w:val="444A54"/>
        </w:rPr>
        <w:t>With respect to incumbent directors considered for re-election, the Nominating and Corporate Governance Committee also assesses each director’s performance, contribution, level of engagement, and meeting attendance record. In addition, the Nominating and Corporate Governance Committee determines whether nominees are in a position to devote an adequate amount of time to the effective performance of director duties.</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017AB5"/>
        </w:rPr>
        <w:t>Recent Board Refreshment</w:t>
      </w:r>
    </w:p>
    <w:p>
      <w:pPr>
        <w:spacing w:after="0" w:line="19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444A54"/>
        </w:rPr>
        <w:t>Since our 2024 Annual Meeting, the Board elected Sally Pope Davis to the Board effective on September 4, 2024. Ms. Davis was identified as a potential Board candidate by the Nominating and Corporate Governance Committee. In her capacity leading one of the banking industry’s largest small-cap value funds during her tenure at Goldman Sachs, Ms. Davis was known and highly respected by United Community’s Board of Directors. The Board evaluated Ms. Davis in accordance with the considerations outlined herein. Members of our Nominating and Corporate Governance Committee and our Board met Ms. Davis. Upon review of her experience, skills, and qualifications, including her experience as an analyst and investor within the financial services industry, as well as her personal attributes and independence, the Nominating and Corporate Governance Committee recommended her election to the Board. For information on Ms. Davis’ qualifications, please see Board Qualifications and Experience and Director Nominees for Election.</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017AB5"/>
        </w:rPr>
        <w:t>Board Qualifications and Experience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444A54"/>
        </w:rPr>
        <w:t>Our Board identified the following core attributes that directors should possess: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125095</wp:posOffset>
            </wp:positionV>
            <wp:extent cx="15875" cy="1032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875" cy="1032510"/>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125095</wp:posOffset>
            </wp:positionV>
            <wp:extent cx="15875" cy="1032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875" cy="1032510"/>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125095</wp:posOffset>
            </wp:positionV>
            <wp:extent cx="15875" cy="1032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75" cy="103251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2820" w:type="dxa"/>
            <w:vAlign w:val="bottom"/>
            <w:shd w:val="clear" w:color="auto" w:fill="E5E6E6"/>
          </w:tcPr>
          <w:p>
            <w:pPr>
              <w:jc w:val="center"/>
              <w:spacing w:after="0"/>
              <w:rPr>
                <w:sz w:val="20"/>
                <w:szCs w:val="20"/>
                <w:color w:val="auto"/>
              </w:rPr>
            </w:pPr>
            <w:r>
              <w:rPr>
                <w:rFonts w:ascii="Arial" w:cs="Arial" w:eastAsia="Arial" w:hAnsi="Arial"/>
                <w:sz w:val="18"/>
                <w:szCs w:val="18"/>
                <w:b w:val="1"/>
                <w:bCs w:val="1"/>
                <w:color w:val="017AB5"/>
                <w:w w:val="99"/>
              </w:rPr>
              <w:t>Character</w:t>
            </w:r>
          </w:p>
        </w:tc>
        <w:tc>
          <w:tcPr>
            <w:tcW w:w="2820" w:type="dxa"/>
            <w:vAlign w:val="bottom"/>
            <w:shd w:val="clear" w:color="auto" w:fill="E5E6E6"/>
          </w:tcPr>
          <w:p>
            <w:pPr>
              <w:jc w:val="center"/>
              <w:spacing w:after="0"/>
              <w:rPr>
                <w:sz w:val="20"/>
                <w:szCs w:val="20"/>
                <w:color w:val="auto"/>
              </w:rPr>
            </w:pPr>
            <w:r>
              <w:rPr>
                <w:rFonts w:ascii="Arial" w:cs="Arial" w:eastAsia="Arial" w:hAnsi="Arial"/>
                <w:sz w:val="18"/>
                <w:szCs w:val="18"/>
                <w:b w:val="1"/>
                <w:bCs w:val="1"/>
                <w:color w:val="017AB5"/>
              </w:rPr>
              <w:t>Record of</w:t>
            </w:r>
          </w:p>
        </w:tc>
        <w:tc>
          <w:tcPr>
            <w:tcW w:w="2720" w:type="dxa"/>
            <w:vAlign w:val="bottom"/>
            <w:shd w:val="clear" w:color="auto" w:fill="E5E6E6"/>
          </w:tcPr>
          <w:p>
            <w:pPr>
              <w:jc w:val="center"/>
              <w:spacing w:after="0"/>
              <w:rPr>
                <w:sz w:val="20"/>
                <w:szCs w:val="20"/>
                <w:color w:val="auto"/>
              </w:rPr>
            </w:pPr>
            <w:r>
              <w:rPr>
                <w:rFonts w:ascii="Arial" w:cs="Arial" w:eastAsia="Arial" w:hAnsi="Arial"/>
                <w:sz w:val="18"/>
                <w:szCs w:val="18"/>
                <w:b w:val="1"/>
                <w:bCs w:val="1"/>
                <w:color w:val="017AB5"/>
              </w:rPr>
              <w:t>Relevant Professional</w:t>
            </w:r>
          </w:p>
        </w:tc>
        <w:tc>
          <w:tcPr>
            <w:tcW w:w="2880" w:type="dxa"/>
            <w:vAlign w:val="bottom"/>
            <w:shd w:val="clear" w:color="auto" w:fill="E5E6E6"/>
          </w:tcPr>
          <w:p>
            <w:pPr>
              <w:jc w:val="center"/>
              <w:ind w:left="14"/>
              <w:spacing w:after="0"/>
              <w:rPr>
                <w:sz w:val="20"/>
                <w:szCs w:val="20"/>
                <w:color w:val="auto"/>
              </w:rPr>
            </w:pPr>
            <w:r>
              <w:rPr>
                <w:rFonts w:ascii="Arial" w:cs="Arial" w:eastAsia="Arial" w:hAnsi="Arial"/>
                <w:sz w:val="18"/>
                <w:szCs w:val="18"/>
                <w:b w:val="1"/>
                <w:bCs w:val="1"/>
                <w:color w:val="017AB5"/>
              </w:rPr>
              <w:t>Cooperative</w:t>
            </w:r>
          </w:p>
        </w:tc>
      </w:tr>
      <w:tr>
        <w:trPr>
          <w:trHeight w:val="252"/>
        </w:trPr>
        <w:tc>
          <w:tcPr>
            <w:tcW w:w="2820" w:type="dxa"/>
            <w:vAlign w:val="bottom"/>
            <w:shd w:val="clear" w:color="auto" w:fill="E5E6E6"/>
          </w:tcPr>
          <w:p>
            <w:pPr>
              <w:jc w:val="center"/>
              <w:spacing w:after="0"/>
              <w:rPr>
                <w:sz w:val="20"/>
                <w:szCs w:val="20"/>
                <w:color w:val="auto"/>
              </w:rPr>
            </w:pPr>
            <w:r>
              <w:rPr>
                <w:rFonts w:ascii="Arial" w:cs="Arial" w:eastAsia="Arial" w:hAnsi="Arial"/>
                <w:sz w:val="18"/>
                <w:szCs w:val="18"/>
                <w:b w:val="1"/>
                <w:bCs w:val="1"/>
                <w:color w:val="017AB5"/>
              </w:rPr>
              <w:t>and Integrity:</w:t>
            </w:r>
          </w:p>
        </w:tc>
        <w:tc>
          <w:tcPr>
            <w:tcW w:w="2820" w:type="dxa"/>
            <w:vAlign w:val="bottom"/>
            <w:shd w:val="clear" w:color="auto" w:fill="E5E6E6"/>
          </w:tcPr>
          <w:p>
            <w:pPr>
              <w:jc w:val="center"/>
              <w:spacing w:after="0"/>
              <w:rPr>
                <w:sz w:val="20"/>
                <w:szCs w:val="20"/>
                <w:color w:val="auto"/>
              </w:rPr>
            </w:pPr>
            <w:r>
              <w:rPr>
                <w:rFonts w:ascii="Arial" w:cs="Arial" w:eastAsia="Arial" w:hAnsi="Arial"/>
                <w:sz w:val="18"/>
                <w:szCs w:val="18"/>
                <w:b w:val="1"/>
                <w:bCs w:val="1"/>
                <w:color w:val="017AB5"/>
              </w:rPr>
              <w:t>Achievement:</w:t>
            </w:r>
          </w:p>
        </w:tc>
        <w:tc>
          <w:tcPr>
            <w:tcW w:w="2720" w:type="dxa"/>
            <w:vAlign w:val="bottom"/>
            <w:shd w:val="clear" w:color="auto" w:fill="E5E6E6"/>
          </w:tcPr>
          <w:p>
            <w:pPr>
              <w:jc w:val="center"/>
              <w:spacing w:after="0"/>
              <w:rPr>
                <w:sz w:val="20"/>
                <w:szCs w:val="20"/>
                <w:color w:val="auto"/>
              </w:rPr>
            </w:pPr>
            <w:r>
              <w:rPr>
                <w:rFonts w:ascii="Arial" w:cs="Arial" w:eastAsia="Arial" w:hAnsi="Arial"/>
                <w:sz w:val="18"/>
                <w:szCs w:val="18"/>
                <w:b w:val="1"/>
                <w:bCs w:val="1"/>
                <w:color w:val="017AB5"/>
              </w:rPr>
              <w:t>or Business Experience:</w:t>
            </w:r>
          </w:p>
        </w:tc>
        <w:tc>
          <w:tcPr>
            <w:tcW w:w="2880" w:type="dxa"/>
            <w:vAlign w:val="bottom"/>
            <w:shd w:val="clear" w:color="auto" w:fill="E5E6E6"/>
          </w:tcPr>
          <w:p>
            <w:pPr>
              <w:jc w:val="center"/>
              <w:ind w:left="34"/>
              <w:spacing w:after="0"/>
              <w:rPr>
                <w:sz w:val="20"/>
                <w:szCs w:val="20"/>
                <w:color w:val="auto"/>
              </w:rPr>
            </w:pPr>
            <w:r>
              <w:rPr>
                <w:rFonts w:ascii="Arial" w:cs="Arial" w:eastAsia="Arial" w:hAnsi="Arial"/>
                <w:sz w:val="18"/>
                <w:szCs w:val="18"/>
                <w:b w:val="1"/>
                <w:bCs w:val="1"/>
                <w:color w:val="017AB5"/>
              </w:rPr>
              <w:t>Approach:</w:t>
            </w:r>
          </w:p>
        </w:tc>
      </w:tr>
      <w:tr>
        <w:trPr>
          <w:trHeight w:val="215"/>
        </w:trPr>
        <w:tc>
          <w:tcPr>
            <w:tcW w:w="2820" w:type="dxa"/>
            <w:vAlign w:val="bottom"/>
            <w:shd w:val="clear" w:color="auto" w:fill="E5E6E6"/>
          </w:tcPr>
          <w:p>
            <w:pPr>
              <w:jc w:val="center"/>
              <w:spacing w:after="0"/>
              <w:rPr>
                <w:sz w:val="20"/>
                <w:szCs w:val="20"/>
                <w:color w:val="auto"/>
              </w:rPr>
            </w:pPr>
            <w:r>
              <w:rPr>
                <w:rFonts w:ascii="Arial" w:cs="Arial" w:eastAsia="Arial" w:hAnsi="Arial"/>
                <w:sz w:val="17"/>
                <w:szCs w:val="17"/>
                <w:color w:val="444A54"/>
                <w:w w:val="97"/>
              </w:rPr>
              <w:t>Must be an individual who exhibits</w:t>
            </w:r>
          </w:p>
        </w:tc>
        <w:tc>
          <w:tcPr>
            <w:tcW w:w="2820" w:type="dxa"/>
            <w:vAlign w:val="bottom"/>
            <w:shd w:val="clear" w:color="auto" w:fill="E5E6E6"/>
          </w:tcPr>
          <w:p>
            <w:pPr>
              <w:jc w:val="center"/>
              <w:spacing w:after="0"/>
              <w:rPr>
                <w:sz w:val="20"/>
                <w:szCs w:val="20"/>
                <w:color w:val="auto"/>
              </w:rPr>
            </w:pPr>
            <w:r>
              <w:rPr>
                <w:rFonts w:ascii="Arial" w:cs="Arial" w:eastAsia="Arial" w:hAnsi="Arial"/>
                <w:sz w:val="17"/>
                <w:szCs w:val="17"/>
                <w:color w:val="444A54"/>
                <w:w w:val="97"/>
              </w:rPr>
              <w:t>Commitment to excellence,</w:t>
            </w:r>
          </w:p>
        </w:tc>
        <w:tc>
          <w:tcPr>
            <w:tcW w:w="2720" w:type="dxa"/>
            <w:vAlign w:val="bottom"/>
            <w:shd w:val="clear" w:color="auto" w:fill="E5E6E6"/>
          </w:tcPr>
          <w:p>
            <w:pPr>
              <w:jc w:val="center"/>
              <w:spacing w:after="0"/>
              <w:rPr>
                <w:sz w:val="20"/>
                <w:szCs w:val="20"/>
                <w:color w:val="auto"/>
              </w:rPr>
            </w:pPr>
            <w:r>
              <w:rPr>
                <w:rFonts w:ascii="Arial" w:cs="Arial" w:eastAsia="Arial" w:hAnsi="Arial"/>
                <w:sz w:val="17"/>
                <w:szCs w:val="17"/>
                <w:color w:val="444A54"/>
                <w:w w:val="97"/>
              </w:rPr>
              <w:t>Understands the Company’s</w:t>
            </w:r>
          </w:p>
        </w:tc>
        <w:tc>
          <w:tcPr>
            <w:tcW w:w="2880" w:type="dxa"/>
            <w:vAlign w:val="bottom"/>
            <w:shd w:val="clear" w:color="auto" w:fill="E5E6E6"/>
          </w:tcPr>
          <w:p>
            <w:pPr>
              <w:jc w:val="center"/>
              <w:ind w:left="34"/>
              <w:spacing w:after="0"/>
              <w:rPr>
                <w:sz w:val="20"/>
                <w:szCs w:val="20"/>
                <w:color w:val="auto"/>
              </w:rPr>
            </w:pPr>
            <w:r>
              <w:rPr>
                <w:rFonts w:ascii="Arial" w:cs="Arial" w:eastAsia="Arial" w:hAnsi="Arial"/>
                <w:sz w:val="17"/>
                <w:szCs w:val="17"/>
                <w:color w:val="444A54"/>
                <w:w w:val="98"/>
              </w:rPr>
              <w:t>Ability to work constructively in a</w:t>
            </w:r>
          </w:p>
        </w:tc>
      </w:tr>
      <w:tr>
        <w:trPr>
          <w:trHeight w:val="188"/>
        </w:trPr>
        <w:tc>
          <w:tcPr>
            <w:tcW w:w="2820" w:type="dxa"/>
            <w:vAlign w:val="bottom"/>
            <w:shd w:val="clear" w:color="auto" w:fill="E5E6E6"/>
          </w:tcPr>
          <w:p>
            <w:pPr>
              <w:jc w:val="center"/>
              <w:spacing w:after="0" w:line="188" w:lineRule="exact"/>
              <w:rPr>
                <w:sz w:val="20"/>
                <w:szCs w:val="20"/>
                <w:color w:val="auto"/>
              </w:rPr>
            </w:pPr>
            <w:r>
              <w:rPr>
                <w:rFonts w:ascii="Arial" w:cs="Arial" w:eastAsia="Arial" w:hAnsi="Arial"/>
                <w:sz w:val="17"/>
                <w:szCs w:val="17"/>
                <w:color w:val="444A54"/>
                <w:w w:val="97"/>
              </w:rPr>
              <w:t>integrity and informed judgment</w:t>
            </w:r>
          </w:p>
        </w:tc>
        <w:tc>
          <w:tcPr>
            <w:tcW w:w="2820" w:type="dxa"/>
            <w:vAlign w:val="bottom"/>
            <w:shd w:val="clear" w:color="auto" w:fill="E5E6E6"/>
          </w:tcPr>
          <w:p>
            <w:pPr>
              <w:jc w:val="center"/>
              <w:spacing w:after="0" w:line="188" w:lineRule="exact"/>
              <w:rPr>
                <w:sz w:val="20"/>
                <w:szCs w:val="20"/>
                <w:color w:val="auto"/>
              </w:rPr>
            </w:pPr>
            <w:r>
              <w:rPr>
                <w:rFonts w:ascii="Arial" w:cs="Arial" w:eastAsia="Arial" w:hAnsi="Arial"/>
                <w:sz w:val="17"/>
                <w:szCs w:val="17"/>
                <w:color w:val="444A54"/>
                <w:w w:val="98"/>
              </w:rPr>
              <w:t>demonstrated by professional</w:t>
            </w:r>
          </w:p>
        </w:tc>
        <w:tc>
          <w:tcPr>
            <w:tcW w:w="2720" w:type="dxa"/>
            <w:vAlign w:val="bottom"/>
            <w:shd w:val="clear" w:color="auto" w:fill="E5E6E6"/>
          </w:tcPr>
          <w:p>
            <w:pPr>
              <w:jc w:val="center"/>
              <w:spacing w:after="0" w:line="188" w:lineRule="exact"/>
              <w:rPr>
                <w:sz w:val="20"/>
                <w:szCs w:val="20"/>
                <w:color w:val="auto"/>
              </w:rPr>
            </w:pPr>
            <w:r>
              <w:rPr>
                <w:rFonts w:ascii="Arial" w:cs="Arial" w:eastAsia="Arial" w:hAnsi="Arial"/>
                <w:sz w:val="17"/>
                <w:szCs w:val="17"/>
                <w:color w:val="444A54"/>
                <w:w w:val="97"/>
              </w:rPr>
              <w:t>business or related industries</w:t>
            </w:r>
          </w:p>
        </w:tc>
        <w:tc>
          <w:tcPr>
            <w:tcW w:w="2880" w:type="dxa"/>
            <w:vAlign w:val="bottom"/>
            <w:shd w:val="clear" w:color="auto" w:fill="E5E6E6"/>
          </w:tcPr>
          <w:p>
            <w:pPr>
              <w:jc w:val="center"/>
              <w:ind w:left="14"/>
              <w:spacing w:after="0" w:line="188" w:lineRule="exact"/>
              <w:rPr>
                <w:sz w:val="20"/>
                <w:szCs w:val="20"/>
                <w:color w:val="auto"/>
              </w:rPr>
            </w:pPr>
            <w:r>
              <w:rPr>
                <w:rFonts w:ascii="Arial" w:cs="Arial" w:eastAsia="Arial" w:hAnsi="Arial"/>
                <w:sz w:val="17"/>
                <w:szCs w:val="17"/>
                <w:color w:val="444A54"/>
                <w:w w:val="97"/>
              </w:rPr>
              <w:t>collegial manner and willingness</w:t>
            </w:r>
          </w:p>
        </w:tc>
      </w:tr>
      <w:tr>
        <w:trPr>
          <w:trHeight w:val="188"/>
        </w:trPr>
        <w:tc>
          <w:tcPr>
            <w:tcW w:w="2820" w:type="dxa"/>
            <w:vAlign w:val="bottom"/>
            <w:shd w:val="clear" w:color="auto" w:fill="E5E6E6"/>
          </w:tcPr>
          <w:p>
            <w:pPr>
              <w:spacing w:after="0"/>
              <w:rPr>
                <w:sz w:val="16"/>
                <w:szCs w:val="16"/>
                <w:color w:val="auto"/>
              </w:rPr>
            </w:pPr>
          </w:p>
        </w:tc>
        <w:tc>
          <w:tcPr>
            <w:tcW w:w="2820" w:type="dxa"/>
            <w:vAlign w:val="bottom"/>
            <w:shd w:val="clear" w:color="auto" w:fill="E5E6E6"/>
          </w:tcPr>
          <w:p>
            <w:pPr>
              <w:jc w:val="center"/>
              <w:spacing w:after="0" w:line="188" w:lineRule="exact"/>
              <w:rPr>
                <w:sz w:val="20"/>
                <w:szCs w:val="20"/>
                <w:color w:val="auto"/>
              </w:rPr>
            </w:pPr>
            <w:r>
              <w:rPr>
                <w:rFonts w:ascii="Arial" w:cs="Arial" w:eastAsia="Arial" w:hAnsi="Arial"/>
                <w:sz w:val="17"/>
                <w:szCs w:val="17"/>
                <w:color w:val="444A54"/>
                <w:w w:val="97"/>
              </w:rPr>
              <w:t>achievements and leadership</w:t>
            </w:r>
          </w:p>
        </w:tc>
        <w:tc>
          <w:tcPr>
            <w:tcW w:w="2720" w:type="dxa"/>
            <w:vAlign w:val="bottom"/>
            <w:shd w:val="clear" w:color="auto" w:fill="E5E6E6"/>
          </w:tcPr>
          <w:p>
            <w:pPr>
              <w:spacing w:after="0"/>
              <w:rPr>
                <w:sz w:val="16"/>
                <w:szCs w:val="16"/>
                <w:color w:val="auto"/>
              </w:rPr>
            </w:pPr>
          </w:p>
        </w:tc>
        <w:tc>
          <w:tcPr>
            <w:tcW w:w="2880" w:type="dxa"/>
            <w:vAlign w:val="bottom"/>
            <w:shd w:val="clear" w:color="auto" w:fill="E5E6E6"/>
          </w:tcPr>
          <w:p>
            <w:pPr>
              <w:jc w:val="center"/>
              <w:ind w:left="14"/>
              <w:spacing w:after="0" w:line="188" w:lineRule="exact"/>
              <w:rPr>
                <w:sz w:val="20"/>
                <w:szCs w:val="20"/>
                <w:color w:val="auto"/>
              </w:rPr>
            </w:pPr>
            <w:r>
              <w:rPr>
                <w:rFonts w:ascii="Arial" w:cs="Arial" w:eastAsia="Arial" w:hAnsi="Arial"/>
                <w:sz w:val="17"/>
                <w:szCs w:val="17"/>
                <w:color w:val="444A54"/>
                <w:w w:val="97"/>
              </w:rPr>
              <w:t>and ability to candidly consult with</w:t>
            </w:r>
          </w:p>
        </w:tc>
      </w:tr>
      <w:tr>
        <w:trPr>
          <w:trHeight w:val="221"/>
        </w:trPr>
        <w:tc>
          <w:tcPr>
            <w:tcW w:w="2820" w:type="dxa"/>
            <w:vAlign w:val="bottom"/>
            <w:shd w:val="clear" w:color="auto" w:fill="E5E6E6"/>
          </w:tcPr>
          <w:p>
            <w:pPr>
              <w:spacing w:after="0"/>
              <w:rPr>
                <w:sz w:val="19"/>
                <w:szCs w:val="19"/>
                <w:color w:val="auto"/>
              </w:rPr>
            </w:pPr>
          </w:p>
        </w:tc>
        <w:tc>
          <w:tcPr>
            <w:tcW w:w="2820" w:type="dxa"/>
            <w:vAlign w:val="bottom"/>
            <w:shd w:val="clear" w:color="auto" w:fill="E5E6E6"/>
          </w:tcPr>
          <w:p>
            <w:pPr>
              <w:jc w:val="center"/>
              <w:spacing w:after="0"/>
              <w:rPr>
                <w:sz w:val="20"/>
                <w:szCs w:val="20"/>
                <w:color w:val="auto"/>
              </w:rPr>
            </w:pPr>
            <w:r>
              <w:rPr>
                <w:rFonts w:ascii="Arial" w:cs="Arial" w:eastAsia="Arial" w:hAnsi="Arial"/>
                <w:sz w:val="17"/>
                <w:szCs w:val="17"/>
                <w:color w:val="444A54"/>
                <w:w w:val="98"/>
              </w:rPr>
              <w:t>experience</w:t>
            </w:r>
          </w:p>
        </w:tc>
        <w:tc>
          <w:tcPr>
            <w:tcW w:w="2720" w:type="dxa"/>
            <w:vAlign w:val="bottom"/>
            <w:shd w:val="clear" w:color="auto" w:fill="E5E6E6"/>
          </w:tcPr>
          <w:p>
            <w:pPr>
              <w:spacing w:after="0"/>
              <w:rPr>
                <w:sz w:val="19"/>
                <w:szCs w:val="19"/>
                <w:color w:val="auto"/>
              </w:rPr>
            </w:pPr>
          </w:p>
        </w:tc>
        <w:tc>
          <w:tcPr>
            <w:tcW w:w="2880" w:type="dxa"/>
            <w:vAlign w:val="bottom"/>
            <w:shd w:val="clear" w:color="auto" w:fill="E5E6E6"/>
          </w:tcPr>
          <w:p>
            <w:pPr>
              <w:jc w:val="center"/>
              <w:ind w:left="14"/>
              <w:spacing w:after="0"/>
              <w:rPr>
                <w:sz w:val="20"/>
                <w:szCs w:val="20"/>
                <w:color w:val="auto"/>
              </w:rPr>
            </w:pPr>
            <w:r>
              <w:rPr>
                <w:rFonts w:ascii="Arial" w:cs="Arial" w:eastAsia="Arial" w:hAnsi="Arial"/>
                <w:sz w:val="17"/>
                <w:szCs w:val="17"/>
                <w:color w:val="444A54"/>
                <w:w w:val="97"/>
              </w:rPr>
              <w:t>and advise management</w:t>
            </w:r>
          </w:p>
        </w:tc>
      </w:tr>
      <w:tr>
        <w:trPr>
          <w:trHeight w:val="184"/>
        </w:trPr>
        <w:tc>
          <w:tcPr>
            <w:tcW w:w="2820" w:type="dxa"/>
            <w:vAlign w:val="bottom"/>
            <w:shd w:val="clear" w:color="auto" w:fill="E5E6E6"/>
          </w:tcPr>
          <w:p>
            <w:pPr>
              <w:spacing w:after="0"/>
              <w:rPr>
                <w:sz w:val="15"/>
                <w:szCs w:val="15"/>
                <w:color w:val="auto"/>
              </w:rPr>
            </w:pPr>
          </w:p>
        </w:tc>
        <w:tc>
          <w:tcPr>
            <w:tcW w:w="2820" w:type="dxa"/>
            <w:vAlign w:val="bottom"/>
            <w:shd w:val="clear" w:color="auto" w:fill="E5E6E6"/>
          </w:tcPr>
          <w:p>
            <w:pPr>
              <w:spacing w:after="0"/>
              <w:rPr>
                <w:sz w:val="15"/>
                <w:szCs w:val="15"/>
                <w:color w:val="auto"/>
              </w:rPr>
            </w:pPr>
          </w:p>
        </w:tc>
        <w:tc>
          <w:tcPr>
            <w:tcW w:w="2720" w:type="dxa"/>
            <w:vAlign w:val="bottom"/>
            <w:shd w:val="clear" w:color="auto" w:fill="E5E6E6"/>
          </w:tcPr>
          <w:p>
            <w:pPr>
              <w:spacing w:after="0"/>
              <w:rPr>
                <w:sz w:val="15"/>
                <w:szCs w:val="15"/>
                <w:color w:val="auto"/>
              </w:rPr>
            </w:pPr>
          </w:p>
        </w:tc>
        <w:tc>
          <w:tcPr>
            <w:tcW w:w="2880" w:type="dxa"/>
            <w:vAlign w:val="bottom"/>
            <w:shd w:val="clear" w:color="auto" w:fill="E5E6E6"/>
          </w:tcPr>
          <w:p>
            <w:pPr>
              <w:spacing w:after="0"/>
              <w:rPr>
                <w:sz w:val="15"/>
                <w:szCs w:val="15"/>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Additional Qualifications and Experience Important to Our Business and Strategy</w:t>
      </w:r>
    </w:p>
    <w:p>
      <w:pPr>
        <w:spacing w:after="0" w:line="190"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444A54"/>
        </w:rPr>
        <w:t>The Nominating and Corporate Governance Committee and our Board desire that our Board as a whole possess a balance of qualifications and experience that are relevant to our business and strategy. In addition to the threshold qualifications required for Board service, the following are additional qualifications and experience that the Nominating and Corporate Governance Committee and Board identified as desirable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95885</wp:posOffset>
            </wp:positionV>
            <wp:extent cx="794385" cy="794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94385" cy="794385"/>
                    </a:xfrm>
                    <a:prstGeom prst="rect">
                      <a:avLst/>
                    </a:prstGeom>
                    <a:noFill/>
                  </pic:spPr>
                </pic:pic>
              </a:graphicData>
            </a:graphic>
          </wp:anchor>
        </w:drawing>
        <w:drawing>
          <wp:anchor simplePos="0" relativeHeight="251657728" behindDoc="1" locked="0" layoutInCell="0" allowOverlap="1">
            <wp:simplePos x="0" y="0"/>
            <wp:positionH relativeFrom="column">
              <wp:posOffset>6276340</wp:posOffset>
            </wp:positionH>
            <wp:positionV relativeFrom="paragraph">
              <wp:posOffset>95885</wp:posOffset>
            </wp:positionV>
            <wp:extent cx="794385" cy="786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4385" cy="786765"/>
                    </a:xfrm>
                    <a:prstGeom prst="rect">
                      <a:avLst/>
                    </a:prstGeom>
                    <a:noFill/>
                  </pic:spPr>
                </pic:pic>
              </a:graphicData>
            </a:graphic>
          </wp:anchor>
        </w:drawing>
      </w:r>
    </w:p>
    <w:p>
      <w:pPr>
        <w:sectPr>
          <w:pgSz w:w="11900" w:h="16838" w:orient="portrait"/>
          <w:cols w:equalWidth="0" w:num="1">
            <w:col w:w="11240"/>
          </w:cols>
          <w:pgMar w:left="320" w:top="800" w:right="339" w:bottom="1079" w:gutter="0" w:footer="0" w:header="0"/>
        </w:sectPr>
      </w:pPr>
    </w:p>
    <w:p>
      <w:pPr>
        <w:spacing w:after="0" w:line="368"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017AB5"/>
        </w:rPr>
        <w:t>Executive Management</w:t>
      </w:r>
    </w:p>
    <w:p>
      <w:pPr>
        <w:spacing w:after="0" w:line="14" w:lineRule="exact"/>
        <w:rPr>
          <w:sz w:val="20"/>
          <w:szCs w:val="20"/>
          <w:color w:val="auto"/>
        </w:rPr>
      </w:pPr>
    </w:p>
    <w:p>
      <w:pPr>
        <w:ind w:left="1560" w:right="180"/>
        <w:spacing w:after="0" w:line="237" w:lineRule="auto"/>
        <w:rPr>
          <w:sz w:val="20"/>
          <w:szCs w:val="20"/>
          <w:color w:val="auto"/>
        </w:rPr>
      </w:pPr>
      <w:r>
        <w:rPr>
          <w:rFonts w:ascii="Arial" w:cs="Arial" w:eastAsia="Arial" w:hAnsi="Arial"/>
          <w:sz w:val="17"/>
          <w:szCs w:val="17"/>
          <w:color w:val="474C55"/>
        </w:rPr>
        <w:t>“C-Suite” experience; leadership experience as a division president or functional leader within a complex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292100</wp:posOffset>
            </wp:positionV>
            <wp:extent cx="794385" cy="786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94385" cy="78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017AB5"/>
        </w:rPr>
        <w:t>Strategic Planning/Oversight</w:t>
      </w:r>
    </w:p>
    <w:p>
      <w:pPr>
        <w:spacing w:after="0" w:line="14" w:lineRule="exact"/>
        <w:rPr>
          <w:sz w:val="20"/>
          <w:szCs w:val="20"/>
          <w:color w:val="auto"/>
        </w:rPr>
      </w:pPr>
    </w:p>
    <w:p>
      <w:pPr>
        <w:ind w:left="1560"/>
        <w:spacing w:after="0" w:line="242" w:lineRule="auto"/>
        <w:rPr>
          <w:sz w:val="20"/>
          <w:szCs w:val="20"/>
          <w:color w:val="auto"/>
        </w:rPr>
      </w:pPr>
      <w:r>
        <w:rPr>
          <w:rFonts w:ascii="Arial" w:cs="Arial" w:eastAsia="Arial" w:hAnsi="Arial"/>
          <w:sz w:val="17"/>
          <w:szCs w:val="17"/>
          <w:color w:val="474C55"/>
        </w:rPr>
        <w:t>Experience developing and implementing operating plans and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346075</wp:posOffset>
            </wp:positionV>
            <wp:extent cx="794385" cy="794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94385" cy="79438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017AB5"/>
        </w:rPr>
        <w:t>Financial/Accounting</w:t>
      </w:r>
    </w:p>
    <w:p>
      <w:pPr>
        <w:spacing w:after="0" w:line="14" w:lineRule="exact"/>
        <w:rPr>
          <w:sz w:val="20"/>
          <w:szCs w:val="20"/>
          <w:color w:val="auto"/>
        </w:rPr>
      </w:pPr>
    </w:p>
    <w:p>
      <w:pPr>
        <w:ind w:left="1560" w:right="100"/>
        <w:spacing w:after="0" w:line="234" w:lineRule="auto"/>
        <w:rPr>
          <w:sz w:val="20"/>
          <w:szCs w:val="20"/>
          <w:color w:val="auto"/>
        </w:rPr>
      </w:pPr>
      <w:r>
        <w:rPr>
          <w:rFonts w:ascii="Arial" w:cs="Arial" w:eastAsia="Arial" w:hAnsi="Arial"/>
          <w:sz w:val="17"/>
          <w:szCs w:val="17"/>
          <w:color w:val="474C55"/>
        </w:rPr>
        <w:t>Meets SEC financial expert definition and possesses significant financial expertise with knowledge of financial reporting and experience with financial disclosure requirements and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173990</wp:posOffset>
            </wp:positionV>
            <wp:extent cx="794385" cy="755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94385" cy="755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right"/>
        <w:ind w:right="1540"/>
        <w:spacing w:after="0"/>
        <w:rPr>
          <w:sz w:val="20"/>
          <w:szCs w:val="20"/>
          <w:color w:val="auto"/>
        </w:rPr>
      </w:pPr>
      <w:r>
        <w:rPr>
          <w:rFonts w:ascii="Arial" w:cs="Arial" w:eastAsia="Arial" w:hAnsi="Arial"/>
          <w:sz w:val="18"/>
          <w:szCs w:val="18"/>
          <w:b w:val="1"/>
          <w:bCs w:val="1"/>
          <w:color w:val="017AB5"/>
        </w:rPr>
        <w:t>Human Resources/Compensation</w:t>
      </w:r>
    </w:p>
    <w:p>
      <w:pPr>
        <w:spacing w:after="0" w:line="14" w:lineRule="exact"/>
        <w:rPr>
          <w:sz w:val="20"/>
          <w:szCs w:val="20"/>
          <w:color w:val="auto"/>
        </w:rPr>
      </w:pPr>
    </w:p>
    <w:p>
      <w:pPr>
        <w:jc w:val="right"/>
        <w:ind w:right="1540"/>
        <w:spacing w:after="0" w:line="237" w:lineRule="auto"/>
        <w:rPr>
          <w:sz w:val="20"/>
          <w:szCs w:val="20"/>
          <w:color w:val="auto"/>
        </w:rPr>
      </w:pPr>
      <w:r>
        <w:rPr>
          <w:rFonts w:ascii="Arial" w:cs="Arial" w:eastAsia="Arial" w:hAnsi="Arial"/>
          <w:sz w:val="17"/>
          <w:szCs w:val="17"/>
          <w:color w:val="474C55"/>
        </w:rPr>
        <w:t>Experience managing a human resources function; experience with executive compensation and broad-based incentive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284480</wp:posOffset>
            </wp:positionV>
            <wp:extent cx="794385" cy="778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94385" cy="77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1540"/>
        <w:spacing w:after="0"/>
        <w:rPr>
          <w:sz w:val="20"/>
          <w:szCs w:val="20"/>
          <w:color w:val="auto"/>
        </w:rPr>
      </w:pPr>
      <w:r>
        <w:rPr>
          <w:rFonts w:ascii="Arial" w:cs="Arial" w:eastAsia="Arial" w:hAnsi="Arial"/>
          <w:sz w:val="18"/>
          <w:szCs w:val="18"/>
          <w:b w:val="1"/>
          <w:bCs w:val="1"/>
          <w:color w:val="017AB5"/>
        </w:rPr>
        <w:t>Technology/Cybersecurity</w:t>
      </w:r>
    </w:p>
    <w:p>
      <w:pPr>
        <w:spacing w:after="0" w:line="14" w:lineRule="exact"/>
        <w:rPr>
          <w:sz w:val="20"/>
          <w:szCs w:val="20"/>
          <w:color w:val="auto"/>
        </w:rPr>
      </w:pPr>
    </w:p>
    <w:p>
      <w:pPr>
        <w:jc w:val="right"/>
        <w:ind w:left="280" w:right="1540"/>
        <w:spacing w:after="0" w:line="237" w:lineRule="auto"/>
        <w:rPr>
          <w:sz w:val="20"/>
          <w:szCs w:val="20"/>
          <w:color w:val="auto"/>
        </w:rPr>
      </w:pPr>
      <w:r>
        <w:rPr>
          <w:rFonts w:ascii="Arial" w:cs="Arial" w:eastAsia="Arial" w:hAnsi="Arial"/>
          <w:sz w:val="17"/>
          <w:szCs w:val="17"/>
          <w:color w:val="474C55"/>
        </w:rPr>
        <w:t>Experience implementing technology strategies and innovation and managing and mitigating cybersecurity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284480</wp:posOffset>
            </wp:positionV>
            <wp:extent cx="794385" cy="802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94385" cy="80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017AB5"/>
        </w:rPr>
        <w:t>Banking Industry Experience</w:t>
      </w:r>
    </w:p>
    <w:p>
      <w:pPr>
        <w:spacing w:after="0" w:line="14" w:lineRule="exact"/>
        <w:rPr>
          <w:sz w:val="20"/>
          <w:szCs w:val="20"/>
          <w:color w:val="auto"/>
        </w:rPr>
      </w:pPr>
    </w:p>
    <w:p>
      <w:pPr>
        <w:jc w:val="both"/>
        <w:ind w:left="3180" w:right="1540" w:hanging="3169"/>
        <w:spacing w:after="0" w:line="272" w:lineRule="auto"/>
        <w:rPr>
          <w:sz w:val="20"/>
          <w:szCs w:val="20"/>
          <w:color w:val="auto"/>
        </w:rPr>
      </w:pPr>
      <w:r>
        <w:rPr>
          <w:rFonts w:ascii="Arial" w:cs="Arial" w:eastAsia="Arial" w:hAnsi="Arial"/>
          <w:sz w:val="16"/>
          <w:szCs w:val="16"/>
          <w:color w:val="474C55"/>
        </w:rPr>
        <w:t>Experience in the banking and/or financial services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339725</wp:posOffset>
            </wp:positionV>
            <wp:extent cx="794385" cy="794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94385" cy="794385"/>
                    </a:xfrm>
                    <a:prstGeom prst="rect">
                      <a:avLst/>
                    </a:prstGeom>
                    <a:noFill/>
                  </pic:spPr>
                </pic:pic>
              </a:graphicData>
            </a:graphic>
          </wp:anchor>
        </w:drawing>
      </w:r>
    </w:p>
    <w:p>
      <w:pPr>
        <w:spacing w:after="0" w:line="473" w:lineRule="exact"/>
        <w:rPr>
          <w:sz w:val="20"/>
          <w:szCs w:val="20"/>
          <w:color w:val="auto"/>
        </w:rPr>
      </w:pPr>
    </w:p>
    <w:p>
      <w:pPr>
        <w:sectPr>
          <w:pgSz w:w="11900" w:h="16838" w:orient="portrait"/>
          <w:cols w:equalWidth="0" w:num="2">
            <w:col w:w="5360" w:space="560"/>
            <w:col w:w="5320"/>
          </w:cols>
          <w:pgMar w:left="320" w:top="800" w:right="339" w:bottom="1079" w:gutter="0" w:footer="0" w:header="0"/>
          <w:type w:val="continuous"/>
        </w:sectPr>
      </w:pPr>
    </w:p>
    <w:p>
      <w:pPr>
        <w:spacing w:after="0" w:line="353"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017AB5"/>
        </w:rPr>
        <w:t>Corporate Finance/Capital Management</w:t>
      </w:r>
    </w:p>
    <w:p>
      <w:pPr>
        <w:spacing w:after="0" w:line="14" w:lineRule="exact"/>
        <w:rPr>
          <w:sz w:val="20"/>
          <w:szCs w:val="20"/>
          <w:color w:val="auto"/>
        </w:rPr>
      </w:pPr>
    </w:p>
    <w:p>
      <w:pPr>
        <w:ind w:left="1560"/>
        <w:spacing w:after="0" w:line="272" w:lineRule="auto"/>
        <w:rPr>
          <w:sz w:val="20"/>
          <w:szCs w:val="20"/>
          <w:color w:val="auto"/>
        </w:rPr>
      </w:pPr>
      <w:r>
        <w:rPr>
          <w:rFonts w:ascii="Arial" w:cs="Arial" w:eastAsia="Arial" w:hAnsi="Arial"/>
          <w:sz w:val="16"/>
          <w:szCs w:val="16"/>
          <w:color w:val="474C55"/>
        </w:rPr>
        <w:t>Experience with corporate finance, capital allocation, and debt and capital market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315595</wp:posOffset>
            </wp:positionV>
            <wp:extent cx="794385" cy="778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94385" cy="77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017AB5"/>
        </w:rPr>
        <w:t>Risk Management</w:t>
      </w:r>
    </w:p>
    <w:p>
      <w:pPr>
        <w:spacing w:after="0" w:line="14" w:lineRule="exact"/>
        <w:rPr>
          <w:sz w:val="20"/>
          <w:szCs w:val="20"/>
          <w:color w:val="auto"/>
        </w:rPr>
      </w:pPr>
    </w:p>
    <w:p>
      <w:pPr>
        <w:ind w:left="1560" w:right="100"/>
        <w:spacing w:after="0" w:line="242" w:lineRule="auto"/>
        <w:rPr>
          <w:sz w:val="20"/>
          <w:szCs w:val="20"/>
          <w:color w:val="auto"/>
        </w:rPr>
      </w:pPr>
      <w:r>
        <w:rPr>
          <w:rFonts w:ascii="Arial" w:cs="Arial" w:eastAsia="Arial" w:hAnsi="Arial"/>
          <w:sz w:val="17"/>
          <w:szCs w:val="17"/>
          <w:color w:val="474C55"/>
        </w:rPr>
        <w:t>Experience overseeing complex risk management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337820</wp:posOffset>
            </wp:positionV>
            <wp:extent cx="794385" cy="778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94385" cy="77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007CB6"/>
        </w:rPr>
        <w:t>Regulatory/Political</w:t>
      </w:r>
    </w:p>
    <w:p>
      <w:pPr>
        <w:spacing w:after="0" w:line="14" w:lineRule="exact"/>
        <w:rPr>
          <w:sz w:val="20"/>
          <w:szCs w:val="20"/>
          <w:color w:val="auto"/>
        </w:rPr>
      </w:pPr>
    </w:p>
    <w:p>
      <w:pPr>
        <w:ind w:left="1560" w:right="60"/>
        <w:spacing w:after="0" w:line="237" w:lineRule="auto"/>
        <w:rPr>
          <w:sz w:val="20"/>
          <w:szCs w:val="20"/>
          <w:color w:val="auto"/>
        </w:rPr>
      </w:pPr>
      <w:r>
        <w:rPr>
          <w:rFonts w:ascii="Arial" w:cs="Arial" w:eastAsia="Arial" w:hAnsi="Arial"/>
          <w:sz w:val="17"/>
          <w:szCs w:val="17"/>
          <w:color w:val="474C55"/>
        </w:rPr>
        <w:t>Experience with governmental relations, regulatory environment, and/or working with regulators; experience as a politician or lobbyist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284480</wp:posOffset>
            </wp:positionV>
            <wp:extent cx="794385" cy="786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94385" cy="786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017AB5"/>
        </w:rPr>
        <w:t>Retail Industry and/or</w:t>
      </w:r>
    </w:p>
    <w:p>
      <w:pPr>
        <w:spacing w:after="0" w:line="7" w:lineRule="exact"/>
        <w:rPr>
          <w:sz w:val="20"/>
          <w:szCs w:val="20"/>
          <w:color w:val="auto"/>
        </w:rPr>
      </w:pPr>
    </w:p>
    <w:p>
      <w:pPr>
        <w:jc w:val="right"/>
        <w:ind w:right="1540"/>
        <w:spacing w:after="0"/>
        <w:rPr>
          <w:sz w:val="20"/>
          <w:szCs w:val="20"/>
          <w:color w:val="auto"/>
        </w:rPr>
      </w:pPr>
      <w:r>
        <w:rPr>
          <w:rFonts w:ascii="Arial" w:cs="Arial" w:eastAsia="Arial" w:hAnsi="Arial"/>
          <w:sz w:val="18"/>
          <w:szCs w:val="18"/>
          <w:b w:val="1"/>
          <w:bCs w:val="1"/>
          <w:color w:val="017AB5"/>
        </w:rPr>
        <w:t>Marketing Experience</w:t>
      </w:r>
    </w:p>
    <w:p>
      <w:pPr>
        <w:jc w:val="right"/>
        <w:ind w:right="1540"/>
        <w:spacing w:after="0" w:line="237" w:lineRule="auto"/>
        <w:rPr>
          <w:sz w:val="20"/>
          <w:szCs w:val="20"/>
          <w:color w:val="auto"/>
        </w:rPr>
      </w:pPr>
      <w:r>
        <w:rPr>
          <w:rFonts w:ascii="Arial" w:cs="Arial" w:eastAsia="Arial" w:hAnsi="Arial"/>
          <w:sz w:val="17"/>
          <w:szCs w:val="17"/>
          <w:color w:val="474C55"/>
        </w:rPr>
        <w:t>Experience with retail industry, transformation to digital platforms, branding major corporations, use of digital marketing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228600</wp:posOffset>
            </wp:positionV>
            <wp:extent cx="794385" cy="778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94385" cy="77851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right"/>
        <w:ind w:right="1540"/>
        <w:spacing w:after="0"/>
        <w:rPr>
          <w:sz w:val="20"/>
          <w:szCs w:val="20"/>
          <w:color w:val="auto"/>
        </w:rPr>
      </w:pPr>
      <w:r>
        <w:rPr>
          <w:rFonts w:ascii="Arial" w:cs="Arial" w:eastAsia="Arial" w:hAnsi="Arial"/>
          <w:sz w:val="18"/>
          <w:szCs w:val="18"/>
          <w:b w:val="1"/>
          <w:bCs w:val="1"/>
          <w:color w:val="017AB5"/>
        </w:rPr>
        <w:t>Mergers and Acquisitions</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6"/>
          <w:szCs w:val="16"/>
          <w:color w:val="474C55"/>
        </w:rPr>
        <w:t>Leadership experience with M&amp;A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551180</wp:posOffset>
            </wp:positionV>
            <wp:extent cx="794385" cy="770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94385" cy="77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007CB6"/>
        </w:rPr>
        <w:t>Corporate Social Responsibility</w:t>
      </w:r>
    </w:p>
    <w:p>
      <w:pPr>
        <w:spacing w:after="0" w:line="14" w:lineRule="exact"/>
        <w:rPr>
          <w:sz w:val="20"/>
          <w:szCs w:val="20"/>
          <w:color w:val="auto"/>
        </w:rPr>
      </w:pPr>
    </w:p>
    <w:p>
      <w:pPr>
        <w:jc w:val="right"/>
        <w:ind w:right="1540"/>
        <w:spacing w:after="0" w:line="234" w:lineRule="auto"/>
        <w:rPr>
          <w:sz w:val="20"/>
          <w:szCs w:val="20"/>
          <w:color w:val="auto"/>
        </w:rPr>
      </w:pPr>
      <w:r>
        <w:rPr>
          <w:rFonts w:ascii="Arial" w:cs="Arial" w:eastAsia="Arial" w:hAnsi="Arial"/>
          <w:sz w:val="17"/>
          <w:szCs w:val="17"/>
          <w:color w:val="474C55"/>
        </w:rPr>
        <w:t>Demonstrates understanding of issues related to corporate social responsibility, sustainability, and environmental stewardship; informed on emerging issues potentially affecting the reputation of the business</w:t>
      </w:r>
    </w:p>
    <w:p>
      <w:pPr>
        <w:spacing w:after="0" w:line="200" w:lineRule="exact"/>
        <w:rPr>
          <w:sz w:val="20"/>
          <w:szCs w:val="20"/>
          <w:color w:val="auto"/>
        </w:rPr>
      </w:pPr>
    </w:p>
    <w:p>
      <w:pPr>
        <w:sectPr>
          <w:pgSz w:w="11900" w:h="16838" w:orient="portrait"/>
          <w:cols w:equalWidth="0" w:num="2">
            <w:col w:w="5360" w:space="640"/>
            <w:col w:w="5240"/>
          </w:cols>
          <w:pgMar w:left="320" w:top="800" w:right="339" w:bottom="1079" w:gutter="0" w:footer="0" w:header="0"/>
          <w:type w:val="continuous"/>
        </w:sectPr>
      </w:pPr>
    </w:p>
    <w:p>
      <w:pPr>
        <w:spacing w:after="0" w:line="228"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017AB5"/>
        </w:rPr>
        <w:t>Corporate Governance</w:t>
      </w:r>
    </w:p>
    <w:p>
      <w:pPr>
        <w:spacing w:after="0" w:line="6" w:lineRule="exact"/>
        <w:rPr>
          <w:sz w:val="20"/>
          <w:szCs w:val="20"/>
          <w:color w:val="auto"/>
        </w:rPr>
      </w:pPr>
    </w:p>
    <w:p>
      <w:pPr>
        <w:ind w:left="1560"/>
        <w:spacing w:after="0"/>
        <w:rPr>
          <w:sz w:val="20"/>
          <w:szCs w:val="20"/>
          <w:color w:val="auto"/>
        </w:rPr>
      </w:pPr>
      <w:r>
        <w:rPr>
          <w:rFonts w:ascii="Arial" w:cs="Arial" w:eastAsia="Arial" w:hAnsi="Arial"/>
          <w:sz w:val="17"/>
          <w:szCs w:val="17"/>
          <w:color w:val="474C55"/>
        </w:rPr>
        <w:t>Demonstrates understanding of current corporate</w:t>
      </w:r>
    </w:p>
    <w:p>
      <w:pPr>
        <w:ind w:left="1560"/>
        <w:spacing w:after="0" w:line="230" w:lineRule="auto"/>
        <w:rPr>
          <w:sz w:val="20"/>
          <w:szCs w:val="20"/>
          <w:color w:val="auto"/>
        </w:rPr>
      </w:pPr>
      <w:r>
        <w:rPr>
          <w:rFonts w:ascii="Arial" w:cs="Arial" w:eastAsia="Arial" w:hAnsi="Arial"/>
          <w:sz w:val="17"/>
          <w:szCs w:val="17"/>
          <w:color w:val="474C55"/>
        </w:rPr>
        <w:t>governance standards and best practices in public</w:t>
      </w:r>
    </w:p>
    <w:p>
      <w:pPr>
        <w:ind w:left="1560"/>
        <w:spacing w:after="0"/>
        <w:rPr>
          <w:sz w:val="20"/>
          <w:szCs w:val="20"/>
          <w:color w:val="auto"/>
        </w:rPr>
      </w:pPr>
      <w:r>
        <w:rPr>
          <w:rFonts w:ascii="Arial" w:cs="Arial" w:eastAsia="Arial" w:hAnsi="Arial"/>
          <w:sz w:val="17"/>
          <w:szCs w:val="17"/>
          <w:color w:val="474C55"/>
        </w:rPr>
        <w:t>companies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0" w:right="339" w:bottom="1079"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i w:val="1"/>
          <w:iCs w:val="1"/>
          <w:color w:val="017AB5"/>
        </w:rPr>
        <w:t>Board Qualifications and Experience Matrix</w:t>
      </w:r>
    </w:p>
    <w:p>
      <w:pPr>
        <w:spacing w:after="0" w:line="19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444A54"/>
        </w:rPr>
        <w:t>The following chart reflects areas of qualifications and experience that our Board views as important when evaluating director nominees. Additional information on the business experience and other qualifications of each of our director nominees is included under Director Nominees for Election. Each director also contributes other important experience, skills, viewpoints, and personal attributes to our Board that are not reflected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42480" cy="158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2480" cy="158750"/>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p>
      <w:pPr>
        <w:spacing w:after="0" w:line="192"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FFFFFF"/>
        </w:rPr>
        <w:t>Knowledge, Skills, and Experience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474C55"/>
        </w:rPr>
        <w:t>Executive Management</w:t>
      </w:r>
    </w:p>
    <w:p>
      <w:pPr>
        <w:spacing w:after="0" w:line="15" w:lineRule="exact"/>
        <w:rPr>
          <w:sz w:val="20"/>
          <w:szCs w:val="20"/>
          <w:color w:val="auto"/>
        </w:rPr>
      </w:pPr>
    </w:p>
    <w:p>
      <w:pPr>
        <w:ind w:left="60"/>
        <w:spacing w:after="0" w:line="262" w:lineRule="auto"/>
        <w:rPr>
          <w:sz w:val="20"/>
          <w:szCs w:val="20"/>
          <w:color w:val="auto"/>
        </w:rPr>
      </w:pPr>
      <w:r>
        <w:rPr>
          <w:rFonts w:ascii="Arial" w:cs="Arial" w:eastAsia="Arial" w:hAnsi="Arial"/>
          <w:sz w:val="13"/>
          <w:szCs w:val="13"/>
          <w:color w:val="474C55"/>
        </w:rPr>
        <w:t>”C-Suite” experience; leadership experience as a division president or functional leader within a complex organization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tabs>
          <w:tab w:leader="none" w:pos="660" w:val="left"/>
          <w:tab w:leader="none" w:pos="1080" w:val="left"/>
          <w:tab w:leader="none" w:pos="2340" w:val="left"/>
          <w:tab w:leader="none" w:pos="2820" w:val="left"/>
          <w:tab w:leader="none" w:pos="4180" w:val="left"/>
          <w:tab w:leader="none" w:pos="4760" w:val="left"/>
          <w:tab w:leader="none" w:pos="5240" w:val="left"/>
          <w:tab w:leader="none" w:pos="6560" w:val="left"/>
        </w:tabs>
        <w:rPr>
          <w:sz w:val="20"/>
          <w:szCs w:val="20"/>
          <w:color w:val="auto"/>
        </w:rPr>
      </w:pPr>
      <w:r>
        <w:rPr>
          <w:rFonts w:ascii="Arial" w:cs="Arial" w:eastAsia="Arial" w:hAnsi="Arial"/>
          <w:sz w:val="13"/>
          <w:szCs w:val="13"/>
          <w:b w:val="1"/>
          <w:bCs w:val="1"/>
          <w:color w:val="FFFFFF"/>
        </w:rPr>
        <w:t>Bazante</w:t>
        <w:tab/>
        <w:t>Bell</w:t>
        <w:tab/>
        <w:t>Clements Daniels</w:t>
        <w:tab/>
        <w:t>Davis</w:t>
        <w:tab/>
        <w:t>Drummond Harton</w:t>
        <w:tab/>
        <w:t>James</w:t>
        <w:tab/>
        <w:t>Mann</w:t>
        <w:tab/>
        <w:t>Richlovsky  Wallis</w:t>
        <w:tab/>
        <w:t>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8255" cy="4451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445135"/>
                    </a:xfrm>
                    <a:prstGeom prst="rect">
                      <a:avLst/>
                    </a:prstGeom>
                    <a:noFill/>
                  </pic:spPr>
                </pic:pic>
              </a:graphicData>
            </a:graphic>
          </wp:anchor>
        </w:drawing>
      </w:r>
    </w:p>
    <w:p>
      <w:pPr>
        <w:spacing w:after="0" w:line="40" w:lineRule="exact"/>
        <w:rPr>
          <w:sz w:val="20"/>
          <w:szCs w:val="20"/>
          <w:color w:val="auto"/>
        </w:rPr>
      </w:pPr>
    </w:p>
    <w:tbl>
      <w:tblPr>
        <w:tblLayout w:type="fixed"/>
        <w:tblInd w:w="180" w:type="dxa"/>
        <w:tblCellMar>
          <w:top w:w="0" w:type="dxa"/>
          <w:left w:w="0" w:type="dxa"/>
          <w:bottom w:w="0" w:type="dxa"/>
          <w:right w:w="0" w:type="dxa"/>
        </w:tblCellMar>
      </w:tblPr>
      <w:tr>
        <w:trPr>
          <w:trHeight w:val="448"/>
        </w:trPr>
        <w:tc>
          <w:tcPr>
            <w:tcW w:w="380" w:type="dxa"/>
            <w:vAlign w:val="bottom"/>
            <w:tcBorders>
              <w:right w:val="single" w:sz="8" w:color="E5E6E6"/>
            </w:tcBorders>
          </w:tcPr>
          <w:p>
            <w:pPr>
              <w:spacing w:after="0" w:line="131" w:lineRule="exact"/>
              <w:rPr>
                <w:sz w:val="20"/>
                <w:szCs w:val="20"/>
                <w:color w:val="auto"/>
              </w:rPr>
            </w:pPr>
            <w:r>
              <w:rPr>
                <w:rFonts w:ascii="MS PGothic" w:cs="MS PGothic" w:eastAsia="MS PGothic" w:hAnsi="MS PGothic"/>
                <w:sz w:val="13"/>
                <w:szCs w:val="13"/>
                <w:color w:val="auto"/>
              </w:rPr>
              <w:t>✓</w:t>
            </w:r>
          </w:p>
        </w:tc>
        <w:tc>
          <w:tcPr>
            <w:tcW w:w="520" w:type="dxa"/>
            <w:vAlign w:val="bottom"/>
            <w:tcBorders>
              <w:right w:val="single" w:sz="8" w:color="E5E6E6"/>
            </w:tcBorders>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660" w:type="dxa"/>
            <w:vAlign w:val="bottom"/>
            <w:tcBorders>
              <w:right w:val="single" w:sz="8" w:color="E5E6E6"/>
            </w:tcBorders>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560" w:type="dxa"/>
            <w:vAlign w:val="bottom"/>
            <w:tcBorders>
              <w:right w:val="single" w:sz="8" w:color="E5E6E6"/>
            </w:tcBorders>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20" w:type="dxa"/>
            <w:vAlign w:val="bottom"/>
            <w:tcBorders>
              <w:right w:val="single" w:sz="8" w:color="E5E6E6"/>
            </w:tcBorders>
          </w:tcPr>
          <w:p>
            <w:pPr>
              <w:spacing w:after="0"/>
              <w:rPr>
                <w:sz w:val="24"/>
                <w:szCs w:val="24"/>
                <w:color w:val="auto"/>
              </w:rPr>
            </w:pPr>
          </w:p>
        </w:tc>
        <w:tc>
          <w:tcPr>
            <w:tcW w:w="780" w:type="dxa"/>
            <w:vAlign w:val="bottom"/>
            <w:tcBorders>
              <w:right w:val="single" w:sz="8" w:color="E5E6E6"/>
            </w:tcBorders>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60" w:type="dxa"/>
            <w:vAlign w:val="bottom"/>
            <w:tcBorders>
              <w:right w:val="single" w:sz="8" w:color="E5E6E6"/>
            </w:tcBorders>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Borders>
              <w:right w:val="single" w:sz="8" w:color="E5E6E6"/>
            </w:tcBorders>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Borders>
              <w:right w:val="single" w:sz="8" w:color="E5E6E6"/>
            </w:tcBorders>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780" w:type="dxa"/>
            <w:vAlign w:val="bottom"/>
            <w:tcBorders>
              <w:right w:val="single" w:sz="8" w:color="E5E6E6"/>
            </w:tcBorders>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Borders>
              <w:right w:val="single" w:sz="8" w:color="E5E6E6"/>
            </w:tcBorders>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3"/>
        </w:trPr>
        <w:tc>
          <w:tcPr>
            <w:tcW w:w="380" w:type="dxa"/>
            <w:vAlign w:val="bottom"/>
            <w:tcBorders>
              <w:right w:val="single" w:sz="8" w:color="E5E6E6"/>
            </w:tcBorders>
          </w:tcPr>
          <w:p>
            <w:pPr>
              <w:spacing w:after="0"/>
              <w:rPr>
                <w:sz w:val="21"/>
                <w:szCs w:val="21"/>
                <w:color w:val="auto"/>
              </w:rPr>
            </w:pPr>
          </w:p>
        </w:tc>
        <w:tc>
          <w:tcPr>
            <w:tcW w:w="520" w:type="dxa"/>
            <w:vAlign w:val="bottom"/>
            <w:tcBorders>
              <w:right w:val="single" w:sz="8" w:color="E5E6E6"/>
            </w:tcBorders>
          </w:tcPr>
          <w:p>
            <w:pPr>
              <w:spacing w:after="0"/>
              <w:rPr>
                <w:sz w:val="21"/>
                <w:szCs w:val="21"/>
                <w:color w:val="auto"/>
              </w:rPr>
            </w:pPr>
          </w:p>
        </w:tc>
        <w:tc>
          <w:tcPr>
            <w:tcW w:w="660" w:type="dxa"/>
            <w:vAlign w:val="bottom"/>
            <w:tcBorders>
              <w:right w:val="single" w:sz="8" w:color="E5E6E6"/>
            </w:tcBorders>
          </w:tcPr>
          <w:p>
            <w:pPr>
              <w:spacing w:after="0"/>
              <w:rPr>
                <w:sz w:val="21"/>
                <w:szCs w:val="21"/>
                <w:color w:val="auto"/>
              </w:rPr>
            </w:pPr>
          </w:p>
        </w:tc>
        <w:tc>
          <w:tcPr>
            <w:tcW w:w="560" w:type="dxa"/>
            <w:vAlign w:val="bottom"/>
            <w:tcBorders>
              <w:right w:val="single" w:sz="8" w:color="E5E6E6"/>
            </w:tcBorders>
          </w:tcPr>
          <w:p>
            <w:pPr>
              <w:spacing w:after="0"/>
              <w:rPr>
                <w:sz w:val="21"/>
                <w:szCs w:val="21"/>
                <w:color w:val="auto"/>
              </w:rPr>
            </w:pPr>
          </w:p>
        </w:tc>
        <w:tc>
          <w:tcPr>
            <w:tcW w:w="520" w:type="dxa"/>
            <w:vAlign w:val="bottom"/>
            <w:tcBorders>
              <w:right w:val="single" w:sz="8" w:color="E5E6E6"/>
            </w:tcBorders>
          </w:tcPr>
          <w:p>
            <w:pPr>
              <w:spacing w:after="0"/>
              <w:rPr>
                <w:sz w:val="21"/>
                <w:szCs w:val="21"/>
                <w:color w:val="auto"/>
              </w:rPr>
            </w:pPr>
          </w:p>
        </w:tc>
        <w:tc>
          <w:tcPr>
            <w:tcW w:w="780" w:type="dxa"/>
            <w:vAlign w:val="bottom"/>
            <w:tcBorders>
              <w:right w:val="single" w:sz="8" w:color="E5E6E6"/>
            </w:tcBorders>
          </w:tcPr>
          <w:p>
            <w:pPr>
              <w:spacing w:after="0"/>
              <w:rPr>
                <w:sz w:val="21"/>
                <w:szCs w:val="21"/>
                <w:color w:val="auto"/>
              </w:rPr>
            </w:pPr>
          </w:p>
        </w:tc>
        <w:tc>
          <w:tcPr>
            <w:tcW w:w="560" w:type="dxa"/>
            <w:vAlign w:val="bottom"/>
            <w:tcBorders>
              <w:right w:val="single" w:sz="8" w:color="E5E6E6"/>
            </w:tcBorders>
          </w:tcPr>
          <w:p>
            <w:pPr>
              <w:spacing w:after="0"/>
              <w:rPr>
                <w:sz w:val="21"/>
                <w:szCs w:val="21"/>
                <w:color w:val="auto"/>
              </w:rPr>
            </w:pPr>
          </w:p>
        </w:tc>
        <w:tc>
          <w:tcPr>
            <w:tcW w:w="540" w:type="dxa"/>
            <w:vAlign w:val="bottom"/>
            <w:tcBorders>
              <w:right w:val="single" w:sz="8" w:color="E5E6E6"/>
            </w:tcBorders>
          </w:tcPr>
          <w:p>
            <w:pPr>
              <w:spacing w:after="0"/>
              <w:rPr>
                <w:sz w:val="21"/>
                <w:szCs w:val="21"/>
                <w:color w:val="auto"/>
              </w:rPr>
            </w:pPr>
          </w:p>
        </w:tc>
        <w:tc>
          <w:tcPr>
            <w:tcW w:w="540" w:type="dxa"/>
            <w:vAlign w:val="bottom"/>
            <w:tcBorders>
              <w:right w:val="single" w:sz="8" w:color="E5E6E6"/>
            </w:tcBorders>
          </w:tcPr>
          <w:p>
            <w:pPr>
              <w:spacing w:after="0"/>
              <w:rPr>
                <w:sz w:val="21"/>
                <w:szCs w:val="21"/>
                <w:color w:val="auto"/>
              </w:rPr>
            </w:pPr>
          </w:p>
        </w:tc>
        <w:tc>
          <w:tcPr>
            <w:tcW w:w="780" w:type="dxa"/>
            <w:vAlign w:val="bottom"/>
            <w:tcBorders>
              <w:right w:val="single" w:sz="8" w:color="E5E6E6"/>
            </w:tcBorders>
          </w:tcPr>
          <w:p>
            <w:pPr>
              <w:spacing w:after="0"/>
              <w:rPr>
                <w:sz w:val="21"/>
                <w:szCs w:val="21"/>
                <w:color w:val="auto"/>
              </w:rPr>
            </w:pPr>
          </w:p>
        </w:tc>
        <w:tc>
          <w:tcPr>
            <w:tcW w:w="540" w:type="dxa"/>
            <w:vAlign w:val="bottom"/>
            <w:tcBorders>
              <w:right w:val="single" w:sz="8" w:color="E5E6E6"/>
            </w:tcBorders>
          </w:tcPr>
          <w:p>
            <w:pPr>
              <w:spacing w:after="0"/>
              <w:rPr>
                <w:sz w:val="21"/>
                <w:szCs w:val="21"/>
                <w:color w:val="auto"/>
              </w:rPr>
            </w:pPr>
          </w:p>
        </w:tc>
        <w:tc>
          <w:tcPr>
            <w:tcW w:w="3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4150995</wp:posOffset>
            </wp:positionH>
            <wp:positionV relativeFrom="paragraph">
              <wp:posOffset>0</wp:posOffset>
            </wp:positionV>
            <wp:extent cx="8255" cy="4451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0</wp:posOffset>
            </wp:positionV>
            <wp:extent cx="8255" cy="4451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0</wp:posOffset>
            </wp:positionV>
            <wp:extent cx="8255" cy="4451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0</wp:posOffset>
            </wp:positionV>
            <wp:extent cx="8255" cy="4451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0</wp:posOffset>
            </wp:positionV>
            <wp:extent cx="8255" cy="4451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0</wp:posOffset>
            </wp:positionV>
            <wp:extent cx="8255" cy="4451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0</wp:posOffset>
            </wp:positionV>
            <wp:extent cx="8255" cy="4451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0</wp:posOffset>
            </wp:positionV>
            <wp:extent cx="8255" cy="4451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0</wp:posOffset>
            </wp:positionV>
            <wp:extent cx="8255" cy="4451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0</wp:posOffset>
            </wp:positionV>
            <wp:extent cx="8255" cy="4451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345440</wp:posOffset>
            </wp:positionH>
            <wp:positionV relativeFrom="paragraph">
              <wp:posOffset>0</wp:posOffset>
            </wp:positionV>
            <wp:extent cx="8255" cy="4451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0</wp:posOffset>
            </wp:positionV>
            <wp:extent cx="8255" cy="4451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44513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80" w:space="580"/>
            <w:col w:w="7080"/>
          </w:cols>
          <w:pgMar w:left="320" w:top="804" w:right="33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4140" w:type="dxa"/>
            <w:vAlign w:val="bottom"/>
            <w:tcBorders>
              <w:right w:val="single" w:sz="8" w:color="E2E3E4"/>
            </w:tcBorders>
            <w:shd w:val="clear" w:color="auto" w:fill="E2E3E4"/>
          </w:tcPr>
          <w:p>
            <w:pPr>
              <w:ind w:left="60"/>
              <w:spacing w:after="0"/>
              <w:rPr>
                <w:sz w:val="20"/>
                <w:szCs w:val="20"/>
                <w:color w:val="auto"/>
              </w:rPr>
            </w:pPr>
            <w:r>
              <w:rPr>
                <w:rFonts w:ascii="Arial" w:cs="Arial" w:eastAsia="Arial" w:hAnsi="Arial"/>
                <w:sz w:val="13"/>
                <w:szCs w:val="13"/>
                <w:b w:val="1"/>
                <w:bCs w:val="1"/>
                <w:color w:val="474C55"/>
              </w:rPr>
              <w:t>Strategic Planning/Oversight</w:t>
            </w:r>
          </w:p>
        </w:tc>
        <w:tc>
          <w:tcPr>
            <w:tcW w:w="580" w:type="dxa"/>
            <w:vAlign w:val="bottom"/>
            <w:tcBorders>
              <w:right w:val="single" w:sz="8" w:color="E2E3E4"/>
            </w:tcBorders>
            <w:vMerge w:val="restart"/>
            <w:shd w:val="clear" w:color="auto" w:fill="E2E3E4"/>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20" w:type="dxa"/>
            <w:vAlign w:val="bottom"/>
            <w:tcBorders>
              <w:right w:val="single" w:sz="8" w:color="E2E3E4"/>
            </w:tcBorders>
            <w:vMerge w:val="restart"/>
            <w:shd w:val="clear" w:color="auto" w:fill="E2E3E4"/>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660" w:type="dxa"/>
            <w:vAlign w:val="bottom"/>
            <w:tcBorders>
              <w:right w:val="single" w:sz="8" w:color="E2E3E4"/>
            </w:tcBorders>
            <w:vMerge w:val="restart"/>
            <w:shd w:val="clear" w:color="auto" w:fill="E2E3E4"/>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1080" w:type="dxa"/>
            <w:vAlign w:val="bottom"/>
            <w:tcBorders>
              <w:right w:val="single" w:sz="8" w:color="E2E3E4"/>
            </w:tcBorders>
            <w:gridSpan w:val="2"/>
            <w:vMerge w:val="restart"/>
            <w:shd w:val="clear" w:color="auto" w:fill="E2E3E4"/>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780" w:type="dxa"/>
            <w:vAlign w:val="bottom"/>
            <w:tcBorders>
              <w:right w:val="single" w:sz="8" w:color="E2E3E4"/>
            </w:tcBorders>
            <w:vMerge w:val="restart"/>
            <w:shd w:val="clear" w:color="auto" w:fill="E2E3E4"/>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60" w:type="dxa"/>
            <w:vAlign w:val="bottom"/>
            <w:tcBorders>
              <w:right w:val="single" w:sz="8" w:color="E2E3E4"/>
            </w:tcBorders>
            <w:vMerge w:val="restart"/>
            <w:shd w:val="clear" w:color="auto" w:fill="E2E3E4"/>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Borders>
              <w:right w:val="single" w:sz="8" w:color="E2E3E4"/>
            </w:tcBorders>
            <w:vMerge w:val="restart"/>
            <w:shd w:val="clear" w:color="auto" w:fill="E2E3E4"/>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Borders>
              <w:right w:val="single" w:sz="8" w:color="E2E3E4"/>
            </w:tcBorders>
            <w:vMerge w:val="restart"/>
            <w:shd w:val="clear" w:color="auto" w:fill="E2E3E4"/>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780" w:type="dxa"/>
            <w:vAlign w:val="bottom"/>
            <w:tcBorders>
              <w:right w:val="single" w:sz="8" w:color="E2E3E4"/>
            </w:tcBorders>
            <w:vMerge w:val="restart"/>
            <w:shd w:val="clear" w:color="auto" w:fill="E2E3E4"/>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Borders>
              <w:right w:val="single" w:sz="8" w:color="E2E3E4"/>
            </w:tcBorders>
            <w:vMerge w:val="restart"/>
            <w:shd w:val="clear" w:color="auto" w:fill="E2E3E4"/>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20" w:type="dxa"/>
            <w:vAlign w:val="bottom"/>
            <w:vMerge w:val="restart"/>
            <w:shd w:val="clear" w:color="auto" w:fill="E2E3E4"/>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50"/>
        </w:trPr>
        <w:tc>
          <w:tcPr>
            <w:tcW w:w="4140" w:type="dxa"/>
            <w:vAlign w:val="bottom"/>
            <w:tcBorders>
              <w:right w:val="single" w:sz="8" w:color="E2E3E4"/>
            </w:tcBorders>
            <w:shd w:val="clear" w:color="auto" w:fill="E2E3E4"/>
          </w:tcPr>
          <w:p>
            <w:pPr>
              <w:ind w:left="60"/>
              <w:spacing w:after="0"/>
              <w:rPr>
                <w:sz w:val="20"/>
                <w:szCs w:val="20"/>
                <w:color w:val="auto"/>
              </w:rPr>
            </w:pPr>
            <w:r>
              <w:rPr>
                <w:rFonts w:ascii="Arial" w:cs="Arial" w:eastAsia="Arial" w:hAnsi="Arial"/>
                <w:sz w:val="13"/>
                <w:szCs w:val="13"/>
                <w:color w:val="474C55"/>
              </w:rPr>
              <w:t>Experience developing and implementing operating plans and</w:t>
            </w:r>
          </w:p>
        </w:tc>
        <w:tc>
          <w:tcPr>
            <w:tcW w:w="580" w:type="dxa"/>
            <w:vAlign w:val="bottom"/>
            <w:tcBorders>
              <w:right w:val="single" w:sz="8" w:color="E2E3E4"/>
            </w:tcBorders>
            <w:vMerge w:val="continue"/>
            <w:shd w:val="clear" w:color="auto" w:fill="E2E3E4"/>
          </w:tcPr>
          <w:p>
            <w:pPr>
              <w:spacing w:after="0"/>
              <w:rPr>
                <w:sz w:val="13"/>
                <w:szCs w:val="13"/>
                <w:color w:val="auto"/>
              </w:rPr>
            </w:pPr>
          </w:p>
        </w:tc>
        <w:tc>
          <w:tcPr>
            <w:tcW w:w="520" w:type="dxa"/>
            <w:vAlign w:val="bottom"/>
            <w:tcBorders>
              <w:right w:val="single" w:sz="8" w:color="E2E3E4"/>
            </w:tcBorders>
            <w:vMerge w:val="continue"/>
            <w:shd w:val="clear" w:color="auto" w:fill="E2E3E4"/>
          </w:tcPr>
          <w:p>
            <w:pPr>
              <w:spacing w:after="0"/>
              <w:rPr>
                <w:sz w:val="13"/>
                <w:szCs w:val="13"/>
                <w:color w:val="auto"/>
              </w:rPr>
            </w:pPr>
          </w:p>
        </w:tc>
        <w:tc>
          <w:tcPr>
            <w:tcW w:w="660" w:type="dxa"/>
            <w:vAlign w:val="bottom"/>
            <w:tcBorders>
              <w:right w:val="single" w:sz="8" w:color="E2E3E4"/>
            </w:tcBorders>
            <w:vMerge w:val="continue"/>
            <w:shd w:val="clear" w:color="auto" w:fill="E2E3E4"/>
          </w:tcPr>
          <w:p>
            <w:pPr>
              <w:spacing w:after="0"/>
              <w:rPr>
                <w:sz w:val="13"/>
                <w:szCs w:val="13"/>
                <w:color w:val="auto"/>
              </w:rPr>
            </w:pPr>
          </w:p>
        </w:tc>
        <w:tc>
          <w:tcPr>
            <w:tcW w:w="1080" w:type="dxa"/>
            <w:vAlign w:val="bottom"/>
            <w:tcBorders>
              <w:right w:val="single" w:sz="8" w:color="E2E3E4"/>
            </w:tcBorders>
            <w:gridSpan w:val="2"/>
            <w:vMerge w:val="continue"/>
            <w:shd w:val="clear" w:color="auto" w:fill="E2E3E4"/>
          </w:tcPr>
          <w:p>
            <w:pPr>
              <w:spacing w:after="0"/>
              <w:rPr>
                <w:sz w:val="13"/>
                <w:szCs w:val="13"/>
                <w:color w:val="auto"/>
              </w:rPr>
            </w:pPr>
          </w:p>
        </w:tc>
        <w:tc>
          <w:tcPr>
            <w:tcW w:w="780" w:type="dxa"/>
            <w:vAlign w:val="bottom"/>
            <w:tcBorders>
              <w:right w:val="single" w:sz="8" w:color="E2E3E4"/>
            </w:tcBorders>
            <w:vMerge w:val="continue"/>
            <w:shd w:val="clear" w:color="auto" w:fill="E2E3E4"/>
          </w:tcPr>
          <w:p>
            <w:pPr>
              <w:spacing w:after="0"/>
              <w:rPr>
                <w:sz w:val="13"/>
                <w:szCs w:val="13"/>
                <w:color w:val="auto"/>
              </w:rPr>
            </w:pPr>
          </w:p>
        </w:tc>
        <w:tc>
          <w:tcPr>
            <w:tcW w:w="560" w:type="dxa"/>
            <w:vAlign w:val="bottom"/>
            <w:tcBorders>
              <w:right w:val="single" w:sz="8" w:color="E2E3E4"/>
            </w:tcBorders>
            <w:vMerge w:val="continue"/>
            <w:shd w:val="clear" w:color="auto" w:fill="E2E3E4"/>
          </w:tcPr>
          <w:p>
            <w:pPr>
              <w:spacing w:after="0"/>
              <w:rPr>
                <w:sz w:val="13"/>
                <w:szCs w:val="13"/>
                <w:color w:val="auto"/>
              </w:rPr>
            </w:pPr>
          </w:p>
        </w:tc>
        <w:tc>
          <w:tcPr>
            <w:tcW w:w="540" w:type="dxa"/>
            <w:vAlign w:val="bottom"/>
            <w:tcBorders>
              <w:right w:val="single" w:sz="8" w:color="E2E3E4"/>
            </w:tcBorders>
            <w:vMerge w:val="continue"/>
            <w:shd w:val="clear" w:color="auto" w:fill="E2E3E4"/>
          </w:tcPr>
          <w:p>
            <w:pPr>
              <w:spacing w:after="0"/>
              <w:rPr>
                <w:sz w:val="13"/>
                <w:szCs w:val="13"/>
                <w:color w:val="auto"/>
              </w:rPr>
            </w:pPr>
          </w:p>
        </w:tc>
        <w:tc>
          <w:tcPr>
            <w:tcW w:w="540" w:type="dxa"/>
            <w:vAlign w:val="bottom"/>
            <w:tcBorders>
              <w:right w:val="single" w:sz="8" w:color="E2E3E4"/>
            </w:tcBorders>
            <w:vMerge w:val="continue"/>
            <w:shd w:val="clear" w:color="auto" w:fill="E2E3E4"/>
          </w:tcPr>
          <w:p>
            <w:pPr>
              <w:spacing w:after="0"/>
              <w:rPr>
                <w:sz w:val="13"/>
                <w:szCs w:val="13"/>
                <w:color w:val="auto"/>
              </w:rPr>
            </w:pPr>
          </w:p>
        </w:tc>
        <w:tc>
          <w:tcPr>
            <w:tcW w:w="780" w:type="dxa"/>
            <w:vAlign w:val="bottom"/>
            <w:tcBorders>
              <w:right w:val="single" w:sz="8" w:color="E2E3E4"/>
            </w:tcBorders>
            <w:vMerge w:val="continue"/>
            <w:shd w:val="clear" w:color="auto" w:fill="E2E3E4"/>
          </w:tcPr>
          <w:p>
            <w:pPr>
              <w:spacing w:after="0"/>
              <w:rPr>
                <w:sz w:val="13"/>
                <w:szCs w:val="13"/>
                <w:color w:val="auto"/>
              </w:rPr>
            </w:pPr>
          </w:p>
        </w:tc>
        <w:tc>
          <w:tcPr>
            <w:tcW w:w="540" w:type="dxa"/>
            <w:vAlign w:val="bottom"/>
            <w:tcBorders>
              <w:right w:val="single" w:sz="8" w:color="E2E3E4"/>
            </w:tcBorders>
            <w:vMerge w:val="continue"/>
            <w:shd w:val="clear" w:color="auto" w:fill="E2E3E4"/>
          </w:tcPr>
          <w:p>
            <w:pPr>
              <w:spacing w:after="0"/>
              <w:rPr>
                <w:sz w:val="13"/>
                <w:szCs w:val="13"/>
                <w:color w:val="auto"/>
              </w:rPr>
            </w:pPr>
          </w:p>
        </w:tc>
        <w:tc>
          <w:tcPr>
            <w:tcW w:w="520" w:type="dxa"/>
            <w:vAlign w:val="bottom"/>
            <w:vMerge w:val="continue"/>
            <w:shd w:val="clear" w:color="auto" w:fill="E2E3E4"/>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40" w:type="dxa"/>
            <w:vAlign w:val="bottom"/>
            <w:tcBorders>
              <w:right w:val="single" w:sz="8" w:color="E2E3E4"/>
            </w:tcBorders>
            <w:shd w:val="clear" w:color="auto" w:fill="E2E3E4"/>
          </w:tcPr>
          <w:p>
            <w:pPr>
              <w:ind w:left="60"/>
              <w:spacing w:after="0"/>
              <w:rPr>
                <w:sz w:val="20"/>
                <w:szCs w:val="20"/>
                <w:color w:val="auto"/>
              </w:rPr>
            </w:pPr>
            <w:r>
              <w:rPr>
                <w:rFonts w:ascii="Arial" w:cs="Arial" w:eastAsia="Arial" w:hAnsi="Arial"/>
                <w:sz w:val="13"/>
                <w:szCs w:val="13"/>
                <w:color w:val="474C55"/>
              </w:rPr>
              <w:t>business strategy</w:t>
            </w:r>
          </w:p>
        </w:tc>
        <w:tc>
          <w:tcPr>
            <w:tcW w:w="580" w:type="dxa"/>
            <w:vAlign w:val="bottom"/>
            <w:tcBorders>
              <w:right w:val="single" w:sz="8" w:color="E2E3E4"/>
            </w:tcBorders>
            <w:shd w:val="clear" w:color="auto" w:fill="E2E3E4"/>
          </w:tcPr>
          <w:p>
            <w:pPr>
              <w:spacing w:after="0"/>
              <w:rPr>
                <w:sz w:val="15"/>
                <w:szCs w:val="15"/>
                <w:color w:val="auto"/>
              </w:rPr>
            </w:pPr>
          </w:p>
        </w:tc>
        <w:tc>
          <w:tcPr>
            <w:tcW w:w="520" w:type="dxa"/>
            <w:vAlign w:val="bottom"/>
            <w:tcBorders>
              <w:right w:val="single" w:sz="8" w:color="E2E3E4"/>
            </w:tcBorders>
            <w:shd w:val="clear" w:color="auto" w:fill="E2E3E4"/>
          </w:tcPr>
          <w:p>
            <w:pPr>
              <w:spacing w:after="0"/>
              <w:rPr>
                <w:sz w:val="15"/>
                <w:szCs w:val="15"/>
                <w:color w:val="auto"/>
              </w:rPr>
            </w:pPr>
          </w:p>
        </w:tc>
        <w:tc>
          <w:tcPr>
            <w:tcW w:w="660" w:type="dxa"/>
            <w:vAlign w:val="bottom"/>
            <w:tcBorders>
              <w:right w:val="single" w:sz="8" w:color="E2E3E4"/>
            </w:tcBorders>
            <w:shd w:val="clear" w:color="auto" w:fill="E2E3E4"/>
          </w:tcPr>
          <w:p>
            <w:pPr>
              <w:spacing w:after="0"/>
              <w:rPr>
                <w:sz w:val="15"/>
                <w:szCs w:val="15"/>
                <w:color w:val="auto"/>
              </w:rPr>
            </w:pPr>
          </w:p>
        </w:tc>
        <w:tc>
          <w:tcPr>
            <w:tcW w:w="560" w:type="dxa"/>
            <w:vAlign w:val="bottom"/>
            <w:tcBorders>
              <w:right w:val="single" w:sz="8" w:color="E2E3E4"/>
            </w:tcBorders>
            <w:shd w:val="clear" w:color="auto" w:fill="E2E3E4"/>
          </w:tcPr>
          <w:p>
            <w:pPr>
              <w:spacing w:after="0"/>
              <w:rPr>
                <w:sz w:val="15"/>
                <w:szCs w:val="15"/>
                <w:color w:val="auto"/>
              </w:rPr>
            </w:pPr>
          </w:p>
        </w:tc>
        <w:tc>
          <w:tcPr>
            <w:tcW w:w="520" w:type="dxa"/>
            <w:vAlign w:val="bottom"/>
            <w:tcBorders>
              <w:right w:val="single" w:sz="8" w:color="E2E3E4"/>
            </w:tcBorders>
            <w:shd w:val="clear" w:color="auto" w:fill="E2E3E4"/>
          </w:tcPr>
          <w:p>
            <w:pPr>
              <w:spacing w:after="0"/>
              <w:rPr>
                <w:sz w:val="15"/>
                <w:szCs w:val="15"/>
                <w:color w:val="auto"/>
              </w:rPr>
            </w:pPr>
          </w:p>
        </w:tc>
        <w:tc>
          <w:tcPr>
            <w:tcW w:w="780" w:type="dxa"/>
            <w:vAlign w:val="bottom"/>
            <w:tcBorders>
              <w:right w:val="single" w:sz="8" w:color="E2E3E4"/>
            </w:tcBorders>
            <w:shd w:val="clear" w:color="auto" w:fill="E2E3E4"/>
          </w:tcPr>
          <w:p>
            <w:pPr>
              <w:spacing w:after="0"/>
              <w:rPr>
                <w:sz w:val="15"/>
                <w:szCs w:val="15"/>
                <w:color w:val="auto"/>
              </w:rPr>
            </w:pPr>
          </w:p>
        </w:tc>
        <w:tc>
          <w:tcPr>
            <w:tcW w:w="560" w:type="dxa"/>
            <w:vAlign w:val="bottom"/>
            <w:tcBorders>
              <w:right w:val="single" w:sz="8" w:color="E2E3E4"/>
            </w:tcBorders>
            <w:shd w:val="clear" w:color="auto" w:fill="E2E3E4"/>
          </w:tcPr>
          <w:p>
            <w:pPr>
              <w:spacing w:after="0"/>
              <w:rPr>
                <w:sz w:val="15"/>
                <w:szCs w:val="15"/>
                <w:color w:val="auto"/>
              </w:rPr>
            </w:pPr>
          </w:p>
        </w:tc>
        <w:tc>
          <w:tcPr>
            <w:tcW w:w="540" w:type="dxa"/>
            <w:vAlign w:val="bottom"/>
            <w:tcBorders>
              <w:right w:val="single" w:sz="8" w:color="E2E3E4"/>
            </w:tcBorders>
            <w:shd w:val="clear" w:color="auto" w:fill="E2E3E4"/>
          </w:tcPr>
          <w:p>
            <w:pPr>
              <w:spacing w:after="0"/>
              <w:rPr>
                <w:sz w:val="15"/>
                <w:szCs w:val="15"/>
                <w:color w:val="auto"/>
              </w:rPr>
            </w:pPr>
          </w:p>
        </w:tc>
        <w:tc>
          <w:tcPr>
            <w:tcW w:w="540" w:type="dxa"/>
            <w:vAlign w:val="bottom"/>
            <w:tcBorders>
              <w:right w:val="single" w:sz="8" w:color="E2E3E4"/>
            </w:tcBorders>
            <w:shd w:val="clear" w:color="auto" w:fill="E2E3E4"/>
          </w:tcPr>
          <w:p>
            <w:pPr>
              <w:spacing w:after="0"/>
              <w:rPr>
                <w:sz w:val="15"/>
                <w:szCs w:val="15"/>
                <w:color w:val="auto"/>
              </w:rPr>
            </w:pPr>
          </w:p>
        </w:tc>
        <w:tc>
          <w:tcPr>
            <w:tcW w:w="780" w:type="dxa"/>
            <w:vAlign w:val="bottom"/>
            <w:tcBorders>
              <w:right w:val="single" w:sz="8" w:color="E2E3E4"/>
            </w:tcBorders>
            <w:shd w:val="clear" w:color="auto" w:fill="E2E3E4"/>
          </w:tcPr>
          <w:p>
            <w:pPr>
              <w:spacing w:after="0"/>
              <w:rPr>
                <w:sz w:val="15"/>
                <w:szCs w:val="15"/>
                <w:color w:val="auto"/>
              </w:rPr>
            </w:pPr>
          </w:p>
        </w:tc>
        <w:tc>
          <w:tcPr>
            <w:tcW w:w="540" w:type="dxa"/>
            <w:vAlign w:val="bottom"/>
            <w:tcBorders>
              <w:right w:val="single" w:sz="8" w:color="E2E3E4"/>
            </w:tcBorders>
            <w:shd w:val="clear" w:color="auto" w:fill="E2E3E4"/>
          </w:tcPr>
          <w:p>
            <w:pPr>
              <w:spacing w:after="0"/>
              <w:rPr>
                <w:sz w:val="15"/>
                <w:szCs w:val="15"/>
                <w:color w:val="auto"/>
              </w:rPr>
            </w:pPr>
          </w:p>
        </w:tc>
        <w:tc>
          <w:tcPr>
            <w:tcW w:w="520" w:type="dxa"/>
            <w:vAlign w:val="bottom"/>
            <w:shd w:val="clear" w:color="auto" w:fill="E2E3E4"/>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140" w:type="dxa"/>
            <w:vAlign w:val="bottom"/>
            <w:tcBorders>
              <w:right w:val="single" w:sz="8" w:color="E2E3E4"/>
            </w:tcBorders>
            <w:shd w:val="clear" w:color="auto" w:fill="E2E3E4"/>
          </w:tcPr>
          <w:p>
            <w:pPr>
              <w:spacing w:after="0"/>
              <w:rPr>
                <w:sz w:val="9"/>
                <w:szCs w:val="9"/>
                <w:color w:val="auto"/>
              </w:rPr>
            </w:pPr>
          </w:p>
        </w:tc>
        <w:tc>
          <w:tcPr>
            <w:tcW w:w="580" w:type="dxa"/>
            <w:vAlign w:val="bottom"/>
            <w:tcBorders>
              <w:right w:val="single" w:sz="8" w:color="E2E3E4"/>
            </w:tcBorders>
            <w:shd w:val="clear" w:color="auto" w:fill="E2E3E4"/>
          </w:tcPr>
          <w:p>
            <w:pPr>
              <w:spacing w:after="0"/>
              <w:rPr>
                <w:sz w:val="9"/>
                <w:szCs w:val="9"/>
                <w:color w:val="auto"/>
              </w:rPr>
            </w:pPr>
          </w:p>
        </w:tc>
        <w:tc>
          <w:tcPr>
            <w:tcW w:w="520" w:type="dxa"/>
            <w:vAlign w:val="bottom"/>
            <w:tcBorders>
              <w:right w:val="single" w:sz="8" w:color="E2E3E4"/>
            </w:tcBorders>
            <w:shd w:val="clear" w:color="auto" w:fill="E2E3E4"/>
          </w:tcPr>
          <w:p>
            <w:pPr>
              <w:spacing w:after="0"/>
              <w:rPr>
                <w:sz w:val="9"/>
                <w:szCs w:val="9"/>
                <w:color w:val="auto"/>
              </w:rPr>
            </w:pPr>
          </w:p>
        </w:tc>
        <w:tc>
          <w:tcPr>
            <w:tcW w:w="660" w:type="dxa"/>
            <w:vAlign w:val="bottom"/>
            <w:tcBorders>
              <w:right w:val="single" w:sz="8" w:color="E2E3E4"/>
            </w:tcBorders>
            <w:shd w:val="clear" w:color="auto" w:fill="E2E3E4"/>
          </w:tcPr>
          <w:p>
            <w:pPr>
              <w:spacing w:after="0"/>
              <w:rPr>
                <w:sz w:val="9"/>
                <w:szCs w:val="9"/>
                <w:color w:val="auto"/>
              </w:rPr>
            </w:pPr>
          </w:p>
        </w:tc>
        <w:tc>
          <w:tcPr>
            <w:tcW w:w="560" w:type="dxa"/>
            <w:vAlign w:val="bottom"/>
            <w:tcBorders>
              <w:right w:val="single" w:sz="8" w:color="E2E3E4"/>
            </w:tcBorders>
            <w:shd w:val="clear" w:color="auto" w:fill="E2E3E4"/>
          </w:tcPr>
          <w:p>
            <w:pPr>
              <w:spacing w:after="0"/>
              <w:rPr>
                <w:sz w:val="9"/>
                <w:szCs w:val="9"/>
                <w:color w:val="auto"/>
              </w:rPr>
            </w:pPr>
          </w:p>
        </w:tc>
        <w:tc>
          <w:tcPr>
            <w:tcW w:w="520" w:type="dxa"/>
            <w:vAlign w:val="bottom"/>
            <w:tcBorders>
              <w:right w:val="single" w:sz="8" w:color="E2E3E4"/>
            </w:tcBorders>
            <w:shd w:val="clear" w:color="auto" w:fill="E2E3E4"/>
          </w:tcPr>
          <w:p>
            <w:pPr>
              <w:spacing w:after="0"/>
              <w:rPr>
                <w:sz w:val="9"/>
                <w:szCs w:val="9"/>
                <w:color w:val="auto"/>
              </w:rPr>
            </w:pPr>
          </w:p>
        </w:tc>
        <w:tc>
          <w:tcPr>
            <w:tcW w:w="780" w:type="dxa"/>
            <w:vAlign w:val="bottom"/>
            <w:tcBorders>
              <w:right w:val="single" w:sz="8" w:color="E2E3E4"/>
            </w:tcBorders>
            <w:shd w:val="clear" w:color="auto" w:fill="E2E3E4"/>
          </w:tcPr>
          <w:p>
            <w:pPr>
              <w:spacing w:after="0"/>
              <w:rPr>
                <w:sz w:val="9"/>
                <w:szCs w:val="9"/>
                <w:color w:val="auto"/>
              </w:rPr>
            </w:pPr>
          </w:p>
        </w:tc>
        <w:tc>
          <w:tcPr>
            <w:tcW w:w="560" w:type="dxa"/>
            <w:vAlign w:val="bottom"/>
            <w:tcBorders>
              <w:right w:val="single" w:sz="8" w:color="E2E3E4"/>
            </w:tcBorders>
            <w:shd w:val="clear" w:color="auto" w:fill="E2E3E4"/>
          </w:tcPr>
          <w:p>
            <w:pPr>
              <w:spacing w:after="0"/>
              <w:rPr>
                <w:sz w:val="9"/>
                <w:szCs w:val="9"/>
                <w:color w:val="auto"/>
              </w:rPr>
            </w:pPr>
          </w:p>
        </w:tc>
        <w:tc>
          <w:tcPr>
            <w:tcW w:w="540" w:type="dxa"/>
            <w:vAlign w:val="bottom"/>
            <w:tcBorders>
              <w:right w:val="single" w:sz="8" w:color="E2E3E4"/>
            </w:tcBorders>
            <w:shd w:val="clear" w:color="auto" w:fill="E2E3E4"/>
          </w:tcPr>
          <w:p>
            <w:pPr>
              <w:spacing w:after="0"/>
              <w:rPr>
                <w:sz w:val="9"/>
                <w:szCs w:val="9"/>
                <w:color w:val="auto"/>
              </w:rPr>
            </w:pPr>
          </w:p>
        </w:tc>
        <w:tc>
          <w:tcPr>
            <w:tcW w:w="540" w:type="dxa"/>
            <w:vAlign w:val="bottom"/>
            <w:tcBorders>
              <w:right w:val="single" w:sz="8" w:color="E2E3E4"/>
            </w:tcBorders>
            <w:shd w:val="clear" w:color="auto" w:fill="E2E3E4"/>
          </w:tcPr>
          <w:p>
            <w:pPr>
              <w:spacing w:after="0"/>
              <w:rPr>
                <w:sz w:val="9"/>
                <w:szCs w:val="9"/>
                <w:color w:val="auto"/>
              </w:rPr>
            </w:pPr>
          </w:p>
        </w:tc>
        <w:tc>
          <w:tcPr>
            <w:tcW w:w="780" w:type="dxa"/>
            <w:vAlign w:val="bottom"/>
            <w:tcBorders>
              <w:right w:val="single" w:sz="8" w:color="E2E3E4"/>
            </w:tcBorders>
            <w:shd w:val="clear" w:color="auto" w:fill="E2E3E4"/>
          </w:tcPr>
          <w:p>
            <w:pPr>
              <w:spacing w:after="0"/>
              <w:rPr>
                <w:sz w:val="9"/>
                <w:szCs w:val="9"/>
                <w:color w:val="auto"/>
              </w:rPr>
            </w:pPr>
          </w:p>
        </w:tc>
        <w:tc>
          <w:tcPr>
            <w:tcW w:w="540" w:type="dxa"/>
            <w:vAlign w:val="bottom"/>
            <w:tcBorders>
              <w:right w:val="single" w:sz="8" w:color="E2E3E4"/>
            </w:tcBorders>
            <w:shd w:val="clear" w:color="auto" w:fill="E2E3E4"/>
          </w:tcPr>
          <w:p>
            <w:pPr>
              <w:spacing w:after="0"/>
              <w:rPr>
                <w:sz w:val="9"/>
                <w:szCs w:val="9"/>
                <w:color w:val="auto"/>
              </w:rPr>
            </w:pPr>
          </w:p>
        </w:tc>
        <w:tc>
          <w:tcPr>
            <w:tcW w:w="520" w:type="dxa"/>
            <w:vAlign w:val="bottom"/>
            <w:shd w:val="clear" w:color="auto" w:fill="E2E3E4"/>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4140" w:type="dxa"/>
            <w:vAlign w:val="bottom"/>
            <w:tcBorders>
              <w:right w:val="single" w:sz="8" w:color="E5E6E6"/>
            </w:tcBorders>
          </w:tcPr>
          <w:p>
            <w:pPr>
              <w:ind w:left="60"/>
              <w:spacing w:after="0"/>
              <w:rPr>
                <w:sz w:val="20"/>
                <w:szCs w:val="20"/>
                <w:color w:val="auto"/>
              </w:rPr>
            </w:pPr>
            <w:r>
              <w:rPr>
                <w:rFonts w:ascii="Arial" w:cs="Arial" w:eastAsia="Arial" w:hAnsi="Arial"/>
                <w:sz w:val="13"/>
                <w:szCs w:val="13"/>
                <w:b w:val="1"/>
                <w:bCs w:val="1"/>
                <w:color w:val="474C55"/>
              </w:rPr>
              <w:t>Financial/Accounting</w:t>
            </w:r>
          </w:p>
        </w:tc>
        <w:tc>
          <w:tcPr>
            <w:tcW w:w="580" w:type="dxa"/>
            <w:vAlign w:val="bottom"/>
            <w:tcBorders>
              <w:right w:val="single" w:sz="8" w:color="E5E6E6"/>
            </w:tcBorders>
          </w:tcPr>
          <w:p>
            <w:pPr>
              <w:spacing w:after="0"/>
              <w:rPr>
                <w:sz w:val="23"/>
                <w:szCs w:val="23"/>
                <w:color w:val="auto"/>
              </w:rPr>
            </w:pPr>
          </w:p>
        </w:tc>
        <w:tc>
          <w:tcPr>
            <w:tcW w:w="520" w:type="dxa"/>
            <w:vAlign w:val="bottom"/>
            <w:tcBorders>
              <w:right w:val="single" w:sz="8" w:color="E5E6E6"/>
            </w:tcBorders>
          </w:tcPr>
          <w:p>
            <w:pPr>
              <w:spacing w:after="0"/>
              <w:rPr>
                <w:sz w:val="23"/>
                <w:szCs w:val="23"/>
                <w:color w:val="auto"/>
              </w:rPr>
            </w:pPr>
          </w:p>
        </w:tc>
        <w:tc>
          <w:tcPr>
            <w:tcW w:w="660" w:type="dxa"/>
            <w:vAlign w:val="bottom"/>
            <w:tcBorders>
              <w:right w:val="single" w:sz="8" w:color="E5E6E6"/>
            </w:tcBorders>
          </w:tcPr>
          <w:p>
            <w:pPr>
              <w:spacing w:after="0"/>
              <w:rPr>
                <w:sz w:val="23"/>
                <w:szCs w:val="23"/>
                <w:color w:val="auto"/>
              </w:rPr>
            </w:pPr>
          </w:p>
        </w:tc>
        <w:tc>
          <w:tcPr>
            <w:tcW w:w="560" w:type="dxa"/>
            <w:vAlign w:val="bottom"/>
            <w:tcBorders>
              <w:right w:val="single" w:sz="8" w:color="E5E6E6"/>
            </w:tcBorders>
          </w:tcPr>
          <w:p>
            <w:pPr>
              <w:spacing w:after="0"/>
              <w:rPr>
                <w:sz w:val="23"/>
                <w:szCs w:val="23"/>
                <w:color w:val="auto"/>
              </w:rPr>
            </w:pPr>
          </w:p>
        </w:tc>
        <w:tc>
          <w:tcPr>
            <w:tcW w:w="520" w:type="dxa"/>
            <w:vAlign w:val="bottom"/>
            <w:tcBorders>
              <w:right w:val="single" w:sz="8" w:color="E5E6E6"/>
            </w:tcBorders>
          </w:tcPr>
          <w:p>
            <w:pPr>
              <w:spacing w:after="0"/>
              <w:rPr>
                <w:sz w:val="23"/>
                <w:szCs w:val="23"/>
                <w:color w:val="auto"/>
              </w:rPr>
            </w:pPr>
          </w:p>
        </w:tc>
        <w:tc>
          <w:tcPr>
            <w:tcW w:w="780" w:type="dxa"/>
            <w:vAlign w:val="bottom"/>
            <w:tcBorders>
              <w:right w:val="single" w:sz="8" w:color="E5E6E6"/>
            </w:tcBorders>
          </w:tcPr>
          <w:p>
            <w:pPr>
              <w:spacing w:after="0"/>
              <w:rPr>
                <w:sz w:val="23"/>
                <w:szCs w:val="23"/>
                <w:color w:val="auto"/>
              </w:rPr>
            </w:pPr>
          </w:p>
        </w:tc>
        <w:tc>
          <w:tcPr>
            <w:tcW w:w="560" w:type="dxa"/>
            <w:vAlign w:val="bottom"/>
            <w:tcBorders>
              <w:right w:val="single" w:sz="8" w:color="E5E6E6"/>
            </w:tcBorders>
          </w:tcPr>
          <w:p>
            <w:pPr>
              <w:spacing w:after="0"/>
              <w:rPr>
                <w:sz w:val="23"/>
                <w:szCs w:val="23"/>
                <w:color w:val="auto"/>
              </w:rPr>
            </w:pPr>
          </w:p>
        </w:tc>
        <w:tc>
          <w:tcPr>
            <w:tcW w:w="540" w:type="dxa"/>
            <w:vAlign w:val="bottom"/>
            <w:tcBorders>
              <w:right w:val="single" w:sz="8" w:color="E5E6E6"/>
            </w:tcBorders>
          </w:tcPr>
          <w:p>
            <w:pPr>
              <w:spacing w:after="0"/>
              <w:rPr>
                <w:sz w:val="23"/>
                <w:szCs w:val="23"/>
                <w:color w:val="auto"/>
              </w:rPr>
            </w:pPr>
          </w:p>
        </w:tc>
        <w:tc>
          <w:tcPr>
            <w:tcW w:w="540" w:type="dxa"/>
            <w:vAlign w:val="bottom"/>
            <w:tcBorders>
              <w:right w:val="single" w:sz="8" w:color="E5E6E6"/>
            </w:tcBorders>
          </w:tcPr>
          <w:p>
            <w:pPr>
              <w:spacing w:after="0"/>
              <w:rPr>
                <w:sz w:val="23"/>
                <w:szCs w:val="23"/>
                <w:color w:val="auto"/>
              </w:rPr>
            </w:pPr>
          </w:p>
        </w:tc>
        <w:tc>
          <w:tcPr>
            <w:tcW w:w="780" w:type="dxa"/>
            <w:vAlign w:val="bottom"/>
            <w:tcBorders>
              <w:right w:val="single" w:sz="8" w:color="E5E6E6"/>
            </w:tcBorders>
          </w:tcPr>
          <w:p>
            <w:pPr>
              <w:spacing w:after="0"/>
              <w:rPr>
                <w:sz w:val="23"/>
                <w:szCs w:val="23"/>
                <w:color w:val="auto"/>
              </w:rPr>
            </w:pPr>
          </w:p>
        </w:tc>
        <w:tc>
          <w:tcPr>
            <w:tcW w:w="540" w:type="dxa"/>
            <w:vAlign w:val="bottom"/>
            <w:tcBorders>
              <w:right w:val="single" w:sz="8" w:color="E5E6E6"/>
            </w:tcBorders>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4140" w:type="dxa"/>
            <w:vAlign w:val="bottom"/>
            <w:tcBorders>
              <w:right w:val="single" w:sz="8" w:color="E5E6E6"/>
            </w:tcBorders>
          </w:tcPr>
          <w:p>
            <w:pPr>
              <w:ind w:left="60"/>
              <w:spacing w:after="0"/>
              <w:rPr>
                <w:sz w:val="20"/>
                <w:szCs w:val="20"/>
                <w:color w:val="auto"/>
              </w:rPr>
            </w:pPr>
            <w:r>
              <w:rPr>
                <w:rFonts w:ascii="Arial" w:cs="Arial" w:eastAsia="Arial" w:hAnsi="Arial"/>
                <w:sz w:val="13"/>
                <w:szCs w:val="13"/>
                <w:color w:val="474C55"/>
              </w:rPr>
              <w:t>Meets qualified SEC financial expert definition and possesses</w:t>
            </w:r>
          </w:p>
        </w:tc>
        <w:tc>
          <w:tcPr>
            <w:tcW w:w="580" w:type="dxa"/>
            <w:vAlign w:val="bottom"/>
            <w:tcBorders>
              <w:right w:val="single" w:sz="8" w:color="E5E6E6"/>
            </w:tcBorders>
          </w:tcPr>
          <w:p>
            <w:pPr>
              <w:spacing w:after="0"/>
              <w:rPr>
                <w:sz w:val="13"/>
                <w:szCs w:val="13"/>
                <w:color w:val="auto"/>
              </w:rPr>
            </w:pPr>
          </w:p>
        </w:tc>
        <w:tc>
          <w:tcPr>
            <w:tcW w:w="520" w:type="dxa"/>
            <w:vAlign w:val="bottom"/>
            <w:tcBorders>
              <w:right w:val="single" w:sz="8" w:color="E5E6E6"/>
            </w:tcBorders>
          </w:tcPr>
          <w:p>
            <w:pPr>
              <w:spacing w:after="0"/>
              <w:rPr>
                <w:sz w:val="13"/>
                <w:szCs w:val="13"/>
                <w:color w:val="auto"/>
              </w:rPr>
            </w:pPr>
          </w:p>
        </w:tc>
        <w:tc>
          <w:tcPr>
            <w:tcW w:w="660" w:type="dxa"/>
            <w:vAlign w:val="bottom"/>
            <w:tcBorders>
              <w:right w:val="single" w:sz="8" w:color="E5E6E6"/>
            </w:tcBorders>
          </w:tcPr>
          <w:p>
            <w:pPr>
              <w:spacing w:after="0"/>
              <w:rPr>
                <w:sz w:val="13"/>
                <w:szCs w:val="13"/>
                <w:color w:val="auto"/>
              </w:rPr>
            </w:pPr>
          </w:p>
        </w:tc>
        <w:tc>
          <w:tcPr>
            <w:tcW w:w="560" w:type="dxa"/>
            <w:vAlign w:val="bottom"/>
            <w:tcBorders>
              <w:right w:val="single" w:sz="8" w:color="E5E6E6"/>
            </w:tcBorders>
          </w:tcPr>
          <w:p>
            <w:pPr>
              <w:spacing w:after="0"/>
              <w:rPr>
                <w:sz w:val="13"/>
                <w:szCs w:val="13"/>
                <w:color w:val="auto"/>
              </w:rPr>
            </w:pPr>
          </w:p>
        </w:tc>
        <w:tc>
          <w:tcPr>
            <w:tcW w:w="520" w:type="dxa"/>
            <w:vAlign w:val="bottom"/>
            <w:tcBorders>
              <w:right w:val="single" w:sz="8" w:color="E5E6E6"/>
            </w:tcBorders>
            <w:vMerge w:val="restart"/>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780" w:type="dxa"/>
            <w:vAlign w:val="bottom"/>
            <w:tcBorders>
              <w:right w:val="single" w:sz="8" w:color="E5E6E6"/>
            </w:tcBorders>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60" w:type="dxa"/>
            <w:vAlign w:val="bottom"/>
            <w:tcBorders>
              <w:right w:val="single" w:sz="8" w:color="E5E6E6"/>
            </w:tcBorders>
          </w:tcPr>
          <w:p>
            <w:pPr>
              <w:spacing w:after="0"/>
              <w:rPr>
                <w:sz w:val="13"/>
                <w:szCs w:val="13"/>
                <w:color w:val="auto"/>
              </w:rPr>
            </w:pPr>
          </w:p>
        </w:tc>
        <w:tc>
          <w:tcPr>
            <w:tcW w:w="540" w:type="dxa"/>
            <w:vAlign w:val="bottom"/>
            <w:tcBorders>
              <w:right w:val="single" w:sz="8" w:color="E5E6E6"/>
            </w:tcBorders>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Borders>
              <w:right w:val="single" w:sz="8" w:color="E5E6E6"/>
            </w:tcBorders>
          </w:tcPr>
          <w:p>
            <w:pPr>
              <w:spacing w:after="0"/>
              <w:rPr>
                <w:sz w:val="13"/>
                <w:szCs w:val="13"/>
                <w:color w:val="auto"/>
              </w:rPr>
            </w:pPr>
          </w:p>
        </w:tc>
        <w:tc>
          <w:tcPr>
            <w:tcW w:w="780" w:type="dxa"/>
            <w:vAlign w:val="bottom"/>
            <w:tcBorders>
              <w:right w:val="single" w:sz="8" w:color="E5E6E6"/>
            </w:tcBorders>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Borders>
              <w:right w:val="single" w:sz="8" w:color="E5E6E6"/>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140" w:type="dxa"/>
            <w:vAlign w:val="bottom"/>
            <w:tcBorders>
              <w:right w:val="single" w:sz="8" w:color="E5E6E6"/>
            </w:tcBorders>
          </w:tcPr>
          <w:p>
            <w:pPr>
              <w:ind w:left="60"/>
              <w:spacing w:after="0"/>
              <w:rPr>
                <w:sz w:val="20"/>
                <w:szCs w:val="20"/>
                <w:color w:val="auto"/>
              </w:rPr>
            </w:pPr>
            <w:r>
              <w:rPr>
                <w:rFonts w:ascii="Arial" w:cs="Arial" w:eastAsia="Arial" w:hAnsi="Arial"/>
                <w:sz w:val="13"/>
                <w:szCs w:val="13"/>
                <w:color w:val="474C55"/>
              </w:rPr>
              <w:t>significant financial expertise with knowledge of financial reporting</w:t>
            </w:r>
          </w:p>
        </w:tc>
        <w:tc>
          <w:tcPr>
            <w:tcW w:w="580" w:type="dxa"/>
            <w:vAlign w:val="bottom"/>
            <w:tcBorders>
              <w:right w:val="single" w:sz="8" w:color="E5E6E6"/>
            </w:tcBorders>
          </w:tcPr>
          <w:p>
            <w:pPr>
              <w:spacing w:after="0"/>
              <w:rPr>
                <w:sz w:val="13"/>
                <w:szCs w:val="13"/>
                <w:color w:val="auto"/>
              </w:rPr>
            </w:pPr>
          </w:p>
        </w:tc>
        <w:tc>
          <w:tcPr>
            <w:tcW w:w="520" w:type="dxa"/>
            <w:vAlign w:val="bottom"/>
            <w:tcBorders>
              <w:right w:val="single" w:sz="8" w:color="E5E6E6"/>
            </w:tcBorders>
          </w:tcPr>
          <w:p>
            <w:pPr>
              <w:spacing w:after="0"/>
              <w:rPr>
                <w:sz w:val="13"/>
                <w:szCs w:val="13"/>
                <w:color w:val="auto"/>
              </w:rPr>
            </w:pPr>
          </w:p>
        </w:tc>
        <w:tc>
          <w:tcPr>
            <w:tcW w:w="660" w:type="dxa"/>
            <w:vAlign w:val="bottom"/>
            <w:tcBorders>
              <w:right w:val="single" w:sz="8" w:color="E5E6E6"/>
            </w:tcBorders>
          </w:tcPr>
          <w:p>
            <w:pPr>
              <w:spacing w:after="0"/>
              <w:rPr>
                <w:sz w:val="13"/>
                <w:szCs w:val="13"/>
                <w:color w:val="auto"/>
              </w:rPr>
            </w:pPr>
          </w:p>
        </w:tc>
        <w:tc>
          <w:tcPr>
            <w:tcW w:w="560" w:type="dxa"/>
            <w:vAlign w:val="bottom"/>
            <w:tcBorders>
              <w:right w:val="single" w:sz="8" w:color="E5E6E6"/>
            </w:tcBorders>
          </w:tcPr>
          <w:p>
            <w:pPr>
              <w:spacing w:after="0"/>
              <w:rPr>
                <w:sz w:val="13"/>
                <w:szCs w:val="13"/>
                <w:color w:val="auto"/>
              </w:rPr>
            </w:pPr>
          </w:p>
        </w:tc>
        <w:tc>
          <w:tcPr>
            <w:tcW w:w="520" w:type="dxa"/>
            <w:vAlign w:val="bottom"/>
            <w:tcBorders>
              <w:right w:val="single" w:sz="8" w:color="E5E6E6"/>
            </w:tcBorders>
            <w:vMerge w:val="continue"/>
          </w:tcPr>
          <w:p>
            <w:pPr>
              <w:spacing w:after="0"/>
              <w:rPr>
                <w:sz w:val="13"/>
                <w:szCs w:val="13"/>
                <w:color w:val="auto"/>
              </w:rPr>
            </w:pPr>
          </w:p>
        </w:tc>
        <w:tc>
          <w:tcPr>
            <w:tcW w:w="780" w:type="dxa"/>
            <w:vAlign w:val="bottom"/>
            <w:tcBorders>
              <w:right w:val="single" w:sz="8" w:color="E5E6E6"/>
            </w:tcBorders>
            <w:vMerge w:val="continue"/>
          </w:tcPr>
          <w:p>
            <w:pPr>
              <w:spacing w:after="0"/>
              <w:rPr>
                <w:sz w:val="13"/>
                <w:szCs w:val="13"/>
                <w:color w:val="auto"/>
              </w:rPr>
            </w:pPr>
          </w:p>
        </w:tc>
        <w:tc>
          <w:tcPr>
            <w:tcW w:w="560" w:type="dxa"/>
            <w:vAlign w:val="bottom"/>
            <w:tcBorders>
              <w:right w:val="single" w:sz="8" w:color="E5E6E6"/>
            </w:tcBorders>
          </w:tcPr>
          <w:p>
            <w:pPr>
              <w:spacing w:after="0"/>
              <w:rPr>
                <w:sz w:val="13"/>
                <w:szCs w:val="13"/>
                <w:color w:val="auto"/>
              </w:rPr>
            </w:pPr>
          </w:p>
        </w:tc>
        <w:tc>
          <w:tcPr>
            <w:tcW w:w="540" w:type="dxa"/>
            <w:vAlign w:val="bottom"/>
            <w:tcBorders>
              <w:right w:val="single" w:sz="8" w:color="E5E6E6"/>
            </w:tcBorders>
            <w:vMerge w:val="continue"/>
          </w:tcPr>
          <w:p>
            <w:pPr>
              <w:spacing w:after="0"/>
              <w:rPr>
                <w:sz w:val="13"/>
                <w:szCs w:val="13"/>
                <w:color w:val="auto"/>
              </w:rPr>
            </w:pPr>
          </w:p>
        </w:tc>
        <w:tc>
          <w:tcPr>
            <w:tcW w:w="540" w:type="dxa"/>
            <w:vAlign w:val="bottom"/>
            <w:tcBorders>
              <w:right w:val="single" w:sz="8" w:color="E5E6E6"/>
            </w:tcBorders>
          </w:tcPr>
          <w:p>
            <w:pPr>
              <w:spacing w:after="0"/>
              <w:rPr>
                <w:sz w:val="13"/>
                <w:szCs w:val="13"/>
                <w:color w:val="auto"/>
              </w:rPr>
            </w:pPr>
          </w:p>
        </w:tc>
        <w:tc>
          <w:tcPr>
            <w:tcW w:w="780" w:type="dxa"/>
            <w:vAlign w:val="bottom"/>
            <w:tcBorders>
              <w:right w:val="single" w:sz="8" w:color="E5E6E6"/>
            </w:tcBorders>
            <w:vMerge w:val="continue"/>
          </w:tcPr>
          <w:p>
            <w:pPr>
              <w:spacing w:after="0"/>
              <w:rPr>
                <w:sz w:val="13"/>
                <w:szCs w:val="13"/>
                <w:color w:val="auto"/>
              </w:rPr>
            </w:pPr>
          </w:p>
        </w:tc>
        <w:tc>
          <w:tcPr>
            <w:tcW w:w="540" w:type="dxa"/>
            <w:vAlign w:val="bottom"/>
            <w:tcBorders>
              <w:right w:val="single" w:sz="8" w:color="E5E6E6"/>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140" w:type="dxa"/>
            <w:vAlign w:val="bottom"/>
            <w:tcBorders>
              <w:right w:val="single" w:sz="8" w:color="E5E6E6"/>
            </w:tcBorders>
          </w:tcPr>
          <w:p>
            <w:pPr>
              <w:ind w:left="60"/>
              <w:spacing w:after="0"/>
              <w:rPr>
                <w:sz w:val="20"/>
                <w:szCs w:val="20"/>
                <w:color w:val="auto"/>
              </w:rPr>
            </w:pPr>
            <w:r>
              <w:rPr>
                <w:rFonts w:ascii="Arial" w:cs="Arial" w:eastAsia="Arial" w:hAnsi="Arial"/>
                <w:sz w:val="13"/>
                <w:szCs w:val="13"/>
                <w:color w:val="474C55"/>
              </w:rPr>
              <w:t>and experience with financial disclosure requirements and</w:t>
            </w:r>
          </w:p>
        </w:tc>
        <w:tc>
          <w:tcPr>
            <w:tcW w:w="580" w:type="dxa"/>
            <w:vAlign w:val="bottom"/>
            <w:tcBorders>
              <w:right w:val="single" w:sz="8" w:color="E5E6E6"/>
            </w:tcBorders>
          </w:tcPr>
          <w:p>
            <w:pPr>
              <w:spacing w:after="0"/>
              <w:rPr>
                <w:sz w:val="13"/>
                <w:szCs w:val="13"/>
                <w:color w:val="auto"/>
              </w:rPr>
            </w:pPr>
          </w:p>
        </w:tc>
        <w:tc>
          <w:tcPr>
            <w:tcW w:w="520" w:type="dxa"/>
            <w:vAlign w:val="bottom"/>
            <w:tcBorders>
              <w:right w:val="single" w:sz="8" w:color="E5E6E6"/>
            </w:tcBorders>
          </w:tcPr>
          <w:p>
            <w:pPr>
              <w:spacing w:after="0"/>
              <w:rPr>
                <w:sz w:val="13"/>
                <w:szCs w:val="13"/>
                <w:color w:val="auto"/>
              </w:rPr>
            </w:pPr>
          </w:p>
        </w:tc>
        <w:tc>
          <w:tcPr>
            <w:tcW w:w="660" w:type="dxa"/>
            <w:vAlign w:val="bottom"/>
            <w:tcBorders>
              <w:right w:val="single" w:sz="8" w:color="E5E6E6"/>
            </w:tcBorders>
          </w:tcPr>
          <w:p>
            <w:pPr>
              <w:spacing w:after="0"/>
              <w:rPr>
                <w:sz w:val="13"/>
                <w:szCs w:val="13"/>
                <w:color w:val="auto"/>
              </w:rPr>
            </w:pPr>
          </w:p>
        </w:tc>
        <w:tc>
          <w:tcPr>
            <w:tcW w:w="560" w:type="dxa"/>
            <w:vAlign w:val="bottom"/>
            <w:tcBorders>
              <w:right w:val="single" w:sz="8" w:color="E5E6E6"/>
            </w:tcBorders>
          </w:tcPr>
          <w:p>
            <w:pPr>
              <w:spacing w:after="0"/>
              <w:rPr>
                <w:sz w:val="13"/>
                <w:szCs w:val="13"/>
                <w:color w:val="auto"/>
              </w:rPr>
            </w:pPr>
          </w:p>
        </w:tc>
        <w:tc>
          <w:tcPr>
            <w:tcW w:w="520" w:type="dxa"/>
            <w:vAlign w:val="bottom"/>
            <w:tcBorders>
              <w:right w:val="single" w:sz="8" w:color="E5E6E6"/>
            </w:tcBorders>
          </w:tcPr>
          <w:p>
            <w:pPr>
              <w:spacing w:after="0"/>
              <w:rPr>
                <w:sz w:val="13"/>
                <w:szCs w:val="13"/>
                <w:color w:val="auto"/>
              </w:rPr>
            </w:pPr>
          </w:p>
        </w:tc>
        <w:tc>
          <w:tcPr>
            <w:tcW w:w="780" w:type="dxa"/>
            <w:vAlign w:val="bottom"/>
            <w:tcBorders>
              <w:right w:val="single" w:sz="8" w:color="E5E6E6"/>
            </w:tcBorders>
          </w:tcPr>
          <w:p>
            <w:pPr>
              <w:spacing w:after="0"/>
              <w:rPr>
                <w:sz w:val="13"/>
                <w:szCs w:val="13"/>
                <w:color w:val="auto"/>
              </w:rPr>
            </w:pPr>
          </w:p>
        </w:tc>
        <w:tc>
          <w:tcPr>
            <w:tcW w:w="560" w:type="dxa"/>
            <w:vAlign w:val="bottom"/>
            <w:tcBorders>
              <w:right w:val="single" w:sz="8" w:color="E5E6E6"/>
            </w:tcBorders>
          </w:tcPr>
          <w:p>
            <w:pPr>
              <w:spacing w:after="0"/>
              <w:rPr>
                <w:sz w:val="13"/>
                <w:szCs w:val="13"/>
                <w:color w:val="auto"/>
              </w:rPr>
            </w:pPr>
          </w:p>
        </w:tc>
        <w:tc>
          <w:tcPr>
            <w:tcW w:w="540" w:type="dxa"/>
            <w:vAlign w:val="bottom"/>
            <w:tcBorders>
              <w:right w:val="single" w:sz="8" w:color="E5E6E6"/>
            </w:tcBorders>
          </w:tcPr>
          <w:p>
            <w:pPr>
              <w:spacing w:after="0"/>
              <w:rPr>
                <w:sz w:val="13"/>
                <w:szCs w:val="13"/>
                <w:color w:val="auto"/>
              </w:rPr>
            </w:pPr>
          </w:p>
        </w:tc>
        <w:tc>
          <w:tcPr>
            <w:tcW w:w="540" w:type="dxa"/>
            <w:vAlign w:val="bottom"/>
            <w:tcBorders>
              <w:right w:val="single" w:sz="8" w:color="E5E6E6"/>
            </w:tcBorders>
          </w:tcPr>
          <w:p>
            <w:pPr>
              <w:spacing w:after="0"/>
              <w:rPr>
                <w:sz w:val="13"/>
                <w:szCs w:val="13"/>
                <w:color w:val="auto"/>
              </w:rPr>
            </w:pPr>
          </w:p>
        </w:tc>
        <w:tc>
          <w:tcPr>
            <w:tcW w:w="780" w:type="dxa"/>
            <w:vAlign w:val="bottom"/>
            <w:tcBorders>
              <w:right w:val="single" w:sz="8" w:color="E5E6E6"/>
            </w:tcBorders>
          </w:tcPr>
          <w:p>
            <w:pPr>
              <w:spacing w:after="0"/>
              <w:rPr>
                <w:sz w:val="13"/>
                <w:szCs w:val="13"/>
                <w:color w:val="auto"/>
              </w:rPr>
            </w:pPr>
          </w:p>
        </w:tc>
        <w:tc>
          <w:tcPr>
            <w:tcW w:w="540" w:type="dxa"/>
            <w:vAlign w:val="bottom"/>
            <w:tcBorders>
              <w:right w:val="single" w:sz="8" w:color="E5E6E6"/>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40" w:type="dxa"/>
            <w:vAlign w:val="bottom"/>
            <w:tcBorders>
              <w:right w:val="single" w:sz="8" w:color="E5E6E6"/>
            </w:tcBorders>
          </w:tcPr>
          <w:p>
            <w:pPr>
              <w:ind w:left="60"/>
              <w:spacing w:after="0"/>
              <w:rPr>
                <w:sz w:val="20"/>
                <w:szCs w:val="20"/>
                <w:color w:val="auto"/>
              </w:rPr>
            </w:pPr>
            <w:r>
              <w:rPr>
                <w:rFonts w:ascii="Arial" w:cs="Arial" w:eastAsia="Arial" w:hAnsi="Arial"/>
                <w:sz w:val="13"/>
                <w:szCs w:val="13"/>
                <w:color w:val="474C55"/>
              </w:rPr>
              <w:t>internal controls</w:t>
            </w:r>
          </w:p>
        </w:tc>
        <w:tc>
          <w:tcPr>
            <w:tcW w:w="580" w:type="dxa"/>
            <w:vAlign w:val="bottom"/>
            <w:tcBorders>
              <w:right w:val="single" w:sz="8" w:color="E5E6E6"/>
            </w:tcBorders>
          </w:tcPr>
          <w:p>
            <w:pPr>
              <w:spacing w:after="0"/>
              <w:rPr>
                <w:sz w:val="15"/>
                <w:szCs w:val="15"/>
                <w:color w:val="auto"/>
              </w:rPr>
            </w:pPr>
          </w:p>
        </w:tc>
        <w:tc>
          <w:tcPr>
            <w:tcW w:w="520" w:type="dxa"/>
            <w:vAlign w:val="bottom"/>
            <w:tcBorders>
              <w:right w:val="single" w:sz="8" w:color="E5E6E6"/>
            </w:tcBorders>
          </w:tcPr>
          <w:p>
            <w:pPr>
              <w:spacing w:after="0"/>
              <w:rPr>
                <w:sz w:val="15"/>
                <w:szCs w:val="15"/>
                <w:color w:val="auto"/>
              </w:rPr>
            </w:pPr>
          </w:p>
        </w:tc>
        <w:tc>
          <w:tcPr>
            <w:tcW w:w="660" w:type="dxa"/>
            <w:vAlign w:val="bottom"/>
            <w:tcBorders>
              <w:right w:val="single" w:sz="8" w:color="E5E6E6"/>
            </w:tcBorders>
          </w:tcPr>
          <w:p>
            <w:pPr>
              <w:spacing w:after="0"/>
              <w:rPr>
                <w:sz w:val="15"/>
                <w:szCs w:val="15"/>
                <w:color w:val="auto"/>
              </w:rPr>
            </w:pPr>
          </w:p>
        </w:tc>
        <w:tc>
          <w:tcPr>
            <w:tcW w:w="560" w:type="dxa"/>
            <w:vAlign w:val="bottom"/>
            <w:tcBorders>
              <w:right w:val="single" w:sz="8" w:color="E5E6E6"/>
            </w:tcBorders>
          </w:tcPr>
          <w:p>
            <w:pPr>
              <w:spacing w:after="0"/>
              <w:rPr>
                <w:sz w:val="15"/>
                <w:szCs w:val="15"/>
                <w:color w:val="auto"/>
              </w:rPr>
            </w:pPr>
          </w:p>
        </w:tc>
        <w:tc>
          <w:tcPr>
            <w:tcW w:w="520" w:type="dxa"/>
            <w:vAlign w:val="bottom"/>
            <w:tcBorders>
              <w:right w:val="single" w:sz="8" w:color="E5E6E6"/>
            </w:tcBorders>
          </w:tcPr>
          <w:p>
            <w:pPr>
              <w:spacing w:after="0"/>
              <w:rPr>
                <w:sz w:val="15"/>
                <w:szCs w:val="15"/>
                <w:color w:val="auto"/>
              </w:rPr>
            </w:pPr>
          </w:p>
        </w:tc>
        <w:tc>
          <w:tcPr>
            <w:tcW w:w="780" w:type="dxa"/>
            <w:vAlign w:val="bottom"/>
            <w:tcBorders>
              <w:right w:val="single" w:sz="8" w:color="E5E6E6"/>
            </w:tcBorders>
          </w:tcPr>
          <w:p>
            <w:pPr>
              <w:spacing w:after="0"/>
              <w:rPr>
                <w:sz w:val="15"/>
                <w:szCs w:val="15"/>
                <w:color w:val="auto"/>
              </w:rPr>
            </w:pPr>
          </w:p>
        </w:tc>
        <w:tc>
          <w:tcPr>
            <w:tcW w:w="560" w:type="dxa"/>
            <w:vAlign w:val="bottom"/>
            <w:tcBorders>
              <w:right w:val="single" w:sz="8" w:color="E5E6E6"/>
            </w:tcBorders>
          </w:tcPr>
          <w:p>
            <w:pPr>
              <w:spacing w:after="0"/>
              <w:rPr>
                <w:sz w:val="15"/>
                <w:szCs w:val="15"/>
                <w:color w:val="auto"/>
              </w:rPr>
            </w:pPr>
          </w:p>
        </w:tc>
        <w:tc>
          <w:tcPr>
            <w:tcW w:w="540" w:type="dxa"/>
            <w:vAlign w:val="bottom"/>
            <w:tcBorders>
              <w:right w:val="single" w:sz="8" w:color="E5E6E6"/>
            </w:tcBorders>
          </w:tcPr>
          <w:p>
            <w:pPr>
              <w:spacing w:after="0"/>
              <w:rPr>
                <w:sz w:val="15"/>
                <w:szCs w:val="15"/>
                <w:color w:val="auto"/>
              </w:rPr>
            </w:pPr>
          </w:p>
        </w:tc>
        <w:tc>
          <w:tcPr>
            <w:tcW w:w="540" w:type="dxa"/>
            <w:vAlign w:val="bottom"/>
            <w:tcBorders>
              <w:right w:val="single" w:sz="8" w:color="E5E6E6"/>
            </w:tcBorders>
          </w:tcPr>
          <w:p>
            <w:pPr>
              <w:spacing w:after="0"/>
              <w:rPr>
                <w:sz w:val="15"/>
                <w:szCs w:val="15"/>
                <w:color w:val="auto"/>
              </w:rPr>
            </w:pPr>
          </w:p>
        </w:tc>
        <w:tc>
          <w:tcPr>
            <w:tcW w:w="780" w:type="dxa"/>
            <w:vAlign w:val="bottom"/>
            <w:tcBorders>
              <w:right w:val="single" w:sz="8" w:color="E5E6E6"/>
            </w:tcBorders>
          </w:tcPr>
          <w:p>
            <w:pPr>
              <w:spacing w:after="0"/>
              <w:rPr>
                <w:sz w:val="15"/>
                <w:szCs w:val="15"/>
                <w:color w:val="auto"/>
              </w:rPr>
            </w:pPr>
          </w:p>
        </w:tc>
        <w:tc>
          <w:tcPr>
            <w:tcW w:w="540" w:type="dxa"/>
            <w:vAlign w:val="bottom"/>
            <w:tcBorders>
              <w:right w:val="single" w:sz="8" w:color="E5E6E6"/>
            </w:tcBorders>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140" w:type="dxa"/>
            <w:vAlign w:val="bottom"/>
            <w:tcBorders>
              <w:right w:val="single" w:sz="8" w:color="E5E6E6"/>
            </w:tcBorders>
          </w:tcPr>
          <w:p>
            <w:pPr>
              <w:spacing w:after="0"/>
              <w:rPr>
                <w:sz w:val="9"/>
                <w:szCs w:val="9"/>
                <w:color w:val="auto"/>
              </w:rPr>
            </w:pPr>
          </w:p>
        </w:tc>
        <w:tc>
          <w:tcPr>
            <w:tcW w:w="580" w:type="dxa"/>
            <w:vAlign w:val="bottom"/>
            <w:tcBorders>
              <w:right w:val="single" w:sz="8" w:color="E5E6E6"/>
            </w:tcBorders>
          </w:tcPr>
          <w:p>
            <w:pPr>
              <w:spacing w:after="0"/>
              <w:rPr>
                <w:sz w:val="9"/>
                <w:szCs w:val="9"/>
                <w:color w:val="auto"/>
              </w:rPr>
            </w:pPr>
          </w:p>
        </w:tc>
        <w:tc>
          <w:tcPr>
            <w:tcW w:w="520" w:type="dxa"/>
            <w:vAlign w:val="bottom"/>
            <w:tcBorders>
              <w:right w:val="single" w:sz="8" w:color="E5E6E6"/>
            </w:tcBorders>
          </w:tcPr>
          <w:p>
            <w:pPr>
              <w:spacing w:after="0"/>
              <w:rPr>
                <w:sz w:val="9"/>
                <w:szCs w:val="9"/>
                <w:color w:val="auto"/>
              </w:rPr>
            </w:pPr>
          </w:p>
        </w:tc>
        <w:tc>
          <w:tcPr>
            <w:tcW w:w="660" w:type="dxa"/>
            <w:vAlign w:val="bottom"/>
            <w:tcBorders>
              <w:right w:val="single" w:sz="8" w:color="E5E6E6"/>
            </w:tcBorders>
          </w:tcPr>
          <w:p>
            <w:pPr>
              <w:spacing w:after="0"/>
              <w:rPr>
                <w:sz w:val="9"/>
                <w:szCs w:val="9"/>
                <w:color w:val="auto"/>
              </w:rPr>
            </w:pPr>
          </w:p>
        </w:tc>
        <w:tc>
          <w:tcPr>
            <w:tcW w:w="560" w:type="dxa"/>
            <w:vAlign w:val="bottom"/>
            <w:tcBorders>
              <w:right w:val="single" w:sz="8" w:color="E5E6E6"/>
            </w:tcBorders>
          </w:tcPr>
          <w:p>
            <w:pPr>
              <w:spacing w:after="0"/>
              <w:rPr>
                <w:sz w:val="9"/>
                <w:szCs w:val="9"/>
                <w:color w:val="auto"/>
              </w:rPr>
            </w:pPr>
          </w:p>
        </w:tc>
        <w:tc>
          <w:tcPr>
            <w:tcW w:w="520" w:type="dxa"/>
            <w:vAlign w:val="bottom"/>
            <w:tcBorders>
              <w:right w:val="single" w:sz="8" w:color="E5E6E6"/>
            </w:tcBorders>
          </w:tcPr>
          <w:p>
            <w:pPr>
              <w:spacing w:after="0"/>
              <w:rPr>
                <w:sz w:val="9"/>
                <w:szCs w:val="9"/>
                <w:color w:val="auto"/>
              </w:rPr>
            </w:pPr>
          </w:p>
        </w:tc>
        <w:tc>
          <w:tcPr>
            <w:tcW w:w="780" w:type="dxa"/>
            <w:vAlign w:val="bottom"/>
            <w:tcBorders>
              <w:right w:val="single" w:sz="8" w:color="E5E6E6"/>
            </w:tcBorders>
          </w:tcPr>
          <w:p>
            <w:pPr>
              <w:spacing w:after="0"/>
              <w:rPr>
                <w:sz w:val="9"/>
                <w:szCs w:val="9"/>
                <w:color w:val="auto"/>
              </w:rPr>
            </w:pPr>
          </w:p>
        </w:tc>
        <w:tc>
          <w:tcPr>
            <w:tcW w:w="560" w:type="dxa"/>
            <w:vAlign w:val="bottom"/>
            <w:tcBorders>
              <w:right w:val="single" w:sz="8" w:color="E5E6E6"/>
            </w:tcBorders>
          </w:tcPr>
          <w:p>
            <w:pPr>
              <w:spacing w:after="0"/>
              <w:rPr>
                <w:sz w:val="9"/>
                <w:szCs w:val="9"/>
                <w:color w:val="auto"/>
              </w:rPr>
            </w:pPr>
          </w:p>
        </w:tc>
        <w:tc>
          <w:tcPr>
            <w:tcW w:w="540" w:type="dxa"/>
            <w:vAlign w:val="bottom"/>
            <w:tcBorders>
              <w:right w:val="single" w:sz="8" w:color="E5E6E6"/>
            </w:tcBorders>
          </w:tcPr>
          <w:p>
            <w:pPr>
              <w:spacing w:after="0"/>
              <w:rPr>
                <w:sz w:val="9"/>
                <w:szCs w:val="9"/>
                <w:color w:val="auto"/>
              </w:rPr>
            </w:pPr>
          </w:p>
        </w:tc>
        <w:tc>
          <w:tcPr>
            <w:tcW w:w="540" w:type="dxa"/>
            <w:vAlign w:val="bottom"/>
            <w:tcBorders>
              <w:right w:val="single" w:sz="8" w:color="E5E6E6"/>
            </w:tcBorders>
          </w:tcPr>
          <w:p>
            <w:pPr>
              <w:spacing w:after="0"/>
              <w:rPr>
                <w:sz w:val="9"/>
                <w:szCs w:val="9"/>
                <w:color w:val="auto"/>
              </w:rPr>
            </w:pPr>
          </w:p>
        </w:tc>
        <w:tc>
          <w:tcPr>
            <w:tcW w:w="780" w:type="dxa"/>
            <w:vAlign w:val="bottom"/>
            <w:tcBorders>
              <w:right w:val="single" w:sz="8" w:color="E5E6E6"/>
            </w:tcBorders>
          </w:tcPr>
          <w:p>
            <w:pPr>
              <w:spacing w:after="0"/>
              <w:rPr>
                <w:sz w:val="9"/>
                <w:szCs w:val="9"/>
                <w:color w:val="auto"/>
              </w:rPr>
            </w:pPr>
          </w:p>
        </w:tc>
        <w:tc>
          <w:tcPr>
            <w:tcW w:w="540" w:type="dxa"/>
            <w:vAlign w:val="bottom"/>
            <w:tcBorders>
              <w:right w:val="single" w:sz="8" w:color="E5E6E6"/>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2480" cy="4451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2480" cy="44513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type w:val="continuous"/>
        </w:sectPr>
      </w:pPr>
    </w:p>
    <w:p>
      <w:pPr>
        <w:spacing w:after="0" w:line="116"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474C55"/>
        </w:rPr>
        <w:t>Corporate Finance/Capital Management</w:t>
      </w:r>
    </w:p>
    <w:p>
      <w:pPr>
        <w:spacing w:after="0" w:line="15" w:lineRule="exact"/>
        <w:rPr>
          <w:sz w:val="20"/>
          <w:szCs w:val="20"/>
          <w:color w:val="auto"/>
        </w:rPr>
      </w:pPr>
    </w:p>
    <w:p>
      <w:pPr>
        <w:ind w:left="60" w:right="240"/>
        <w:spacing w:after="0" w:line="262" w:lineRule="auto"/>
        <w:rPr>
          <w:sz w:val="20"/>
          <w:szCs w:val="20"/>
          <w:color w:val="auto"/>
        </w:rPr>
      </w:pPr>
      <w:r>
        <w:rPr>
          <w:rFonts w:ascii="Arial" w:cs="Arial" w:eastAsia="Arial" w:hAnsi="Arial"/>
          <w:sz w:val="13"/>
          <w:szCs w:val="13"/>
          <w:color w:val="474C55"/>
        </w:rPr>
        <w:t>Experience with corporate finance, capital allocation, and debt and capital market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2621915</wp:posOffset>
            </wp:positionH>
            <wp:positionV relativeFrom="paragraph">
              <wp:posOffset>60325</wp:posOffset>
            </wp:positionV>
            <wp:extent cx="8255" cy="349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349885"/>
                    </a:xfrm>
                    <a:prstGeom prst="rect">
                      <a:avLst/>
                    </a:prstGeom>
                    <a:noFill/>
                  </pic:spPr>
                </pic:pic>
              </a:graphicData>
            </a:graphic>
          </wp:anchor>
        </w:drawing>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474C55"/>
        </w:rPr>
        <w:t>Risk Management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3"/>
          <w:szCs w:val="13"/>
          <w:color w:val="474C55"/>
        </w:rPr>
        <w:t>Experience overseeing complex risk management matters</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474C55"/>
        </w:rPr>
        <w:t>Regulatory/Political</w:t>
      </w:r>
    </w:p>
    <w:p>
      <w:pPr>
        <w:spacing w:after="0" w:line="15" w:lineRule="exact"/>
        <w:rPr>
          <w:sz w:val="20"/>
          <w:szCs w:val="20"/>
          <w:color w:val="auto"/>
        </w:rPr>
      </w:pPr>
    </w:p>
    <w:p>
      <w:pPr>
        <w:ind w:left="60" w:right="100"/>
        <w:spacing w:after="0" w:line="251" w:lineRule="auto"/>
        <w:rPr>
          <w:sz w:val="20"/>
          <w:szCs w:val="20"/>
          <w:color w:val="auto"/>
        </w:rPr>
      </w:pPr>
      <w:r>
        <w:rPr>
          <w:rFonts w:ascii="Arial" w:cs="Arial" w:eastAsia="Arial" w:hAnsi="Arial"/>
          <w:sz w:val="13"/>
          <w:szCs w:val="13"/>
          <w:color w:val="474C55"/>
        </w:rPr>
        <w:t>Experience with governmental relations, regulatory environment, and/or working with regulators; experience as a politician or lobbyist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2621915</wp:posOffset>
            </wp:positionH>
            <wp:positionV relativeFrom="paragraph">
              <wp:posOffset>64770</wp:posOffset>
            </wp:positionV>
            <wp:extent cx="8255" cy="4451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445135"/>
                    </a:xfrm>
                    <a:prstGeom prst="rect">
                      <a:avLst/>
                    </a:prstGeom>
                    <a:noFill/>
                  </pic:spPr>
                </pic:pic>
              </a:graphicData>
            </a:graphic>
          </wp:anchor>
        </w:drawing>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474C55"/>
        </w:rPr>
        <w:t>Corporate Governance</w:t>
      </w:r>
    </w:p>
    <w:p>
      <w:pPr>
        <w:spacing w:after="0" w:line="15" w:lineRule="exact"/>
        <w:rPr>
          <w:sz w:val="20"/>
          <w:szCs w:val="20"/>
          <w:color w:val="auto"/>
        </w:rPr>
      </w:pPr>
    </w:p>
    <w:p>
      <w:pPr>
        <w:ind w:left="60" w:right="240"/>
        <w:spacing w:after="0" w:line="262" w:lineRule="auto"/>
        <w:rPr>
          <w:sz w:val="20"/>
          <w:szCs w:val="20"/>
          <w:color w:val="auto"/>
        </w:rPr>
      </w:pPr>
      <w:r>
        <w:rPr>
          <w:rFonts w:ascii="Arial" w:cs="Arial" w:eastAsia="Arial" w:hAnsi="Arial"/>
          <w:sz w:val="13"/>
          <w:szCs w:val="13"/>
          <w:color w:val="474C55"/>
        </w:rPr>
        <w:t>Demonstrates understanding of current corporate governance standards and best practices in public companies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474C55"/>
        </w:rPr>
        <w:t>Human Resources/Compensation</w:t>
      </w:r>
    </w:p>
    <w:p>
      <w:pPr>
        <w:spacing w:after="0" w:line="15" w:lineRule="exact"/>
        <w:rPr>
          <w:sz w:val="20"/>
          <w:szCs w:val="20"/>
          <w:color w:val="auto"/>
        </w:rPr>
      </w:pPr>
    </w:p>
    <w:p>
      <w:pPr>
        <w:ind w:left="60" w:right="40"/>
        <w:spacing w:after="0" w:line="262" w:lineRule="auto"/>
        <w:rPr>
          <w:sz w:val="20"/>
          <w:szCs w:val="20"/>
          <w:color w:val="auto"/>
        </w:rPr>
      </w:pPr>
      <w:r>
        <w:rPr>
          <w:rFonts w:ascii="Arial" w:cs="Arial" w:eastAsia="Arial" w:hAnsi="Arial"/>
          <w:sz w:val="13"/>
          <w:szCs w:val="13"/>
          <w:color w:val="474C55"/>
        </w:rPr>
        <w:t>Experience managing a human resources function; experience with executive compensation and broad-based incentive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2621915</wp:posOffset>
            </wp:positionH>
            <wp:positionV relativeFrom="paragraph">
              <wp:posOffset>60325</wp:posOffset>
            </wp:positionV>
            <wp:extent cx="8255" cy="4451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445135"/>
                    </a:xfrm>
                    <a:prstGeom prst="rect">
                      <a:avLst/>
                    </a:prstGeom>
                    <a:noFill/>
                  </pic:spPr>
                </pic:pic>
              </a:graphicData>
            </a:graphic>
          </wp:anchor>
        </w:drawing>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474C55"/>
        </w:rPr>
        <w:t>Technology/Cybersecurity</w:t>
      </w:r>
    </w:p>
    <w:p>
      <w:pPr>
        <w:spacing w:after="0" w:line="15" w:lineRule="exact"/>
        <w:rPr>
          <w:sz w:val="20"/>
          <w:szCs w:val="20"/>
          <w:color w:val="auto"/>
        </w:rPr>
      </w:pPr>
    </w:p>
    <w:p>
      <w:pPr>
        <w:ind w:left="80" w:right="180"/>
        <w:spacing w:after="0" w:line="262" w:lineRule="auto"/>
        <w:rPr>
          <w:sz w:val="20"/>
          <w:szCs w:val="20"/>
          <w:color w:val="auto"/>
        </w:rPr>
      </w:pPr>
      <w:r>
        <w:rPr>
          <w:rFonts w:ascii="Arial" w:cs="Arial" w:eastAsia="Arial" w:hAnsi="Arial"/>
          <w:sz w:val="13"/>
          <w:szCs w:val="13"/>
          <w:color w:val="474C55"/>
        </w:rPr>
        <w:t>Experience implementing technology strategies and innovation and managing and mitigating cybersecurity risks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474C55"/>
        </w:rPr>
        <w:t>Banking Industry Experience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3"/>
          <w:szCs w:val="13"/>
          <w:color w:val="474C55"/>
        </w:rPr>
        <w:t>Experience in the banking and/or financial services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2621915</wp:posOffset>
            </wp:positionH>
            <wp:positionV relativeFrom="paragraph">
              <wp:posOffset>76835</wp:posOffset>
            </wp:positionV>
            <wp:extent cx="8255" cy="4451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445135"/>
                    </a:xfrm>
                    <a:prstGeom prst="rect">
                      <a:avLst/>
                    </a:prstGeom>
                    <a:noFill/>
                  </pic:spPr>
                </pic:pic>
              </a:graphicData>
            </a:graphic>
          </wp:anchor>
        </w:drawing>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474C55"/>
        </w:rPr>
        <w:t>Retail Industry and/or Marketing Experience</w:t>
      </w:r>
    </w:p>
    <w:p>
      <w:pPr>
        <w:spacing w:after="0" w:line="15" w:lineRule="exact"/>
        <w:rPr>
          <w:sz w:val="20"/>
          <w:szCs w:val="20"/>
          <w:color w:val="auto"/>
        </w:rPr>
      </w:pPr>
    </w:p>
    <w:p>
      <w:pPr>
        <w:ind w:left="60" w:right="40"/>
        <w:spacing w:after="0" w:line="262" w:lineRule="auto"/>
        <w:rPr>
          <w:sz w:val="20"/>
          <w:szCs w:val="20"/>
          <w:color w:val="auto"/>
        </w:rPr>
      </w:pPr>
      <w:r>
        <w:rPr>
          <w:rFonts w:ascii="Arial" w:cs="Arial" w:eastAsia="Arial" w:hAnsi="Arial"/>
          <w:sz w:val="13"/>
          <w:szCs w:val="13"/>
          <w:color w:val="474C55"/>
        </w:rPr>
        <w:t>Experience with retail industry, transformation to digital platforms, branding major corporations, use of digital marketing strategies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474C55"/>
        </w:rPr>
        <w:t>Mergers and Acquisitions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3"/>
          <w:szCs w:val="13"/>
          <w:color w:val="474C55"/>
        </w:rPr>
        <w:t>Leadership experience with M&amp;A transactions</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474C55"/>
        </w:rPr>
        <w:t>Corporate Social Responsibility</w:t>
      </w:r>
    </w:p>
    <w:p>
      <w:pPr>
        <w:spacing w:after="0" w:line="15" w:lineRule="exact"/>
        <w:rPr>
          <w:sz w:val="20"/>
          <w:szCs w:val="20"/>
          <w:color w:val="auto"/>
        </w:rPr>
      </w:pPr>
    </w:p>
    <w:p>
      <w:pPr>
        <w:ind w:left="60"/>
        <w:spacing w:after="0" w:line="248" w:lineRule="auto"/>
        <w:rPr>
          <w:sz w:val="20"/>
          <w:szCs w:val="20"/>
          <w:color w:val="auto"/>
        </w:rPr>
      </w:pPr>
      <w:r>
        <w:rPr>
          <w:rFonts w:ascii="Arial" w:cs="Arial" w:eastAsia="Arial" w:hAnsi="Arial"/>
          <w:sz w:val="13"/>
          <w:szCs w:val="13"/>
          <w:color w:val="474C55"/>
        </w:rPr>
        <w:t>Demonstrates understanding of issues related to corporate social responsibility, sustainability, and environmental stewardship; informed on emerging issues potentially affecting the reputation of the business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640" w:type="dxa"/>
            <w:vAlign w:val="bottom"/>
            <w:vMerge w:val="restart"/>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54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540" w:type="dxa"/>
            <w:vAlign w:val="bottom"/>
            <w:vMerge w:val="restart"/>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373"/>
        </w:trPr>
        <w:tc>
          <w:tcPr>
            <w:tcW w:w="36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6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20" w:type="dxa"/>
            <w:vAlign w:val="bottom"/>
            <w:shd w:val="clear" w:color="auto" w:fill="E5E6E6"/>
          </w:tcPr>
          <w:p>
            <w:pPr>
              <w:spacing w:after="0"/>
              <w:rPr>
                <w:sz w:val="15"/>
                <w:szCs w:val="15"/>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15"/>
                <w:szCs w:val="15"/>
                <w:color w:val="auto"/>
              </w:rPr>
            </w:pPr>
          </w:p>
        </w:tc>
        <w:tc>
          <w:tcPr>
            <w:tcW w:w="640" w:type="dxa"/>
            <w:vAlign w:val="bottom"/>
            <w:vMerge w:val="restart"/>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15"/>
                <w:szCs w:val="15"/>
                <w:color w:val="auto"/>
              </w:rPr>
            </w:pPr>
          </w:p>
        </w:tc>
        <w:tc>
          <w:tcPr>
            <w:tcW w:w="54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15"/>
                <w:szCs w:val="15"/>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15"/>
                <w:szCs w:val="15"/>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15"/>
                <w:szCs w:val="15"/>
                <w:color w:val="auto"/>
              </w:rPr>
            </w:pPr>
          </w:p>
        </w:tc>
        <w:tc>
          <w:tcPr>
            <w:tcW w:w="540" w:type="dxa"/>
            <w:vAlign w:val="bottom"/>
            <w:vMerge w:val="restart"/>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15"/>
                <w:szCs w:val="15"/>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shd w:val="clear" w:color="auto" w:fill="E5E6E6"/>
          </w:tcPr>
          <w:p>
            <w:pPr>
              <w:spacing w:after="0"/>
              <w:rPr>
                <w:sz w:val="15"/>
                <w:szCs w:val="15"/>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shd w:val="clear" w:color="auto" w:fill="E5E6E6"/>
          </w:tcPr>
          <w:p>
            <w:pPr>
              <w:spacing w:after="0"/>
              <w:rPr>
                <w:sz w:val="15"/>
                <w:szCs w:val="15"/>
                <w:color w:val="auto"/>
              </w:rPr>
            </w:pPr>
          </w:p>
        </w:tc>
        <w:tc>
          <w:tcPr>
            <w:tcW w:w="3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523"/>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6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4"/>
                <w:szCs w:val="24"/>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4"/>
                <w:szCs w:val="24"/>
                <w:color w:val="auto"/>
              </w:rPr>
            </w:pPr>
          </w:p>
        </w:tc>
        <w:tc>
          <w:tcPr>
            <w:tcW w:w="640" w:type="dxa"/>
            <w:vAlign w:val="bottom"/>
            <w:vMerge w:val="restart"/>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4"/>
                <w:szCs w:val="24"/>
                <w:color w:val="auto"/>
              </w:rPr>
            </w:pPr>
          </w:p>
        </w:tc>
        <w:tc>
          <w:tcPr>
            <w:tcW w:w="54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4"/>
                <w:szCs w:val="24"/>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4"/>
                <w:szCs w:val="24"/>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4"/>
                <w:szCs w:val="24"/>
                <w:color w:val="auto"/>
              </w:rPr>
            </w:pPr>
          </w:p>
        </w:tc>
        <w:tc>
          <w:tcPr>
            <w:tcW w:w="540" w:type="dxa"/>
            <w:vAlign w:val="bottom"/>
            <w:vMerge w:val="restart"/>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4"/>
                <w:szCs w:val="24"/>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4"/>
                <w:szCs w:val="24"/>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4"/>
                <w:szCs w:val="24"/>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4"/>
                <w:szCs w:val="24"/>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4"/>
                <w:szCs w:val="24"/>
                <w:color w:val="auto"/>
              </w:rPr>
            </w:pPr>
          </w:p>
        </w:tc>
        <w:tc>
          <w:tcPr>
            <w:tcW w:w="3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448"/>
        </w:trPr>
        <w:tc>
          <w:tcPr>
            <w:tcW w:w="36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6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0" w:type="dxa"/>
            <w:vAlign w:val="bottom"/>
          </w:tcPr>
          <w:p>
            <w:pPr>
              <w:spacing w:after="0"/>
              <w:rPr>
                <w:sz w:val="21"/>
                <w:szCs w:val="21"/>
                <w:color w:val="auto"/>
              </w:rPr>
            </w:pPr>
          </w:p>
        </w:tc>
        <w:tc>
          <w:tcPr>
            <w:tcW w:w="20" w:type="dxa"/>
            <w:vAlign w:val="bottom"/>
            <w:shd w:val="clear" w:color="auto" w:fill="E5E6E6"/>
          </w:tcPr>
          <w:p>
            <w:pPr>
              <w:spacing w:after="0"/>
              <w:rPr>
                <w:sz w:val="21"/>
                <w:szCs w:val="21"/>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640" w:type="dxa"/>
            <w:vAlign w:val="bottom"/>
            <w:vMerge w:val="restart"/>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shd w:val="clear" w:color="auto" w:fill="E5E6E6"/>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shd w:val="clear" w:color="auto" w:fill="E5E6E6"/>
          </w:tcPr>
          <w:p>
            <w:pPr>
              <w:spacing w:after="0"/>
              <w:rPr>
                <w:sz w:val="21"/>
                <w:szCs w:val="21"/>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shd w:val="clear" w:color="auto" w:fill="E5E6E6"/>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shd w:val="clear" w:color="auto" w:fill="E5E6E6"/>
          </w:tcPr>
          <w:p>
            <w:pPr>
              <w:spacing w:after="0"/>
              <w:rPr>
                <w:sz w:val="21"/>
                <w:szCs w:val="21"/>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shd w:val="clear" w:color="auto" w:fill="E5E6E6"/>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shd w:val="clear" w:color="auto" w:fill="E5E6E6"/>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8"/>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640" w:type="dxa"/>
            <w:vAlign w:val="bottom"/>
            <w:vMerge w:val="restart"/>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8"/>
        </w:trPr>
        <w:tc>
          <w:tcPr>
            <w:tcW w:w="36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6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shd w:val="clear" w:color="auto" w:fill="E5E6E6"/>
          </w:tcPr>
          <w:p>
            <w:pPr>
              <w:spacing w:after="0"/>
              <w:rPr>
                <w:sz w:val="21"/>
                <w:szCs w:val="21"/>
                <w:color w:val="auto"/>
              </w:rPr>
            </w:pPr>
          </w:p>
        </w:tc>
        <w:tc>
          <w:tcPr>
            <w:tcW w:w="54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40" w:type="dxa"/>
            <w:vAlign w:val="bottom"/>
            <w:vMerge w:val="restart"/>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shd w:val="clear" w:color="auto" w:fill="E5E6E6"/>
          </w:tcPr>
          <w:p>
            <w:pPr>
              <w:spacing w:after="0"/>
              <w:rPr>
                <w:sz w:val="21"/>
                <w:szCs w:val="21"/>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shd w:val="clear" w:color="auto" w:fill="E5E6E6"/>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3"/>
        </w:trPr>
        <w:tc>
          <w:tcPr>
            <w:tcW w:w="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6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540" w:type="dxa"/>
            <w:vAlign w:val="bottom"/>
            <w:vMerge w:val="restart"/>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36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0" w:type="dxa"/>
            <w:vAlign w:val="bottom"/>
            <w:vMerge w:val="restart"/>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shd w:val="clear" w:color="auto" w:fill="E5E6E6"/>
          </w:tcPr>
          <w:p>
            <w:pPr>
              <w:spacing w:after="0"/>
              <w:rPr>
                <w:sz w:val="21"/>
                <w:szCs w:val="21"/>
                <w:color w:val="auto"/>
              </w:rPr>
            </w:pPr>
          </w:p>
        </w:tc>
        <w:tc>
          <w:tcPr>
            <w:tcW w:w="54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40" w:type="dxa"/>
            <w:vAlign w:val="bottom"/>
            <w:vMerge w:val="restart"/>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shd w:val="clear" w:color="auto" w:fill="E5E6E6"/>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3"/>
        </w:trPr>
        <w:tc>
          <w:tcPr>
            <w:tcW w:w="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6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640" w:type="dxa"/>
            <w:vAlign w:val="bottom"/>
            <w:vMerge w:val="restart"/>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54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5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540" w:type="dxa"/>
            <w:vAlign w:val="bottom"/>
            <w:vMerge w:val="restart"/>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76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20" w:type="dxa"/>
            <w:vAlign w:val="bottom"/>
          </w:tcPr>
          <w:p>
            <w:pPr>
              <w:spacing w:after="0"/>
              <w:rPr>
                <w:sz w:val="15"/>
                <w:szCs w:val="15"/>
                <w:color w:val="auto"/>
              </w:rPr>
            </w:pPr>
          </w:p>
        </w:tc>
        <w:tc>
          <w:tcPr>
            <w:tcW w:w="30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598"/>
        </w:trPr>
        <w:tc>
          <w:tcPr>
            <w:tcW w:w="36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6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6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-992505</wp:posOffset>
            </wp:positionV>
            <wp:extent cx="7142480" cy="9931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2480" cy="99314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-1786890</wp:posOffset>
            </wp:positionV>
            <wp:extent cx="7142480" cy="349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2480" cy="34988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-2676525</wp:posOffset>
            </wp:positionV>
            <wp:extent cx="7142480" cy="4451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2480" cy="44513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-3662045</wp:posOffset>
            </wp:positionV>
            <wp:extent cx="7142480" cy="540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2480" cy="540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380"/>
            <w:col w:w="6900"/>
          </w:cols>
          <w:pgMar w:left="320" w:top="804" w:right="339" w:bottom="1440" w:gutter="0" w:footer="0" w:header="0"/>
          <w:type w:val="continuous"/>
        </w:sectPr>
      </w:pPr>
    </w:p>
    <w:p>
      <w:pPr>
        <w:spacing w:after="0" w:line="171" w:lineRule="exact"/>
        <w:rPr>
          <w:sz w:val="20"/>
          <w:szCs w:val="20"/>
          <w:color w:val="auto"/>
        </w:rPr>
      </w:pPr>
    </w:p>
    <w:p>
      <w:pPr>
        <w:ind w:left="11160"/>
        <w:spacing w:after="0"/>
        <w:rPr>
          <w:sz w:val="20"/>
          <w:szCs w:val="20"/>
          <w:color w:val="auto"/>
        </w:rPr>
      </w:pPr>
      <w:r>
        <w:rPr>
          <w:rFonts w:ascii="Arial" w:cs="Arial" w:eastAsia="Arial" w:hAnsi="Arial"/>
          <w:sz w:val="14"/>
          <w:szCs w:val="14"/>
          <w:color w:val="444A54"/>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424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5"/>
          <w:szCs w:val="25"/>
          <w:b w:val="1"/>
          <w:bCs w:val="1"/>
          <w:color w:val="017AB5"/>
        </w:rPr>
        <w:t>Director Nominees for Election</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7"/>
          <w:szCs w:val="17"/>
          <w:color w:val="444A54"/>
        </w:rPr>
        <w:t>Following is information about each of our Board’s nominees, including his or her age, the year in which he or she first became a director of our Company, his or her business experience for at least the past five years, and other information that led to the conclusion by our Board that each nominee should serve as a director of our Company. There are no family relationships between any director, executive officer, or nominee for director of United Community.</w:t>
      </w:r>
    </w:p>
    <w:p>
      <w:pPr>
        <w:sectPr>
          <w:pgSz w:w="11900" w:h="16838" w:orient="portrait"/>
          <w:cols w:equalWidth="0" w:num="1">
            <w:col w:w="11240"/>
          </w:cols>
          <w:pgMar w:left="320" w:top="8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-1471295</wp:posOffset>
            </wp:positionV>
            <wp:extent cx="1239520" cy="12395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9520" cy="123952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2021</w:t>
      </w:r>
    </w:p>
    <w:p>
      <w:pPr>
        <w:spacing w:after="0" w:line="3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444A54"/>
        </w:rPr>
        <w:t xml:space="preserve">Committees: </w:t>
      </w:r>
      <w:r>
        <w:rPr>
          <w:rFonts w:ascii="Arial" w:cs="Arial" w:eastAsia="Arial" w:hAnsi="Arial"/>
          <w:sz w:val="16"/>
          <w:szCs w:val="16"/>
          <w:color w:val="444A54"/>
        </w:rPr>
        <w:t>Nominating and Corporate</w:t>
      </w:r>
      <w:r>
        <w:rPr>
          <w:rFonts w:ascii="Arial" w:cs="Arial" w:eastAsia="Arial" w:hAnsi="Arial"/>
          <w:sz w:val="16"/>
          <w:szCs w:val="16"/>
          <w:b w:val="1"/>
          <w:bCs w:val="1"/>
          <w:color w:val="444A54"/>
        </w:rPr>
        <w:t xml:space="preserve"> </w:t>
      </w:r>
      <w:r>
        <w:rPr>
          <w:rFonts w:ascii="Arial" w:cs="Arial" w:eastAsia="Arial" w:hAnsi="Arial"/>
          <w:sz w:val="16"/>
          <w:szCs w:val="16"/>
          <w:color w:val="444A54"/>
        </w:rPr>
        <w:t>Governance, Talent and Compensation</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Jennifer M. Bazante</w:t>
      </w:r>
    </w:p>
    <w:p>
      <w:pPr>
        <w:spacing w:after="0" w:line="19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444A54"/>
        </w:rPr>
        <w:t>Ms. Bazante has a depth of experience leading world-class marketing organizations. She brings extensive knowledge to our Board as a marketing executive, with insights into brand recognition, customer experience, and digital transformation. Ms. Bazante also contributes extensive knowledge in the areas of leadership, strategic planning, and project management which, together with her deep marketing expertise, is highly valuable to the Board.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444A54"/>
        </w:rPr>
        <w:t>Ms. Bazante served as Chief Marketing and Communications Officer for Humana, a leading healthcare company with a focus on health insurance and integrated healthcare service delivery, from 2014 until her retirement in 2024. In that role, she oversaw the company’s brand and reputation efforts and led the strategies for customer acquisition and engagement as well as direct-to-consumer and business-to-business marketing across traditional and digital channels. She was instrumental in the launch of CenterWell, Humana Inc.’s healthcare service brand across pharmacy, primary care, and home health.</w:t>
      </w:r>
    </w:p>
    <w:p>
      <w:pPr>
        <w:spacing w:after="0" w:line="14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444A54"/>
        </w:rPr>
        <w:t>Prior to Humana, Ms. Bazante held several roles at Visa Inc. over a 14-year tenure including Head of Global Brand and Product Marketing, Global Sponsorship Marketing, and Global Merchant Marketing. She began her career at Colgate-Palmolive where she spent time in South America leading multiple product categories and in New York where she drove the development of new, innovative product bundles.</w:t>
      </w:r>
    </w:p>
    <w:p>
      <w:pPr>
        <w:ind w:right="20"/>
        <w:spacing w:after="0" w:line="237" w:lineRule="auto"/>
        <w:rPr>
          <w:sz w:val="20"/>
          <w:szCs w:val="20"/>
          <w:color w:val="auto"/>
        </w:rPr>
      </w:pPr>
      <w:r>
        <w:rPr>
          <w:rFonts w:ascii="Arial" w:cs="Arial" w:eastAsia="Arial" w:hAnsi="Arial"/>
          <w:sz w:val="17"/>
          <w:szCs w:val="17"/>
          <w:color w:val="444A54"/>
        </w:rPr>
        <w:t>Ms. Bazante has been recognized as one of the Top 100 Women in Brand Marketing and is frequently invited to participate in the evaluation and selection of best-in-class marketing and advertising work across multiple industries.</w:t>
      </w:r>
    </w:p>
    <w:p>
      <w:pPr>
        <w:spacing w:after="0" w:line="146" w:lineRule="exact"/>
        <w:rPr>
          <w:sz w:val="20"/>
          <w:szCs w:val="20"/>
          <w:color w:val="auto"/>
        </w:rPr>
      </w:pPr>
    </w:p>
    <w:p>
      <w:pPr>
        <w:sectPr>
          <w:pgSz w:w="11900" w:h="16838" w:orient="portrait"/>
          <w:cols w:equalWidth="0" w:num="2">
            <w:col w:w="3020" w:space="360"/>
            <w:col w:w="7860"/>
          </w:cols>
          <w:pgMar w:left="320" w:top="8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-1471295</wp:posOffset>
            </wp:positionV>
            <wp:extent cx="1239520" cy="12395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39520" cy="123952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2022</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444A54"/>
        </w:rPr>
        <w:t xml:space="preserve">Committees: </w:t>
      </w:r>
      <w:r>
        <w:rPr>
          <w:rFonts w:ascii="Arial" w:cs="Arial" w:eastAsia="Arial" w:hAnsi="Arial"/>
          <w:sz w:val="16"/>
          <w:szCs w:val="16"/>
          <w:color w:val="444A54"/>
        </w:rPr>
        <w:t>Audit, Risk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spacing w:after="0" w:line="242" w:lineRule="auto"/>
        <w:rPr>
          <w:sz w:val="20"/>
          <w:szCs w:val="20"/>
          <w:color w:val="auto"/>
        </w:rPr>
      </w:pPr>
      <w:r>
        <w:rPr>
          <w:rFonts w:ascii="Arial" w:cs="Arial" w:eastAsia="Arial" w:hAnsi="Arial"/>
          <w:sz w:val="17"/>
          <w:szCs w:val="17"/>
          <w:color w:val="444A54"/>
        </w:rPr>
        <w:t>Ms. Bazante received her master’s in international business administration from the Darla Moore School of Business at the University of South Carolina and a bachelor’s degree from Florida State University.</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George B. Bell</w:t>
      </w:r>
    </w:p>
    <w:p>
      <w:pPr>
        <w:spacing w:after="0" w:line="190"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444A54"/>
        </w:rPr>
        <w:t>Mr. Bell has over 40 years of experience as an information technology executive in the financial services industry. His background includes a focus on information technology development and support, project planning and execution, system design and enhancement, customer information management, organizational optimization, and M&amp;A integration. Mr. Bell’s background also includes an emphasis on customer-centric innovation and improving the quality of products and services to enhance customer experience, providing a unique skill set to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444A54"/>
        </w:rPr>
        <w:t>Mr. Bell served as Executive Vice President and Software Engineering Group Head II, Business Management Manager for Truist Financial Corporation from 2019 until his retirement in 2021. In that role, Mr. Bell led a cross-functional team and provided technical leadership to the human resources, legal, and business management functions. Mr. Bell held similar positions with progressive breadth at Truist’s predecessor BB&amp;T, from 2002 until BB&amp;T’s merger with SunTrust Bank to form Truist in 2019. At BB&amp;T, Mr. Bell led a wide variety of application support and development teams while simultaneously enabling several new business and technical capabilities. He was the inaugural co-chair for the African American Affinity group, started the ADS ambassador program, reinvigorated underperforming teams, developed skill transition models, successfully executed the first major global sourcing project, and established the foundation for BB&amp;T’s faster payments strategy.</w:t>
      </w:r>
    </w:p>
    <w:p>
      <w:pPr>
        <w:spacing w:after="0" w:line="200" w:lineRule="exact"/>
        <w:rPr>
          <w:sz w:val="20"/>
          <w:szCs w:val="20"/>
          <w:color w:val="auto"/>
        </w:rPr>
      </w:pPr>
    </w:p>
    <w:p>
      <w:pPr>
        <w:sectPr>
          <w:pgSz w:w="11900" w:h="16838" w:orient="portrait"/>
          <w:cols w:equalWidth="0" w:num="2">
            <w:col w:w="2660" w:space="720"/>
            <w:col w:w="7860"/>
          </w:cols>
          <w:pgMar w:left="320" w:top="800" w:right="339" w:bottom="1440" w:gutter="0" w:footer="0" w:header="0"/>
          <w:type w:val="continuous"/>
        </w:sectPr>
      </w:pPr>
    </w:p>
    <w:p>
      <w:pPr>
        <w:spacing w:after="0" w:line="159" w:lineRule="exact"/>
        <w:rPr>
          <w:sz w:val="20"/>
          <w:szCs w:val="20"/>
          <w:color w:val="auto"/>
        </w:rPr>
      </w:pPr>
    </w:p>
    <w:p>
      <w:pPr>
        <w:ind w:left="11160"/>
        <w:spacing w:after="0"/>
        <w:rPr>
          <w:sz w:val="20"/>
          <w:szCs w:val="20"/>
          <w:color w:val="auto"/>
        </w:rPr>
      </w:pPr>
      <w:r>
        <w:rPr>
          <w:rFonts w:ascii="Arial" w:cs="Arial" w:eastAsia="Arial" w:hAnsi="Arial"/>
          <w:sz w:val="14"/>
          <w:szCs w:val="14"/>
          <w:color w:val="444A5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424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2337435</wp:posOffset>
            </wp:positionV>
            <wp:extent cx="1239520" cy="12395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239520" cy="123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61</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2020</w:t>
      </w:r>
    </w:p>
    <w:p>
      <w:pPr>
        <w:spacing w:after="0" w:line="3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444A54"/>
        </w:rPr>
        <w:t xml:space="preserve">Committees: </w:t>
      </w:r>
      <w:r>
        <w:rPr>
          <w:rFonts w:ascii="Arial" w:cs="Arial" w:eastAsia="Arial" w:hAnsi="Arial"/>
          <w:sz w:val="16"/>
          <w:szCs w:val="16"/>
          <w:color w:val="444A54"/>
        </w:rPr>
        <w:t>Nominating and Corporate</w:t>
      </w:r>
      <w:r>
        <w:rPr>
          <w:rFonts w:ascii="Arial" w:cs="Arial" w:eastAsia="Arial" w:hAnsi="Arial"/>
          <w:sz w:val="16"/>
          <w:szCs w:val="16"/>
          <w:b w:val="1"/>
          <w:bCs w:val="1"/>
          <w:color w:val="444A54"/>
        </w:rPr>
        <w:t xml:space="preserve"> </w:t>
      </w:r>
      <w:r>
        <w:rPr>
          <w:rFonts w:ascii="Arial" w:cs="Arial" w:eastAsia="Arial" w:hAnsi="Arial"/>
          <w:sz w:val="16"/>
          <w:szCs w:val="16"/>
          <w:color w:val="444A54"/>
        </w:rPr>
        <w:t>Governance, Talent and Compensation</w:t>
      </w:r>
    </w:p>
    <w:p>
      <w:pPr>
        <w:spacing w:after="0" w:line="20" w:lineRule="exact"/>
        <w:rPr>
          <w:sz w:val="20"/>
          <w:szCs w:val="20"/>
          <w:color w:val="auto"/>
        </w:rPr>
      </w:pPr>
      <w:r>
        <w:rPr>
          <w:sz w:val="20"/>
          <w:szCs w:val="20"/>
          <w:color w:val="auto"/>
        </w:rPr>
        <w:br w:type="column"/>
      </w:r>
    </w:p>
    <w:p>
      <w:pPr>
        <w:ind w:right="60"/>
        <w:spacing w:after="0" w:line="237" w:lineRule="auto"/>
        <w:rPr>
          <w:sz w:val="20"/>
          <w:szCs w:val="20"/>
          <w:color w:val="auto"/>
        </w:rPr>
      </w:pPr>
      <w:r>
        <w:rPr>
          <w:rFonts w:ascii="Arial" w:cs="Arial" w:eastAsia="Arial" w:hAnsi="Arial"/>
          <w:sz w:val="17"/>
          <w:szCs w:val="17"/>
          <w:color w:val="444A54"/>
        </w:rPr>
        <w:t>Prior to BB&amp;T, Mr. Bell was employed in numerous technology roles with Bank of America for eight years. His tenure at Bank of America included managing customer information and teller-related migration efforts for major acquisitions, managing nationwide applications, devising the initial component-based development methodology, developing the initial CRM migration strategy, and managing the initial foray into offshore support. Prior to Bank of America, Mr. Bell was with BB&amp;T for 11 years in various technology leadership roles.</w:t>
      </w:r>
    </w:p>
    <w:p>
      <w:pPr>
        <w:spacing w:after="0" w:line="156"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444A54"/>
        </w:rPr>
        <w:t>Mr. Bell is an independent director on the board of Constellation Quality Health, a non-profit healthcare consultancy company.</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444A54"/>
        </w:rPr>
        <w:t>Mr. Bell obtained his master’s in business administration from East Carolina University. He graduated from Barton College with a bachelor’s degree in mathematics.</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James P. Clements</w:t>
      </w:r>
    </w:p>
    <w:p>
      <w:pPr>
        <w:spacing w:after="0" w:line="19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444A54"/>
        </w:rPr>
        <w:t>Dr. Clements’ experience as President of two universities makes him uniquely skilled with deep knowledge regarding the operation of a complex organization and consideration of different stakeholder groups. In addition to his leadership in higher education, Dr. Clements has extensive knowledge in the field of information technology. Dr. Clements brings extensive knowledge in the areas of leadership, strategic planning, project management, computer science, and information technology to the Board.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ind w:right="860"/>
        <w:spacing w:after="0" w:line="272" w:lineRule="auto"/>
        <w:rPr>
          <w:sz w:val="20"/>
          <w:szCs w:val="20"/>
          <w:color w:val="auto"/>
        </w:rPr>
      </w:pPr>
      <w:r>
        <w:rPr>
          <w:rFonts w:ascii="Arial" w:cs="Arial" w:eastAsia="Arial" w:hAnsi="Arial"/>
          <w:sz w:val="16"/>
          <w:szCs w:val="16"/>
          <w:color w:val="444A54"/>
        </w:rPr>
        <w:t>Dr. Clements has been Clemson University’s President since 2013. Prior to becoming Clemson University’s President, Dr. Clements served as the President of West Virginia University.</w:t>
      </w:r>
    </w:p>
    <w:p>
      <w:pPr>
        <w:spacing w:after="0" w:line="13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444A54"/>
        </w:rPr>
        <w:t>Dr. Clements is a nationally recognized leader in higher education. Dr. Clements currently serves on the Executive Committee for the Council on Competitiveness, the Special Olympics International Board, the South Carolina Chamber of Commerce Board, and the Council of Presidents for the Commission on Higher Education. Previously, he has served as the Chair of the Board for the Association of Public &amp; Land-Grant Universities and on the executive committee of APLU’s Commission on Innovation, Competitiveness and Economic Prosperity. Dr. Clements has also served on the Council of Presidents for the Association of Governing Boards, and on the Board of Directors of the American Council on Education including as a chair of the ACE Commission of Leadership.</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6"/>
          <w:szCs w:val="16"/>
          <w:color w:val="444A54"/>
        </w:rPr>
        <w:t>Dr. Clements was the only university president selected for the 15-member Innovation Advisory Board to the U.S. Department of Commerce. He also served as the co-chair of the National Advisory Committee for Innovation and Entrepreneurship 2.0, again serving as the only university president. He was nominated for, and participated in, the 81st Joint Civilian Orientation Conference through the U.S. Department of Defense where he was one of only a few dozen people selected in the country. Dr. Clements previously served on the Executive Committee of the Board for the Business Higher Education Forum.</w:t>
      </w:r>
    </w:p>
    <w:p>
      <w:pPr>
        <w:spacing w:after="0" w:line="145"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444A54"/>
        </w:rPr>
        <w:t>Dr. Clements has published and presented more than 75 papers in the fields of higher education, leadership, strategic planning, project management, computer science, and information technology. He also served as principal investigator or co-investigator on more than $15 million in research grants. His Successful Project Management book is now in its seventh edition and is published in multiple languages and used in numerous countries.</w:t>
      </w:r>
    </w:p>
    <w:p>
      <w:pPr>
        <w:spacing w:after="0" w:line="157" w:lineRule="exact"/>
        <w:rPr>
          <w:sz w:val="20"/>
          <w:szCs w:val="20"/>
          <w:color w:val="auto"/>
        </w:rPr>
      </w:pPr>
    </w:p>
    <w:p>
      <w:pPr>
        <w:jc w:val="both"/>
        <w:ind w:right="440"/>
        <w:spacing w:after="0" w:line="246" w:lineRule="auto"/>
        <w:rPr>
          <w:sz w:val="20"/>
          <w:szCs w:val="20"/>
          <w:color w:val="auto"/>
        </w:rPr>
      </w:pPr>
      <w:r>
        <w:rPr>
          <w:rFonts w:ascii="Arial" w:cs="Arial" w:eastAsia="Arial" w:hAnsi="Arial"/>
          <w:sz w:val="17"/>
          <w:szCs w:val="17"/>
          <w:color w:val="444A54"/>
        </w:rPr>
        <w:t>Dr. Clements is an independent director on the board of United Homes Group, Inc., a publicly-traded residential builder of new home communities, where he serves on the Compensation Committee and Nominating and Corporate Governance Committee.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444A54"/>
        </w:rPr>
        <w:t>Dr. Clements holds a bachelor’s degree in computer science as well as a master’s degree and Ph.D. in operations analysis from the University of Maryland-Baltimore County. Dr. Clements also holds a master’s degree in computer science from Johns Hopkins University’s Whiting School of</w:t>
      </w:r>
    </w:p>
    <w:p>
      <w:pPr>
        <w:spacing w:after="0" w:line="356" w:lineRule="exact"/>
        <w:rPr>
          <w:sz w:val="20"/>
          <w:szCs w:val="20"/>
          <w:color w:val="auto"/>
        </w:rPr>
      </w:pPr>
    </w:p>
    <w:p>
      <w:pPr>
        <w:ind w:left="7780"/>
        <w:spacing w:after="0"/>
        <w:rPr>
          <w:sz w:val="20"/>
          <w:szCs w:val="20"/>
          <w:color w:val="auto"/>
        </w:rPr>
      </w:pPr>
      <w:r>
        <w:rPr>
          <w:rFonts w:ascii="Arial" w:cs="Arial" w:eastAsia="Arial" w:hAnsi="Arial"/>
          <w:sz w:val="14"/>
          <w:szCs w:val="14"/>
          <w:color w:val="444A54"/>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35560</wp:posOffset>
            </wp:positionV>
            <wp:extent cx="71424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2">
            <w:col w:w="3020" w:space="360"/>
            <w:col w:w="7860"/>
          </w:cols>
          <w:pgMar w:left="320" w:top="811"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1002665</wp:posOffset>
            </wp:positionV>
            <wp:extent cx="1239520" cy="12471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23952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73</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2015</w:t>
      </w:r>
    </w:p>
    <w:p>
      <w:pPr>
        <w:spacing w:after="0" w:line="30"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b w:val="1"/>
          <w:bCs w:val="1"/>
          <w:color w:val="444A54"/>
        </w:rPr>
        <w:t xml:space="preserve">Committees: </w:t>
      </w:r>
      <w:r>
        <w:rPr>
          <w:rFonts w:ascii="Arial" w:cs="Arial" w:eastAsia="Arial" w:hAnsi="Arial"/>
          <w:sz w:val="17"/>
          <w:szCs w:val="17"/>
          <w:color w:val="444A54"/>
        </w:rPr>
        <w:t>Audit, Executive, Risk</w:t>
      </w:r>
      <w:r>
        <w:rPr>
          <w:rFonts w:ascii="Arial" w:cs="Arial" w:eastAsia="Arial" w:hAnsi="Arial"/>
          <w:sz w:val="17"/>
          <w:szCs w:val="17"/>
          <w:b w:val="1"/>
          <w:bCs w:val="1"/>
          <w:color w:val="444A54"/>
        </w:rPr>
        <w:t xml:space="preserve"> </w:t>
      </w:r>
      <w:r>
        <w:rPr>
          <w:rFonts w:ascii="Arial" w:cs="Arial" w:eastAsia="Arial" w:hAnsi="Arial"/>
          <w:sz w:val="17"/>
          <w:szCs w:val="17"/>
          <w:color w:val="444A54"/>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1497965</wp:posOffset>
            </wp:positionV>
            <wp:extent cx="1239520" cy="12395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39520" cy="123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67</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2024</w:t>
      </w:r>
    </w:p>
    <w:p>
      <w:pPr>
        <w:spacing w:after="0" w:line="30"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444A54"/>
        </w:rPr>
        <w:t xml:space="preserve">Committees: </w:t>
      </w:r>
      <w:r>
        <w:rPr>
          <w:rFonts w:ascii="Arial" w:cs="Arial" w:eastAsia="Arial" w:hAnsi="Arial"/>
          <w:sz w:val="17"/>
          <w:szCs w:val="17"/>
          <w:color w:val="444A54"/>
        </w:rPr>
        <w:t>Nominating and Corporate</w:t>
      </w:r>
      <w:r>
        <w:rPr>
          <w:rFonts w:ascii="Arial" w:cs="Arial" w:eastAsia="Arial" w:hAnsi="Arial"/>
          <w:sz w:val="17"/>
          <w:szCs w:val="17"/>
          <w:b w:val="1"/>
          <w:bCs w:val="1"/>
          <w:color w:val="444A54"/>
        </w:rPr>
        <w:t xml:space="preserve"> </w:t>
      </w:r>
      <w:r>
        <w:rPr>
          <w:rFonts w:ascii="Arial" w:cs="Arial" w:eastAsia="Arial" w:hAnsi="Arial"/>
          <w:sz w:val="17"/>
          <w:szCs w:val="17"/>
          <w:color w:val="444A54"/>
        </w:rPr>
        <w:t>Governance, Risk</w:t>
      </w:r>
    </w:p>
    <w:p>
      <w:pPr>
        <w:spacing w:after="0" w:line="20" w:lineRule="exact"/>
        <w:rPr>
          <w:sz w:val="20"/>
          <w:szCs w:val="20"/>
          <w:color w:val="auto"/>
        </w:rPr>
      </w:pPr>
      <w:r>
        <w:rPr>
          <w:sz w:val="20"/>
          <w:szCs w:val="20"/>
          <w:color w:val="auto"/>
        </w:rPr>
        <w:br w:type="column"/>
      </w:r>
    </w:p>
    <w:p>
      <w:pPr>
        <w:ind w:right="260"/>
        <w:spacing w:after="0" w:line="261" w:lineRule="auto"/>
        <w:rPr>
          <w:sz w:val="20"/>
          <w:szCs w:val="20"/>
          <w:color w:val="auto"/>
        </w:rPr>
      </w:pPr>
      <w:r>
        <w:rPr>
          <w:rFonts w:ascii="Arial" w:cs="Arial" w:eastAsia="Arial" w:hAnsi="Arial"/>
          <w:sz w:val="17"/>
          <w:szCs w:val="17"/>
          <w:color w:val="444A54"/>
        </w:rPr>
        <w:t>Engineering and was awarded an honorary degree as a doctor of public education from his alma mater, UMBC.</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Kenneth L. Daniels</w:t>
      </w:r>
    </w:p>
    <w:p>
      <w:pPr>
        <w:spacing w:after="0" w:line="190" w:lineRule="exact"/>
        <w:rPr>
          <w:sz w:val="20"/>
          <w:szCs w:val="20"/>
          <w:color w:val="auto"/>
        </w:rPr>
      </w:pPr>
    </w:p>
    <w:p>
      <w:pPr>
        <w:ind w:right="100"/>
        <w:spacing w:after="0"/>
        <w:rPr>
          <w:sz w:val="20"/>
          <w:szCs w:val="20"/>
          <w:color w:val="auto"/>
        </w:rPr>
      </w:pPr>
      <w:r>
        <w:rPr>
          <w:rFonts w:ascii="Arial" w:cs="Arial" w:eastAsia="Arial" w:hAnsi="Arial"/>
          <w:sz w:val="17"/>
          <w:szCs w:val="17"/>
          <w:color w:val="444A54"/>
        </w:rPr>
        <w:t>Mr. Daniels’ 38 years as a banking leader and risk professional with extensive experience in loan portfolio management, regulatory requirements, policy development and data integrity provides the Board of Directors with a depth of banking and risk expertise and offers the perspective of a large regional banking institution to the Board.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spacing w:after="0" w:line="233" w:lineRule="auto"/>
        <w:rPr>
          <w:sz w:val="20"/>
          <w:szCs w:val="20"/>
          <w:color w:val="auto"/>
        </w:rPr>
      </w:pPr>
      <w:r>
        <w:rPr>
          <w:rFonts w:ascii="Arial" w:cs="Arial" w:eastAsia="Arial" w:hAnsi="Arial"/>
          <w:sz w:val="17"/>
          <w:szCs w:val="17"/>
          <w:color w:val="444A54"/>
        </w:rPr>
        <w:t>Mr. Daniels led various credit and risk management functions at BB&amp;T during his tenure from 1983 until his retirement in 2014 as BB&amp;T grew from $2 billion to $187 billion in assets. He served as a Senior Commercial Loan Administrator where he led a team of associates responsible for commercial loan underwriting and approval and commercial loan portfolio management. He was promoted to Chief Credit Risk and Policy Officer and was responsible for total loan portfolio management and strategy, credit policies, and allowance for credit losses. He later served as Senior Risk Advisor. Mr. Daniels began his career at First Union National Bank (now Wells Fargo) where he served as a Commercial Financial Analyst and as a Senior Commercial Loan Officer.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444A54"/>
        </w:rPr>
        <w:t>Mr. Daniels is past President and Chair of both the Carolinas/Virginia Chapter and the Eastern North Carolina Chapter of the Risk Management Association (“RMA”). During his career, he served on the RMA’s National Agricultural Lending Council, the National Credit Risk Council, the Allowance for Loan and Lease Losses Roundtable, and the Commercial Risk Grading Roundtable.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444A54"/>
        </w:rPr>
        <w:t>Mr. Daniels graduated from the RMA/Wharton Advanced Risk Management Program at The Wharton School of Business and also earned a master’s in business administration at East Carolina University and a bachelor’s degree at the University of North Carolina, Chapel Hill.</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Sally Pope Davis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444A54"/>
        </w:rPr>
        <w:t>Sally Pope Davis is a highly accomplished financial executive with more than 40 years of experience in financial analysis, asset management, and investing within the financial industry. She brings to the Board extensive expertise and knowledge in shareholder value creation, strategy, corporate finance, and mergers and acquisitions as well as board service with other companies.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444A54"/>
        </w:rPr>
        <w:t>Ms. Davis retired as a managing director from Goldman Sachs Asset Management in 2024, where she co-led the U.S. Small Cap Value Strategies, which, during her tenure, included one of the industry’s largest US small-cap value funds. In addition to overseeing the portfolio, Ms. Davis was responsible for investing in the financial sector, including banks, thrifts, insurance, mortgage, capital markets and specialty finance companies. Ms. Davis joined the Small Cap Value team in 2006, became co -lead portfolio manager in 2009, and was promoted to Managing Director in 2010. From 2001 to 2006, she was a portfolio manager in Fundamental Equity for Goldman Sachs Asset Management where she was responsible for investments in mid- and large-cap commercial and investment banking companies. Previously, Ms. Davis was a senior sell-side equity analyst in Goldman Sachs Global Investment Research, where she focused on US regional banking companies during a period of significant industry consolidation.</w:t>
      </w:r>
    </w:p>
    <w:p>
      <w:pPr>
        <w:spacing w:after="0" w:line="155" w:lineRule="exact"/>
        <w:rPr>
          <w:sz w:val="20"/>
          <w:szCs w:val="20"/>
          <w:color w:val="auto"/>
        </w:rPr>
      </w:pPr>
    </w:p>
    <w:p>
      <w:pPr>
        <w:ind w:right="200"/>
        <w:spacing w:after="0"/>
        <w:rPr>
          <w:sz w:val="20"/>
          <w:szCs w:val="20"/>
          <w:color w:val="auto"/>
        </w:rPr>
      </w:pPr>
      <w:r>
        <w:rPr>
          <w:rFonts w:ascii="Arial" w:cs="Arial" w:eastAsia="Arial" w:hAnsi="Arial"/>
          <w:sz w:val="17"/>
          <w:szCs w:val="17"/>
          <w:color w:val="444A54"/>
        </w:rPr>
        <w:t>Prior to her tenure at Goldman Sachs, Ms. Davis covered regional banks as a sell-side analyst at Brown Brothers Harriman. She began her career at Chase Manhattan Bank, in roles in corporate finance, specializing in financial institutions, and as Vice President in Capital Planning, managing capital funding requirements for the corporation.</w:t>
      </w:r>
    </w:p>
    <w:p>
      <w:pPr>
        <w:spacing w:after="0" w:line="156"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444A54"/>
        </w:rPr>
        <w:t>Ms. Davis is an independent director on the Board of First Financial Bankshares, Inc., a publicly-traded corporation, and its subsidiary, First Financial Bank, where she is a member of the Risk</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13970</wp:posOffset>
            </wp:positionV>
            <wp:extent cx="71424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2">
            <w:col w:w="3020" w:space="360"/>
            <w:col w:w="7860"/>
          </w:cols>
          <w:pgMar w:left="320" w:top="811"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1741170</wp:posOffset>
            </wp:positionV>
            <wp:extent cx="1239520" cy="12395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239520" cy="123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70</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2018</w:t>
      </w:r>
    </w:p>
    <w:p>
      <w:pPr>
        <w:spacing w:after="0" w:line="3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444A54"/>
        </w:rPr>
        <w:t xml:space="preserve">Committees: </w:t>
      </w:r>
      <w:r>
        <w:rPr>
          <w:rFonts w:ascii="Arial" w:cs="Arial" w:eastAsia="Arial" w:hAnsi="Arial"/>
          <w:sz w:val="16"/>
          <w:szCs w:val="16"/>
          <w:color w:val="444A54"/>
        </w:rPr>
        <w:t>Executive, Nominating and</w:t>
      </w:r>
      <w:r>
        <w:rPr>
          <w:rFonts w:ascii="Arial" w:cs="Arial" w:eastAsia="Arial" w:hAnsi="Arial"/>
          <w:sz w:val="16"/>
          <w:szCs w:val="16"/>
          <w:b w:val="1"/>
          <w:bCs w:val="1"/>
          <w:color w:val="444A54"/>
        </w:rPr>
        <w:t xml:space="preserve"> </w:t>
      </w:r>
      <w:r>
        <w:rPr>
          <w:rFonts w:ascii="Arial" w:cs="Arial" w:eastAsia="Arial" w:hAnsi="Arial"/>
          <w:sz w:val="16"/>
          <w:szCs w:val="16"/>
          <w:color w:val="444A54"/>
        </w:rPr>
        <w:t>Corporate Governance (Chair), Risk</w:t>
      </w:r>
    </w:p>
    <w:p>
      <w:pPr>
        <w:spacing w:after="0" w:line="20" w:lineRule="exact"/>
        <w:rPr>
          <w:sz w:val="20"/>
          <w:szCs w:val="20"/>
          <w:color w:val="auto"/>
        </w:rPr>
      </w:pPr>
      <w:r>
        <w:rPr>
          <w:sz w:val="20"/>
          <w:szCs w:val="20"/>
          <w:color w:val="auto"/>
        </w:rPr>
        <w:br w:type="column"/>
      </w:r>
    </w:p>
    <w:p>
      <w:pPr>
        <w:jc w:val="both"/>
        <w:ind w:right="300"/>
        <w:spacing w:after="0" w:line="246" w:lineRule="auto"/>
        <w:rPr>
          <w:sz w:val="20"/>
          <w:szCs w:val="20"/>
          <w:color w:val="auto"/>
        </w:rPr>
      </w:pPr>
      <w:r>
        <w:rPr>
          <w:rFonts w:ascii="Arial" w:cs="Arial" w:eastAsia="Arial" w:hAnsi="Arial"/>
          <w:sz w:val="17"/>
          <w:szCs w:val="17"/>
          <w:color w:val="444A54"/>
        </w:rPr>
        <w:t>Committee. Ms. Davis also serves on the Board of First Financial Trust and Asset Management and its Investment Committee. Additionally, she is an independent board member of Core Specialty Insurance Holdings, Inc. and serves on the Audit, Finance and Risk Management Committees.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ind w:right="260"/>
        <w:spacing w:after="0" w:line="237" w:lineRule="auto"/>
        <w:rPr>
          <w:sz w:val="20"/>
          <w:szCs w:val="20"/>
          <w:color w:val="auto"/>
        </w:rPr>
      </w:pPr>
      <w:r>
        <w:rPr>
          <w:rFonts w:ascii="Arial" w:cs="Arial" w:eastAsia="Arial" w:hAnsi="Arial"/>
          <w:sz w:val="17"/>
          <w:szCs w:val="17"/>
          <w:color w:val="444A54"/>
        </w:rPr>
        <w:t>Ms. Davis holds an MBA with a concentration in finance and economics from the University of Chicago. She earned her Bachelor of Science in finance, graduating summa cum laude from the University of Connecticut.</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Lance F. Drummond</w:t>
      </w:r>
    </w:p>
    <w:p>
      <w:pPr>
        <w:spacing w:after="0" w:line="19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444A54"/>
        </w:rPr>
        <w:t>Mr. Drummond brings to the Board of Directors 40 years of business experience as an executive level business leader with multi-industry and international experience. He specializes in business-transforming strategy development and execution and organizational change for business-to-business and business-to-consumer Fortune 500 companies, with demonstrated success in manufacturing, technology and financial services industries.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444A54"/>
        </w:rPr>
        <w:t>Mr. Drummond served as Executive Vice President of Operations and Technology at TD Canada Trust from 2011 until his retirement in January 2015. In his role at TD Canada Trust, he led a team of associates who delivered personal and small business loan underwriting, funding, discharges, deposit operations, fraud management, collections, digitization and image transformation, service quality (Lean Six Sigma) and project management office services for Canadian Banking including retail, business and wealth. From 2009 to 2011, Mr. Drummond served as the Executive Vice President of Human Resources and Shared Services at Fiserv, Inc. In this role, he led the human resources function for Fiserv’s 20,000 employees. Additionally, he oversaw many of the company’s shared services, including Fiserv Global Services’ 2,800 employees located in India and Costa Rica. From 2002 to 2009, Mr. Drummond served Bank of America as the Service and Fulfillment Operations executive for Global Technology and Operations and later as Global Consumer and Small Business Banking eCommerce/ATM executive. Mr. Drummond began his career in 1976 at Eastman Kodak, where he held several senior management positions including Divisional Vice President and General Manager Dental Products, Divisional Vice President and Regional General Manager Professional Products — Latin American region, Corporate Vice President and Chief Operating Officer Professional Products Division.</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444A54"/>
        </w:rPr>
        <w:t>Mr. Drummond is an independent director on the board of AvidXchange Inc., a publicly-traded fintech company, and is a member of the Human Capital and Compensation Committee and Chair of the Risk Committee. Mr. Drummond has been a member of the National Association of Corporate Directors (NACD) since 2015.</w:t>
      </w:r>
    </w:p>
    <w:p>
      <w:pPr>
        <w:spacing w:after="0" w:line="156"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444A54"/>
        </w:rPr>
        <w:t>Mr. Drummond received the MIT Sloan Fellowship in 1994 and the Aspen Institute’s Henry Crown Fellowship in 1998. Mr. Drummond is the founder of Dreamseeds, a children’s performing arts program at YMCA of Greater Rochester.</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444A54"/>
        </w:rPr>
        <w:t>Mr. Drummond earned his bachelor’s degree in business management from Boston University, master’s in business administration from the Simon Business School at the University of Rochester, and master of science degree in management science from MIT.</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13970</wp:posOffset>
            </wp:positionV>
            <wp:extent cx="71424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2">
            <w:col w:w="3040" w:space="340"/>
            <w:col w:w="7860"/>
          </w:cols>
          <w:pgMar w:left="320" w:top="811"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525780</wp:posOffset>
            </wp:positionV>
            <wp:extent cx="1239520" cy="12395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239520" cy="123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63</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2015</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444A54"/>
        </w:rPr>
        <w:t xml:space="preserve">Committees: </w:t>
      </w:r>
      <w:r>
        <w:rPr>
          <w:rFonts w:ascii="Arial" w:cs="Arial" w:eastAsia="Arial" w:hAnsi="Arial"/>
          <w:sz w:val="16"/>
          <w:szCs w:val="16"/>
          <w:color w:val="444A54"/>
        </w:rPr>
        <w:t>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2608580</wp:posOffset>
            </wp:positionV>
            <wp:extent cx="1239520" cy="12395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39520" cy="123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65</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2023</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Committees: </w:t>
      </w:r>
      <w:r>
        <w:rPr>
          <w:rFonts w:ascii="Arial" w:cs="Arial" w:eastAsia="Arial" w:hAnsi="Arial"/>
          <w:sz w:val="17"/>
          <w:szCs w:val="17"/>
          <w:color w:val="444A54"/>
        </w:rPr>
        <w:t>Audit, Risk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i w:val="1"/>
          <w:iCs w:val="1"/>
          <w:color w:val="017AB5"/>
        </w:rPr>
        <w:t>H. Lynn Harton</w:t>
      </w:r>
    </w:p>
    <w:p>
      <w:pPr>
        <w:spacing w:after="0" w:line="190"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444A54"/>
        </w:rPr>
        <w:t>With 40 years of experience in the banking industry, Mr. Harton has extensive experience with respect to lending, risk management, credit administration, and virtually all other aspects of United Community’s business.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444A54"/>
        </w:rPr>
        <w:t>Mr. Harton serves as Chairman of the Board, President, and Chief Executive Officer of United Community and as Chairman of the Board and Chief Executive Officer of the Bank. Mr. Harton joined United Community in 2012 as Chief Operating Officer. In 2015, he was named President and elected to the Board of both United Community and the Bank. Mr. Harton was named Chief Executive Officer of the Bank in 2017 and was named Chief Executive Officer of United Community in 2018. Mr. Harton was named Chairman of the Board of both United Community and the Bank in 2019. Mr. Harton served as President of the Bank until 2021.</w:t>
      </w:r>
    </w:p>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6"/>
          <w:szCs w:val="16"/>
          <w:color w:val="444A54"/>
        </w:rPr>
        <w:t>Prior to joining United Community, Mr. Harton served as the Executive Vice President and Head of Commercial Banking-South of Toronto-Dominion Bank (“TD Bank”) from 2010 to 2012. From 2009 to 2010, Mr. Harton served as President and Chief Executive Officer of The South Financial Group (“TSFG”), and from 2007 to 2009 he served as TSFG’s Chief Risk and Chief Credit Officer. During his time at TSFG, Mr. Harton raised capital to support TSFG during the 2008 financial crisis, negotiated the sale of the company to TD Bank, and, post-sale, led the successful integration of TSFG into TD Bank. Prior to joining TSFG, Mr. Harton served from 2003 to 2007 as the Chief Credit Officer of Regions Financial Corporation and Union Planters Corporation. He also held various executive positions at BB&amp;T from 1983 to 2003.</w:t>
      </w:r>
    </w:p>
    <w:p>
      <w:pPr>
        <w:spacing w:after="0" w:line="150"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444A54"/>
        </w:rPr>
        <w:t>Mr. Harton is a past member of both the RMA National Community Bank Council and the RMA Board of Directors. He has also served on a number of additional financial boards and committees throughout his career, including the Palmetto Business Forum, RMA National Credit Risk Council, CBA National Small Business Banking Committee, and the Equifax Small Business Financial Exchange. He is a recipient of South Carolina’s highest honor, the Order of the Palmetto.</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ind w:right="440"/>
        <w:spacing w:after="0" w:line="237" w:lineRule="auto"/>
        <w:rPr>
          <w:sz w:val="20"/>
          <w:szCs w:val="20"/>
          <w:color w:val="auto"/>
        </w:rPr>
      </w:pPr>
      <w:r>
        <w:rPr>
          <w:rFonts w:ascii="Arial" w:cs="Arial" w:eastAsia="Arial" w:hAnsi="Arial"/>
          <w:sz w:val="17"/>
          <w:szCs w:val="17"/>
          <w:color w:val="444A54"/>
        </w:rPr>
        <w:t>Mr. Harton earned his bachelor’s degree from Wake Forest University and has participated in various executive programs at Duke University, Wharton, Columbia, Northwestern, the University of North Carolina, and the University of South Carolina.</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John M. James</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7"/>
          <w:szCs w:val="17"/>
          <w:color w:val="444A54"/>
        </w:rPr>
        <w:t>Mr. James has more than 35 years of experience in senior financial management roles. Mr. James has served in senior executive positions encompassing financial reporting, accounting, treasury, and regulatory responsibilities in a global banking organization, which allows him to provide a unique perspective on United Community’s Board of Directors. Mr. James qualifies as an audit committee financial expert and serves on the Audit Committee.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444A54"/>
        </w:rPr>
        <w:t>Mr. James served as the Americas Legal Entity Controller for Bank of America from 2019 until his retirement in 2022. In that role, Mr. James was responsible for all of the legal entity controllership activities for the U.S., Canada, Mexico, Brazil, and other countries in South America. He also had responsibility for certain corporate and treasury accounting functions.</w:t>
      </w:r>
    </w:p>
    <w:p>
      <w:pPr>
        <w:spacing w:after="0" w:line="157" w:lineRule="exact"/>
        <w:rPr>
          <w:sz w:val="20"/>
          <w:szCs w:val="20"/>
          <w:color w:val="auto"/>
        </w:rPr>
      </w:pPr>
    </w:p>
    <w:p>
      <w:pPr>
        <w:ind w:right="200"/>
        <w:spacing w:after="0"/>
        <w:rPr>
          <w:sz w:val="20"/>
          <w:szCs w:val="20"/>
          <w:color w:val="auto"/>
        </w:rPr>
      </w:pPr>
      <w:r>
        <w:rPr>
          <w:rFonts w:ascii="Arial" w:cs="Arial" w:eastAsia="Arial" w:hAnsi="Arial"/>
          <w:sz w:val="17"/>
          <w:szCs w:val="17"/>
          <w:color w:val="444A54"/>
        </w:rPr>
        <w:t>Prior to his role as Americas Legal Entity Controller, Mr. James was the Corporate Controller for Bank of America for 14 years. In that role, he was responsible for certain corporate and treasury accounting functions, SEC reporting, accounting policy, corporate analysis and reporting, and Enterprise Reg W governance.</w:t>
      </w:r>
    </w:p>
    <w:p>
      <w:pPr>
        <w:spacing w:after="0" w:line="156" w:lineRule="exact"/>
        <w:rPr>
          <w:sz w:val="20"/>
          <w:szCs w:val="20"/>
          <w:color w:val="auto"/>
        </w:rPr>
      </w:pPr>
    </w:p>
    <w:p>
      <w:pPr>
        <w:ind w:right="20"/>
        <w:spacing w:after="0"/>
        <w:rPr>
          <w:sz w:val="20"/>
          <w:szCs w:val="20"/>
          <w:color w:val="auto"/>
        </w:rPr>
      </w:pPr>
      <w:r>
        <w:rPr>
          <w:rFonts w:ascii="Arial" w:cs="Arial" w:eastAsia="Arial" w:hAnsi="Arial"/>
          <w:sz w:val="17"/>
          <w:szCs w:val="17"/>
          <w:color w:val="444A54"/>
        </w:rPr>
        <w:t>Mr. James joined Bank of America in 2005 as the Corporate Controller. Before joining the bank, he completed a two-year professional accounting fellowship in the Office of the Chief Accountant at the SEC in Washington, D.C. Prior to his time at the SEC, he spent twelve years with PricewaterhouseCoopers LLP including four years in the Accounting Consulting Services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13970</wp:posOffset>
            </wp:positionV>
            <wp:extent cx="71424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2">
            <w:col w:w="2660" w:space="720"/>
            <w:col w:w="7860"/>
          </w:cols>
          <w:pgMar w:left="320" w:top="804"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1860550</wp:posOffset>
            </wp:positionV>
            <wp:extent cx="1239520" cy="12395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239520" cy="123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54</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2018</w:t>
      </w:r>
    </w:p>
    <w:p>
      <w:pPr>
        <w:spacing w:after="0" w:line="30"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b w:val="1"/>
          <w:bCs w:val="1"/>
          <w:color w:val="444A54"/>
        </w:rPr>
        <w:t xml:space="preserve">Committees: </w:t>
      </w:r>
      <w:r>
        <w:rPr>
          <w:rFonts w:ascii="Arial" w:cs="Arial" w:eastAsia="Arial" w:hAnsi="Arial"/>
          <w:sz w:val="17"/>
          <w:szCs w:val="17"/>
          <w:color w:val="444A54"/>
        </w:rPr>
        <w:t>Executive, Talent and</w:t>
      </w:r>
      <w:r>
        <w:rPr>
          <w:rFonts w:ascii="Arial" w:cs="Arial" w:eastAsia="Arial" w:hAnsi="Arial"/>
          <w:sz w:val="17"/>
          <w:szCs w:val="17"/>
          <w:b w:val="1"/>
          <w:bCs w:val="1"/>
          <w:color w:val="444A54"/>
        </w:rPr>
        <w:t xml:space="preserve"> </w:t>
      </w:r>
      <w:r>
        <w:rPr>
          <w:rFonts w:ascii="Arial" w:cs="Arial" w:eastAsia="Arial" w:hAnsi="Arial"/>
          <w:sz w:val="17"/>
          <w:szCs w:val="17"/>
          <w:color w:val="444A54"/>
        </w:rPr>
        <w:t>Compensation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1625600</wp:posOffset>
            </wp:positionV>
            <wp:extent cx="1239520" cy="12395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9520" cy="123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73</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2012, Lead Director</w:t>
      </w:r>
    </w:p>
    <w:p>
      <w:pPr>
        <w:spacing w:after="0" w:line="3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444A54"/>
        </w:rPr>
        <w:t xml:space="preserve">Committees: </w:t>
      </w:r>
      <w:r>
        <w:rPr>
          <w:rFonts w:ascii="Arial" w:cs="Arial" w:eastAsia="Arial" w:hAnsi="Arial"/>
          <w:sz w:val="16"/>
          <w:szCs w:val="16"/>
          <w:color w:val="444A54"/>
        </w:rPr>
        <w:t>Audit, Executive,</w:t>
      </w:r>
      <w:r>
        <w:rPr>
          <w:rFonts w:ascii="Arial" w:cs="Arial" w:eastAsia="Arial" w:hAnsi="Arial"/>
          <w:sz w:val="16"/>
          <w:szCs w:val="16"/>
          <w:b w:val="1"/>
          <w:bCs w:val="1"/>
          <w:color w:val="444A54"/>
        </w:rPr>
        <w:t xml:space="preserve"> </w:t>
      </w:r>
      <w:r>
        <w:rPr>
          <w:rFonts w:ascii="Arial" w:cs="Arial" w:eastAsia="Arial" w:hAnsi="Arial"/>
          <w:sz w:val="16"/>
          <w:szCs w:val="16"/>
          <w:color w:val="444A54"/>
        </w:rPr>
        <w:t>Nominating and Corporate Governance</w:t>
      </w:r>
    </w:p>
    <w:p>
      <w:pPr>
        <w:spacing w:after="0" w:line="20" w:lineRule="exact"/>
        <w:rPr>
          <w:sz w:val="20"/>
          <w:szCs w:val="20"/>
          <w:color w:val="auto"/>
        </w:rPr>
      </w:pPr>
      <w:r>
        <w:rPr>
          <w:sz w:val="20"/>
          <w:szCs w:val="20"/>
          <w:color w:val="auto"/>
        </w:rPr>
        <w:br w:type="column"/>
      </w:r>
    </w:p>
    <w:p>
      <w:pPr>
        <w:ind w:right="80"/>
        <w:spacing w:after="0"/>
        <w:rPr>
          <w:sz w:val="20"/>
          <w:szCs w:val="20"/>
          <w:color w:val="auto"/>
        </w:rPr>
      </w:pPr>
      <w:r>
        <w:rPr>
          <w:rFonts w:ascii="Arial" w:cs="Arial" w:eastAsia="Arial" w:hAnsi="Arial"/>
          <w:sz w:val="17"/>
          <w:szCs w:val="17"/>
          <w:color w:val="444A54"/>
        </w:rPr>
        <w:t>group of the firm’s Professional, Technical, Risk &amp; Quality National Office as a financial instruments accounting consultant. During this time, he was also a member of the Financial Instruments Task Force of the Auditing Standards Board. He also previously worked in the banking and insurance industries for seven years in a variety of senior financial management positions.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444A54"/>
        </w:rPr>
        <w:t>Mr. James graduated from the University of Kentucky, earning a bachelor’s degree in business administration with a concentration in finance and a bachelor’s degree in accounting. During his career, he was previously a certified public accountant and held a Chartered Financial Analyst (CFA) designation.</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Jennifer K. Mann</w:t>
      </w:r>
    </w:p>
    <w:p>
      <w:pPr>
        <w:spacing w:after="0" w:line="190"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444A54"/>
        </w:rPr>
        <w:t>Ms. Mann provides a wealth of human resources experience to the Board of Directors. Her leadership in human resources demonstrates her vision and strong management skills and offers extensive human resources insight to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spacing w:after="0" w:line="230" w:lineRule="auto"/>
        <w:rPr>
          <w:sz w:val="20"/>
          <w:szCs w:val="20"/>
          <w:color w:val="auto"/>
        </w:rPr>
      </w:pPr>
      <w:r>
        <w:rPr>
          <w:rFonts w:ascii="Arial" w:cs="Arial" w:eastAsia="Arial" w:hAnsi="Arial"/>
          <w:sz w:val="17"/>
          <w:szCs w:val="17"/>
          <w:color w:val="444A54"/>
        </w:rPr>
        <w:t>Ms. Mann has been employed with SAS since 1998 and currently serves as Executive Vice President of Human Resources, where she is responsible for developing and guiding SAS’ human resources vision and articulating the organization’s strategy to help acquire, develop, reward and retain the best talent.</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444A54"/>
        </w:rPr>
        <w:t>Ms. Mann leads a global human resources organization that acts as a steward of the SAS culture and engages a global workforce of over 12,000 with diverse talents and skills. SAS has been ranked on the FORTUNE 100 Best Companies to Work For® list since the list’s inception. This recognition includes multiple number one rankings in the US, as well as the World’s Best Multinational Workplaces from Great Place to Work®, garnering accolades for SAS across the globe for its workplace culture and commitment to innovation. Her workplace culture insights have been shared in The Wall Street Journal, US News &amp; World Report, CBS MoneyWatch, CBS Sunday Morning, CNN, and The Great Workplace by Michael Burchell and Jennifer Robin. Ms. Mann was selected as a 2014 finalist for Chief Human Resources Officer of the Year by HRO Magazine. Prior to joining SAS, Ms. Mann held human resources leadership roles in industries such as high-tech manufacturing, healthcare and academia.</w:t>
      </w:r>
    </w:p>
    <w:p>
      <w:pPr>
        <w:spacing w:after="0" w:line="159"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444A54"/>
        </w:rPr>
        <w:t>Ms. Mann serves on the advisory council at North Carolina State University’s Poole College of Management and on the Board of Trustees for Meredith College. She is a member of OnBoardNC.</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444A54"/>
        </w:rPr>
        <w:t>Ms. Mann received her bachelor’s degree in psychology and business from Meredith College in Raleigh, North Carolina.</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Thomas A. Richlovsky</w:t>
      </w:r>
    </w:p>
    <w:p>
      <w:pPr>
        <w:spacing w:after="0" w:line="190" w:lineRule="exact"/>
        <w:rPr>
          <w:sz w:val="20"/>
          <w:szCs w:val="20"/>
          <w:color w:val="auto"/>
        </w:rPr>
      </w:pPr>
    </w:p>
    <w:p>
      <w:pPr>
        <w:ind w:right="660"/>
        <w:spacing w:after="0" w:line="261" w:lineRule="auto"/>
        <w:rPr>
          <w:sz w:val="20"/>
          <w:szCs w:val="20"/>
          <w:color w:val="auto"/>
        </w:rPr>
      </w:pPr>
      <w:r>
        <w:rPr>
          <w:rFonts w:ascii="Arial" w:cs="Arial" w:eastAsia="Arial" w:hAnsi="Arial"/>
          <w:sz w:val="17"/>
          <w:szCs w:val="17"/>
          <w:color w:val="444A54"/>
        </w:rPr>
        <w:t>Mr. Richlovsky has extensive experience in the financial services industry, having served in senior executive positions in finance, accounting and treasury at major banking organizations.</w:t>
      </w:r>
    </w:p>
    <w:p>
      <w:pPr>
        <w:spacing w:after="0" w:line="138" w:lineRule="exact"/>
        <w:rPr>
          <w:sz w:val="20"/>
          <w:szCs w:val="20"/>
          <w:color w:val="auto"/>
        </w:rPr>
      </w:pPr>
    </w:p>
    <w:p>
      <w:pPr>
        <w:jc w:val="both"/>
        <w:ind w:right="280"/>
        <w:spacing w:after="0" w:line="246" w:lineRule="auto"/>
        <w:rPr>
          <w:sz w:val="20"/>
          <w:szCs w:val="20"/>
          <w:color w:val="auto"/>
        </w:rPr>
      </w:pPr>
      <w:r>
        <w:rPr>
          <w:rFonts w:ascii="Arial" w:cs="Arial" w:eastAsia="Arial" w:hAnsi="Arial"/>
          <w:sz w:val="17"/>
          <w:szCs w:val="17"/>
          <w:color w:val="444A54"/>
        </w:rPr>
        <w:t>Mr. Richlovsky’s expertise and experience in these finance-related areas of banking provide a valuable perspective, making him well suited to serve on United Community’s Board of Directors. Mr. Richlovsky qualifies as an audit committee financial expert and serves on the Audit Committee.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444A54"/>
        </w:rPr>
        <w:t>Mr. Richlovsky retired as Executive Vice President at PNC Financial Services Group Inc. (“PNC”) in 2011. He joined PNC upon its acquisition of National City Corporation in December 2008. Mr. Richlovsky was Chief Financial Officer, Treasurer and Principal Accounting Officer of National City at the time of its acquisition by PNC. During his 30-year tenure with National City, he assumed progressively greater responsibilities and gained extensive financial management, accounting and treasury expertise. Over that same period, National City grew from approximately $5 billion in assets and 2,000 employees to $150 billion in assets and over 30,000 employees. Following the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13970</wp:posOffset>
            </wp:positionV>
            <wp:extent cx="71424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2">
            <w:col w:w="2920" w:space="460"/>
            <w:col w:w="7860"/>
          </w:cols>
          <w:pgMar w:left="320" w:top="811"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2575560</wp:posOffset>
            </wp:positionV>
            <wp:extent cx="1239520" cy="12395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239520" cy="123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73</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1999</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444A54"/>
        </w:rPr>
        <w:t xml:space="preserve">Committees: </w:t>
      </w:r>
      <w:r>
        <w:rPr>
          <w:rFonts w:ascii="Arial" w:cs="Arial" w:eastAsia="Arial" w:hAnsi="Arial"/>
          <w:sz w:val="16"/>
          <w:szCs w:val="16"/>
          <w:color w:val="444A54"/>
        </w:rPr>
        <w:t>Talent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1178560</wp:posOffset>
            </wp:positionV>
            <wp:extent cx="1239520" cy="12395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9520" cy="123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Age: </w:t>
      </w:r>
      <w:r>
        <w:rPr>
          <w:rFonts w:ascii="Arial" w:cs="Arial" w:eastAsia="Arial" w:hAnsi="Arial"/>
          <w:sz w:val="17"/>
          <w:szCs w:val="17"/>
          <w:color w:val="444A54"/>
        </w:rPr>
        <w:t>78</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Director since: </w:t>
      </w:r>
      <w:r>
        <w:rPr>
          <w:rFonts w:ascii="Arial" w:cs="Arial" w:eastAsia="Arial" w:hAnsi="Arial"/>
          <w:sz w:val="17"/>
          <w:szCs w:val="17"/>
          <w:color w:val="444A54"/>
        </w:rPr>
        <w:t>2016</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444A54"/>
        </w:rPr>
        <w:t xml:space="preserve">Committees: </w:t>
      </w:r>
      <w:r>
        <w:rPr>
          <w:rFonts w:ascii="Arial" w:cs="Arial" w:eastAsia="Arial" w:hAnsi="Arial"/>
          <w:sz w:val="17"/>
          <w:szCs w:val="17"/>
          <w:color w:val="444A54"/>
        </w:rPr>
        <w:t>Risk</w:t>
      </w:r>
    </w:p>
    <w:p>
      <w:pPr>
        <w:spacing w:after="0" w:line="20" w:lineRule="exact"/>
        <w:rPr>
          <w:sz w:val="20"/>
          <w:szCs w:val="20"/>
          <w:color w:val="auto"/>
        </w:rPr>
      </w:pPr>
      <w:r>
        <w:rPr>
          <w:sz w:val="20"/>
          <w:szCs w:val="20"/>
          <w:color w:val="auto"/>
        </w:rPr>
        <w:br w:type="column"/>
      </w:r>
    </w:p>
    <w:p>
      <w:pPr>
        <w:ind w:right="60"/>
        <w:spacing w:after="0" w:line="246" w:lineRule="auto"/>
        <w:rPr>
          <w:sz w:val="20"/>
          <w:szCs w:val="20"/>
          <w:color w:val="auto"/>
        </w:rPr>
      </w:pPr>
      <w:r>
        <w:rPr>
          <w:rFonts w:ascii="Arial" w:cs="Arial" w:eastAsia="Arial" w:hAnsi="Arial"/>
          <w:sz w:val="17"/>
          <w:szCs w:val="17"/>
          <w:color w:val="444A54"/>
        </w:rPr>
        <w:t>sale of National City to PNC, Mr. Richlovsky was appointed Executive Vice President of PNC and assisted in the integration of the two companies. At PNC, he managed several functional areas within the PNC finance group.</w:t>
      </w:r>
    </w:p>
    <w:p>
      <w:pPr>
        <w:spacing w:after="0" w:line="150"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444A54"/>
        </w:rPr>
        <w:t>Mr. Richlovsky began his business career as an auditor in 1973 with Ernst &amp; Ernst, a predecessor firm of Ernst &amp; Young LLP, in Cleveland, Ohio.</w:t>
      </w:r>
    </w:p>
    <w:p>
      <w:pPr>
        <w:spacing w:after="0" w:line="13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444A54"/>
        </w:rPr>
        <w:t>Mr. Richlovsky is a certified public accountant. During Mr. Richlovsky’s business career he was active in numerous professional organizations, including the American Institute of Certified Public Accountants, Financial Executives Institute, Bank Administration Institute and National Investor Relations Institute. He currently serves on the boards of several educational and not-for-profit organizations.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444A54"/>
        </w:rPr>
        <w:t>Mr. Richlovsky graduated summa cum laude from Cleveland State University. He also completed graduate studies at The Stonier Graduate School of Banking at Rutgers University.</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Tim R. Wallis</w:t>
      </w:r>
    </w:p>
    <w:p>
      <w:pPr>
        <w:spacing w:after="0" w:line="190" w:lineRule="exact"/>
        <w:rPr>
          <w:sz w:val="20"/>
          <w:szCs w:val="20"/>
          <w:color w:val="auto"/>
        </w:rPr>
      </w:pPr>
    </w:p>
    <w:p>
      <w:pPr>
        <w:spacing w:after="0" w:line="256" w:lineRule="auto"/>
        <w:rPr>
          <w:sz w:val="20"/>
          <w:szCs w:val="20"/>
          <w:color w:val="auto"/>
        </w:rPr>
      </w:pPr>
      <w:r>
        <w:rPr>
          <w:rFonts w:ascii="Arial" w:cs="Arial" w:eastAsia="Arial" w:hAnsi="Arial"/>
          <w:sz w:val="16"/>
          <w:szCs w:val="16"/>
          <w:color w:val="444A54"/>
        </w:rPr>
        <w:t>Mr. Wallis is a community leader and was a long-term owner of a small business. With United Community’s interest in small business and commercial banking, Mr. Wallis brings a valuable perspective and insight to the Board of Directors. His varied experience on a number of community boards, as well as his service on the United Community Bank — Rome community bank board, gives the Board of Directors a focus on the needs of our mid-size banking communities and the business owners within those communities.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spacing w:after="0" w:line="244" w:lineRule="auto"/>
        <w:rPr>
          <w:sz w:val="20"/>
          <w:szCs w:val="20"/>
          <w:color w:val="auto"/>
        </w:rPr>
      </w:pPr>
      <w:r>
        <w:rPr>
          <w:rFonts w:ascii="Arial" w:cs="Arial" w:eastAsia="Arial" w:hAnsi="Arial"/>
          <w:sz w:val="16"/>
          <w:szCs w:val="16"/>
          <w:color w:val="444A54"/>
        </w:rPr>
        <w:t>Mr. Wallis was previously President of Wallis Printing in Rome, Georgia. In addition to serving on the Board of Directors of United Community, Mr. Wallis also serves as Chairman on the community bank board of United Community Bank— Rome. He has served on the board of directors of the Printing and Imaging Association of Georgia (“PIAG”) and was Chairman of the association’s Government Relations Committee. In this capacity, he worked directly with PIAG legislative liaisons at both the state and national levels.</w:t>
      </w:r>
    </w:p>
    <w:p>
      <w:pPr>
        <w:spacing w:after="0" w:line="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444A54"/>
        </w:rPr>
        <w:t>Mr. Wallis previously served on the Georgia Chamber of Commerce board of directors and was the chair for Northwest Georgia. Additionally, Mr. Wallis has significant investment interests in retail shopping centers and apartment complexes throughout the Southeast. He also served on the Darlington School Board of Trustees, Georgia Southern University Foundation Board of Trustees, Rome/Floyd YMCA Board of Trustees, and the United Way of Rome and Floyd County Board of Trustees.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444A54"/>
        </w:rPr>
        <w:t>Mr. Wallis is a graduate of Georgia Southern University.</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David H. Wilkins</w:t>
      </w:r>
    </w:p>
    <w:p>
      <w:pPr>
        <w:spacing w:after="0" w:line="190" w:lineRule="exact"/>
        <w:rPr>
          <w:sz w:val="20"/>
          <w:szCs w:val="20"/>
          <w:color w:val="auto"/>
        </w:rPr>
      </w:pPr>
    </w:p>
    <w:p>
      <w:pPr>
        <w:ind w:right="80"/>
        <w:spacing w:after="0"/>
        <w:rPr>
          <w:sz w:val="20"/>
          <w:szCs w:val="20"/>
          <w:color w:val="auto"/>
        </w:rPr>
      </w:pPr>
      <w:r>
        <w:rPr>
          <w:rFonts w:ascii="Arial" w:cs="Arial" w:eastAsia="Arial" w:hAnsi="Arial"/>
          <w:sz w:val="17"/>
          <w:szCs w:val="17"/>
          <w:color w:val="444A54"/>
        </w:rPr>
        <w:t>Mr. Wilkins has extensive legal, regulatory and governance experience, having served in a senior position in a national law firm and as a U.S. Ambassador and Member of a State House of Representatives. With this comprehensive legal and governance experience, Mr. Wilkins provides a valuable perspective to United Community’s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444A54"/>
        </w:rPr>
        <w:t>Career Highlights</w:t>
      </w:r>
    </w:p>
    <w:p>
      <w:pPr>
        <w:spacing w:after="0" w:line="20"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444A54"/>
        </w:rPr>
        <w:t>Ambassador Wilkins is a partner at Nelson Mullins Riley &amp; Scarborough LLP in Greenville, South Carolina serving on the government relations strategies group with a special focus on U.S. — Canada interests. He proudly served as U.S. Ambassador to Canada from June 2005 to January 2009, appointed by President George W. Bush.</w:t>
      </w:r>
    </w:p>
    <w:p>
      <w:pPr>
        <w:spacing w:after="0" w:line="157" w:lineRule="exact"/>
        <w:rPr>
          <w:sz w:val="20"/>
          <w:szCs w:val="20"/>
          <w:color w:val="auto"/>
        </w:rPr>
      </w:pPr>
    </w:p>
    <w:p>
      <w:pPr>
        <w:ind w:right="80"/>
        <w:spacing w:after="0"/>
        <w:rPr>
          <w:sz w:val="20"/>
          <w:szCs w:val="20"/>
          <w:color w:val="auto"/>
        </w:rPr>
      </w:pPr>
      <w:r>
        <w:rPr>
          <w:rFonts w:ascii="Arial" w:cs="Arial" w:eastAsia="Arial" w:hAnsi="Arial"/>
          <w:sz w:val="17"/>
          <w:szCs w:val="17"/>
          <w:color w:val="444A54"/>
        </w:rPr>
        <w:t>After returning to South Carolina from Canada, Ambassador Wilkins spent six years chairing the Clemson University Board of Trustees and now serves as a Trustee Emeritus to that board. Additionally, he served as a director on several corporate boards over the past ten years. He is a member of both the South Carolina Bar Association and the American Bar Association. In 2010,</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13970</wp:posOffset>
            </wp:positionV>
            <wp:extent cx="71424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2">
            <w:col w:w="2940" w:space="440"/>
            <w:col w:w="7860"/>
          </w:cols>
          <w:pgMar w:left="320" w:top="811" w:right="339" w:bottom="1440" w:gutter="0" w:footer="0" w:header="0"/>
        </w:sectPr>
      </w:pPr>
    </w:p>
    <w:bookmarkStart w:id="18" w:name="page19"/>
    <w:bookmarkEnd w:id="18"/>
    <w:p>
      <w:pPr>
        <w:ind w:left="2260" w:right="140"/>
        <w:spacing w:after="0" w:line="238" w:lineRule="auto"/>
        <w:rPr>
          <w:sz w:val="20"/>
          <w:szCs w:val="20"/>
          <w:color w:val="auto"/>
        </w:rPr>
      </w:pPr>
      <w:r>
        <w:rPr>
          <w:rFonts w:ascii="Arial" w:cs="Arial" w:eastAsia="Arial" w:hAnsi="Arial"/>
          <w:sz w:val="17"/>
          <w:szCs w:val="17"/>
          <w:color w:val="444A54"/>
        </w:rPr>
        <w:t>South Carolina’s then Governor-elect Nikki Haley tapped Mr. Wilkins to chair her government transition team. First elected in 1980, Ambassador Wilkins served 25 years in the South Carolina House of Representatives. He was elected Speaker of the House in 1994, a position he held for 11 years until he resigned for his ambassadorship post. He is the recipient of numerous awards including South Carolina’s highest honor, the Order of the Palmetto.</w:t>
      </w:r>
    </w:p>
    <w:p>
      <w:pPr>
        <w:spacing w:after="0" w:line="148" w:lineRule="exact"/>
        <w:rPr>
          <w:sz w:val="20"/>
          <w:szCs w:val="20"/>
          <w:color w:val="auto"/>
        </w:rPr>
      </w:pPr>
    </w:p>
    <w:p>
      <w:pPr>
        <w:ind w:left="2260"/>
        <w:spacing w:after="0"/>
        <w:rPr>
          <w:sz w:val="20"/>
          <w:szCs w:val="20"/>
          <w:color w:val="auto"/>
        </w:rPr>
      </w:pPr>
      <w:r>
        <w:rPr>
          <w:rFonts w:ascii="Arial" w:cs="Arial" w:eastAsia="Arial" w:hAnsi="Arial"/>
          <w:sz w:val="20"/>
          <w:szCs w:val="20"/>
          <w:color w:val="444A54"/>
        </w:rPr>
        <w:t>Education</w:t>
      </w:r>
    </w:p>
    <w:p>
      <w:pPr>
        <w:spacing w:after="0" w:line="20" w:lineRule="exact"/>
        <w:rPr>
          <w:sz w:val="20"/>
          <w:szCs w:val="20"/>
          <w:color w:val="auto"/>
        </w:rPr>
      </w:pPr>
    </w:p>
    <w:p>
      <w:pPr>
        <w:ind w:left="2260" w:right="140"/>
        <w:spacing w:after="0" w:line="242" w:lineRule="auto"/>
        <w:rPr>
          <w:sz w:val="20"/>
          <w:szCs w:val="20"/>
          <w:color w:val="auto"/>
        </w:rPr>
      </w:pPr>
      <w:r>
        <w:rPr>
          <w:rFonts w:ascii="Arial" w:cs="Arial" w:eastAsia="Arial" w:hAnsi="Arial"/>
          <w:sz w:val="17"/>
          <w:szCs w:val="17"/>
          <w:color w:val="444A54"/>
        </w:rPr>
        <w:t>Mr. Wilkins received his bachelor’s degree from Clemson University and his JD degree from University of South Carolina School of Law.</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13970</wp:posOffset>
            </wp:positionV>
            <wp:extent cx="71424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0120"/>
          </w:cols>
          <w:pgMar w:left="1440" w:top="811" w:right="339" w:bottom="1440" w:gutter="0" w:footer="0" w:header="0"/>
        </w:sectPr>
      </w:pPr>
    </w:p>
    <w:bookmarkStart w:id="19" w:name="page20"/>
    <w:bookmarkEnd w:id="19"/>
    <w:p>
      <w:pPr>
        <w:ind w:right="680"/>
        <w:spacing w:after="0" w:line="287" w:lineRule="auto"/>
        <w:rPr>
          <w:sz w:val="20"/>
          <w:szCs w:val="20"/>
          <w:color w:val="auto"/>
        </w:rPr>
      </w:pPr>
      <w:r>
        <w:rPr>
          <w:rFonts w:ascii="Arial" w:cs="Arial" w:eastAsia="Arial" w:hAnsi="Arial"/>
          <w:sz w:val="25"/>
          <w:szCs w:val="25"/>
          <w:b w:val="1"/>
          <w:bCs w:val="1"/>
          <w:color w:val="017AB5"/>
        </w:rPr>
        <w:t>Process for Shareholder to Recommend Individuals for Consideration by the Nominating and Corporate Governance Committee</w:t>
      </w:r>
    </w:p>
    <w:p>
      <w:pPr>
        <w:spacing w:after="0" w:line="86" w:lineRule="exact"/>
        <w:rPr>
          <w:sz w:val="20"/>
          <w:szCs w:val="20"/>
          <w:color w:val="auto"/>
        </w:rPr>
      </w:pPr>
    </w:p>
    <w:p>
      <w:pPr>
        <w:ind w:right="480"/>
        <w:spacing w:after="0" w:line="246" w:lineRule="auto"/>
        <w:rPr>
          <w:sz w:val="20"/>
          <w:szCs w:val="20"/>
          <w:color w:val="auto"/>
        </w:rPr>
      </w:pPr>
      <w:r>
        <w:rPr>
          <w:rFonts w:ascii="Arial" w:cs="Arial" w:eastAsia="Arial" w:hAnsi="Arial"/>
          <w:sz w:val="17"/>
          <w:szCs w:val="17"/>
          <w:color w:val="444A54"/>
        </w:rPr>
        <w:t>Any shareholder who wishes to recommend a director candidate for consideration by our Nominating and Corporate Governance Committee must submit a written notice to our Corporate Secretary. For the 2026 Annual Meeting of Shareholders, the Nominating and Corporate Governance Committee will consider recommendations received by December 3, 2025. The written notice must set forth:</w:t>
      </w:r>
    </w:p>
    <w:p>
      <w:pPr>
        <w:spacing w:after="0" w:line="150" w:lineRule="exact"/>
        <w:rPr>
          <w:sz w:val="20"/>
          <w:szCs w:val="20"/>
          <w:color w:val="auto"/>
        </w:rPr>
      </w:pPr>
    </w:p>
    <w:p>
      <w:pPr>
        <w:ind w:left="600" w:hanging="300"/>
        <w:spacing w:after="0"/>
        <w:tabs>
          <w:tab w:leader="none" w:pos="600" w:val="left"/>
        </w:tabs>
        <w:numPr>
          <w:ilvl w:val="0"/>
          <w:numId w:val="7"/>
        </w:numPr>
        <w:rPr>
          <w:rFonts w:ascii="Arial" w:cs="Arial" w:eastAsia="Arial" w:hAnsi="Arial"/>
          <w:sz w:val="17"/>
          <w:szCs w:val="17"/>
          <w:color w:val="444A54"/>
        </w:rPr>
      </w:pPr>
      <w:r>
        <w:rPr>
          <w:rFonts w:ascii="Arial" w:cs="Arial" w:eastAsia="Arial" w:hAnsi="Arial"/>
          <w:sz w:val="17"/>
          <w:szCs w:val="17"/>
          <w:color w:val="444A54"/>
        </w:rPr>
        <w:t>The name and business or residence address of the nominee;</w:t>
      </w:r>
    </w:p>
    <w:p>
      <w:pPr>
        <w:spacing w:after="0" w:line="79" w:lineRule="exact"/>
        <w:rPr>
          <w:rFonts w:ascii="Arial" w:cs="Arial" w:eastAsia="Arial" w:hAnsi="Arial"/>
          <w:sz w:val="17"/>
          <w:szCs w:val="17"/>
          <w:color w:val="444A54"/>
        </w:rPr>
      </w:pPr>
    </w:p>
    <w:p>
      <w:pPr>
        <w:ind w:left="600" w:hanging="300"/>
        <w:spacing w:after="0"/>
        <w:tabs>
          <w:tab w:leader="none" w:pos="600" w:val="left"/>
        </w:tabs>
        <w:numPr>
          <w:ilvl w:val="0"/>
          <w:numId w:val="7"/>
        </w:numPr>
        <w:rPr>
          <w:rFonts w:ascii="Arial" w:cs="Arial" w:eastAsia="Arial" w:hAnsi="Arial"/>
          <w:sz w:val="17"/>
          <w:szCs w:val="17"/>
          <w:color w:val="444A54"/>
        </w:rPr>
      </w:pPr>
      <w:r>
        <w:rPr>
          <w:rFonts w:ascii="Arial" w:cs="Arial" w:eastAsia="Arial" w:hAnsi="Arial"/>
          <w:sz w:val="17"/>
          <w:szCs w:val="17"/>
          <w:color w:val="444A54"/>
        </w:rPr>
        <w:t>The number of shares of common stock of United Community that are beneficially owned by the nominee;</w:t>
      </w:r>
    </w:p>
    <w:p>
      <w:pPr>
        <w:spacing w:after="0" w:line="79" w:lineRule="exact"/>
        <w:rPr>
          <w:rFonts w:ascii="Arial" w:cs="Arial" w:eastAsia="Arial" w:hAnsi="Arial"/>
          <w:sz w:val="17"/>
          <w:szCs w:val="17"/>
          <w:color w:val="444A54"/>
        </w:rPr>
      </w:pPr>
    </w:p>
    <w:p>
      <w:pPr>
        <w:ind w:left="600" w:hanging="300"/>
        <w:spacing w:after="0"/>
        <w:tabs>
          <w:tab w:leader="none" w:pos="600" w:val="left"/>
        </w:tabs>
        <w:numPr>
          <w:ilvl w:val="0"/>
          <w:numId w:val="7"/>
        </w:numPr>
        <w:rPr>
          <w:rFonts w:ascii="Arial" w:cs="Arial" w:eastAsia="Arial" w:hAnsi="Arial"/>
          <w:sz w:val="17"/>
          <w:szCs w:val="17"/>
          <w:color w:val="444A54"/>
        </w:rPr>
      </w:pPr>
      <w:r>
        <w:rPr>
          <w:rFonts w:ascii="Arial" w:cs="Arial" w:eastAsia="Arial" w:hAnsi="Arial"/>
          <w:sz w:val="17"/>
          <w:szCs w:val="17"/>
          <w:color w:val="444A54"/>
        </w:rPr>
        <w:t>The total number of shares that, to the knowledge of the nominating shareholder, would be voted for such person;</w:t>
      </w:r>
    </w:p>
    <w:p>
      <w:pPr>
        <w:spacing w:after="0" w:line="79" w:lineRule="exact"/>
        <w:rPr>
          <w:rFonts w:ascii="Arial" w:cs="Arial" w:eastAsia="Arial" w:hAnsi="Arial"/>
          <w:sz w:val="17"/>
          <w:szCs w:val="17"/>
          <w:color w:val="444A54"/>
        </w:rPr>
      </w:pPr>
    </w:p>
    <w:p>
      <w:pPr>
        <w:ind w:left="600" w:hanging="300"/>
        <w:spacing w:after="0"/>
        <w:tabs>
          <w:tab w:leader="none" w:pos="600" w:val="left"/>
        </w:tabs>
        <w:numPr>
          <w:ilvl w:val="0"/>
          <w:numId w:val="7"/>
        </w:numPr>
        <w:rPr>
          <w:rFonts w:ascii="Arial" w:cs="Arial" w:eastAsia="Arial" w:hAnsi="Arial"/>
          <w:sz w:val="17"/>
          <w:szCs w:val="17"/>
          <w:color w:val="444A54"/>
        </w:rPr>
      </w:pPr>
      <w:r>
        <w:rPr>
          <w:rFonts w:ascii="Arial" w:cs="Arial" w:eastAsia="Arial" w:hAnsi="Arial"/>
          <w:sz w:val="17"/>
          <w:szCs w:val="17"/>
          <w:color w:val="444A54"/>
        </w:rPr>
        <w:t>The signed consent of the nominee to serve, if elected; and</w:t>
      </w:r>
    </w:p>
    <w:p>
      <w:pPr>
        <w:spacing w:after="0" w:line="79" w:lineRule="exact"/>
        <w:rPr>
          <w:rFonts w:ascii="Arial" w:cs="Arial" w:eastAsia="Arial" w:hAnsi="Arial"/>
          <w:sz w:val="17"/>
          <w:szCs w:val="17"/>
          <w:color w:val="444A54"/>
        </w:rPr>
      </w:pPr>
    </w:p>
    <w:p>
      <w:pPr>
        <w:ind w:left="600" w:right="80" w:hanging="300"/>
        <w:spacing w:after="0" w:line="261" w:lineRule="auto"/>
        <w:tabs>
          <w:tab w:leader="none" w:pos="600" w:val="left"/>
        </w:tabs>
        <w:numPr>
          <w:ilvl w:val="0"/>
          <w:numId w:val="7"/>
        </w:numPr>
        <w:rPr>
          <w:rFonts w:ascii="Arial" w:cs="Arial" w:eastAsia="Arial" w:hAnsi="Arial"/>
          <w:sz w:val="17"/>
          <w:szCs w:val="17"/>
          <w:color w:val="444A54"/>
        </w:rPr>
      </w:pPr>
      <w:r>
        <w:rPr>
          <w:rFonts w:ascii="Arial" w:cs="Arial" w:eastAsia="Arial" w:hAnsi="Arial"/>
          <w:sz w:val="17"/>
          <w:szCs w:val="17"/>
          <w:color w:val="444A54"/>
        </w:rPr>
        <w:t>The name and residence address of the nominating shareholder, and the number of shares of United Community that are beneficially owned by the nominating shareholder.</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6"/>
          <w:szCs w:val="16"/>
          <w:color w:val="444A54"/>
        </w:rPr>
        <w:t>Written notices should be sent to the Corporate Secretary, United Community Banks, Inc., 200 East Camperdown Way, Greenville, South Carolina 29601. A proposed nominee must complete a questionnaire providing requested information about his or her background and qualifications as well as information that would be required to be disclosed by the SEC’s proxy rules and would allow the Nominating and Corporate Governance Committee to evaluate that person’s independence. In addition, any shareholder who intends to solicit proxies in support of director nominees other than our nominees at the 2026 Annual Meeting of Shareholders, in order to comply with the SEC’s universal proxy rules, must provide notice no later than March 15, 2026 to our Corporate Secretary (at the same address previously set forth) that contains all information required by Exchange Act Rule 14a-19.</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444A54"/>
        </w:rPr>
        <w:t>There were no director nominations proposed for the 2025 Annual Meeting by any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363220</wp:posOffset>
            </wp:positionV>
            <wp:extent cx="7142480" cy="524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2480" cy="52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FFFFFF"/>
        </w:rPr>
        <w:t>THE BOARD UNANIMOUSLY RECOMMENDS THAT SHAREHOLDERS VOTE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FFFFFF"/>
        </w:rPr>
        <w:t>“FOR ALL” OF THE 12 DIRECTOR NOMINEES NAMED IN PROPOSAL 1.</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7"/>
          <w:szCs w:val="17"/>
          <w:color w:val="444A5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 w:name="page21"/>
    <w:bookmarkEnd w:id="20"/>
    <w:p>
      <w:pPr>
        <w:spacing w:after="0"/>
        <w:rPr>
          <w:sz w:val="20"/>
          <w:szCs w:val="20"/>
          <w:color w:val="auto"/>
        </w:rPr>
      </w:pPr>
      <w:r>
        <w:rPr>
          <w:rFonts w:ascii="Arial" w:cs="Arial" w:eastAsia="Arial" w:hAnsi="Arial"/>
          <w:sz w:val="33"/>
          <w:szCs w:val="33"/>
          <w:b w:val="1"/>
          <w:bCs w:val="1"/>
          <w:color w:val="194C85"/>
        </w:rPr>
        <w:t>Corporate Governance</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Our Board of Directors</w:t>
      </w:r>
    </w:p>
    <w:p>
      <w:pPr>
        <w:spacing w:after="0" w:line="198"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444A54"/>
        </w:rPr>
        <w:t>Our Board provides active, engaged, independent oversight of the Company. Our Board sets the cultural “tone at the top” and oversees the Company’s business with an effective leadership structure guided by strong governance practices. All members of the Board are well engaged in fulfilling their responsibilities. The Board places a high value on collegiality and open dialogue. The Board proactively fosters a culture of transparency and respect for others. At Board meetings, the Lead Director and other Board members regularly articulate the desire for all members of the Board to express their views and to be open to the opinions of others. We believe that the Board’s commitment to this positive culture is a core attribute that facilitates the Board’s effective independent oversight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142480" cy="18351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2480" cy="1835150"/>
                    </a:xfrm>
                    <a:prstGeom prst="rect">
                      <a:avLst/>
                    </a:prstGeom>
                    <a:noFill/>
                  </pic:spPr>
                </pic:pic>
              </a:graphicData>
            </a:graphic>
          </wp:anchor>
        </w:drawing>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20"/>
          <w:szCs w:val="20"/>
          <w:color w:val="007DB6"/>
        </w:rPr>
        <w:t>Our Board is guided by strong governance principles and practices, including the following:</w:t>
      </w:r>
    </w:p>
    <w:p>
      <w:pPr>
        <w:spacing w:after="0" w:line="80" w:lineRule="exact"/>
        <w:rPr>
          <w:sz w:val="20"/>
          <w:szCs w:val="20"/>
          <w:color w:val="auto"/>
        </w:rPr>
      </w:pPr>
    </w:p>
    <w:p>
      <w:pPr>
        <w:ind w:left="780" w:hanging="313"/>
        <w:spacing w:after="0"/>
        <w:tabs>
          <w:tab w:leader="none" w:pos="780" w:val="left"/>
        </w:tabs>
        <w:numPr>
          <w:ilvl w:val="0"/>
          <w:numId w:val="8"/>
        </w:numPr>
        <w:rPr>
          <w:rFonts w:ascii="MS PGothic" w:cs="MS PGothic" w:eastAsia="MS PGothic" w:hAnsi="MS PGothic"/>
          <w:sz w:val="17"/>
          <w:szCs w:val="17"/>
          <w:color w:val="474C55"/>
        </w:rPr>
      </w:pPr>
      <w:r>
        <w:rPr>
          <w:rFonts w:ascii="Arial" w:cs="Arial" w:eastAsia="Arial" w:hAnsi="Arial"/>
          <w:sz w:val="17"/>
          <w:szCs w:val="17"/>
          <w:color w:val="474C55"/>
        </w:rPr>
        <w:t>Lead independent director with clearly defined role</w:t>
      </w:r>
    </w:p>
    <w:p>
      <w:pPr>
        <w:spacing w:after="0" w:line="67" w:lineRule="exact"/>
        <w:rPr>
          <w:rFonts w:ascii="MS PGothic" w:cs="MS PGothic" w:eastAsia="MS PGothic" w:hAnsi="MS PGothic"/>
          <w:sz w:val="17"/>
          <w:szCs w:val="17"/>
          <w:color w:val="474C55"/>
        </w:rPr>
      </w:pPr>
    </w:p>
    <w:p>
      <w:pPr>
        <w:ind w:left="760" w:right="540" w:hanging="293"/>
        <w:spacing w:after="0" w:line="253" w:lineRule="auto"/>
        <w:tabs>
          <w:tab w:leader="none" w:pos="773" w:val="left"/>
        </w:tabs>
        <w:numPr>
          <w:ilvl w:val="0"/>
          <w:numId w:val="8"/>
        </w:numPr>
        <w:rPr>
          <w:rFonts w:ascii="MS PGothic" w:cs="MS PGothic" w:eastAsia="MS PGothic" w:hAnsi="MS PGothic"/>
          <w:sz w:val="17"/>
          <w:szCs w:val="17"/>
          <w:color w:val="474C55"/>
        </w:rPr>
      </w:pPr>
      <w:r>
        <w:rPr>
          <w:rFonts w:ascii="Arial" w:cs="Arial" w:eastAsia="Arial" w:hAnsi="Arial"/>
          <w:sz w:val="17"/>
          <w:szCs w:val="17"/>
          <w:color w:val="474C55"/>
        </w:rPr>
        <w:t>Audit Committee, Nominating and Corporate Governance Committee, Risk Committee, and Talent and Compensation Committee each consist entirely of independent directors</w:t>
      </w:r>
    </w:p>
    <w:p>
      <w:pPr>
        <w:spacing w:after="0" w:line="38" w:lineRule="exact"/>
        <w:rPr>
          <w:rFonts w:ascii="MS PGothic" w:cs="MS PGothic" w:eastAsia="MS PGothic" w:hAnsi="MS PGothic"/>
          <w:sz w:val="17"/>
          <w:szCs w:val="17"/>
          <w:color w:val="474C55"/>
        </w:rPr>
      </w:pPr>
    </w:p>
    <w:p>
      <w:pPr>
        <w:ind w:left="780" w:hanging="313"/>
        <w:spacing w:after="0"/>
        <w:tabs>
          <w:tab w:leader="none" w:pos="780" w:val="left"/>
        </w:tabs>
        <w:numPr>
          <w:ilvl w:val="0"/>
          <w:numId w:val="8"/>
        </w:numPr>
        <w:rPr>
          <w:rFonts w:ascii="MS PGothic" w:cs="MS PGothic" w:eastAsia="MS PGothic" w:hAnsi="MS PGothic"/>
          <w:sz w:val="17"/>
          <w:szCs w:val="17"/>
          <w:color w:val="474C55"/>
        </w:rPr>
      </w:pPr>
      <w:r>
        <w:rPr>
          <w:rFonts w:ascii="Arial" w:cs="Arial" w:eastAsia="Arial" w:hAnsi="Arial"/>
          <w:sz w:val="17"/>
          <w:szCs w:val="17"/>
          <w:color w:val="474C55"/>
        </w:rPr>
        <w:t>Executive session of independent directors at each regular Board meeting</w:t>
      </w:r>
    </w:p>
    <w:p>
      <w:pPr>
        <w:spacing w:after="0" w:line="67" w:lineRule="exact"/>
        <w:rPr>
          <w:rFonts w:ascii="MS PGothic" w:cs="MS PGothic" w:eastAsia="MS PGothic" w:hAnsi="MS PGothic"/>
          <w:sz w:val="17"/>
          <w:szCs w:val="17"/>
          <w:color w:val="474C55"/>
        </w:rPr>
      </w:pPr>
    </w:p>
    <w:p>
      <w:pPr>
        <w:ind w:left="780" w:hanging="313"/>
        <w:spacing w:after="0"/>
        <w:tabs>
          <w:tab w:leader="none" w:pos="780" w:val="left"/>
        </w:tabs>
        <w:numPr>
          <w:ilvl w:val="0"/>
          <w:numId w:val="8"/>
        </w:numPr>
        <w:rPr>
          <w:rFonts w:ascii="MS PGothic" w:cs="MS PGothic" w:eastAsia="MS PGothic" w:hAnsi="MS PGothic"/>
          <w:sz w:val="17"/>
          <w:szCs w:val="17"/>
          <w:color w:val="474C55"/>
        </w:rPr>
      </w:pPr>
      <w:r>
        <w:rPr>
          <w:rFonts w:ascii="Arial" w:cs="Arial" w:eastAsia="Arial" w:hAnsi="Arial"/>
          <w:sz w:val="17"/>
          <w:szCs w:val="17"/>
          <w:color w:val="474C55"/>
        </w:rPr>
        <w:t>Regular consideration of Board and committee composition and refreshment</w:t>
      </w:r>
    </w:p>
    <w:p>
      <w:pPr>
        <w:spacing w:after="0" w:line="67" w:lineRule="exact"/>
        <w:rPr>
          <w:rFonts w:ascii="MS PGothic" w:cs="MS PGothic" w:eastAsia="MS PGothic" w:hAnsi="MS PGothic"/>
          <w:sz w:val="17"/>
          <w:szCs w:val="17"/>
          <w:color w:val="474C55"/>
        </w:rPr>
      </w:pPr>
    </w:p>
    <w:p>
      <w:pPr>
        <w:ind w:left="780" w:hanging="313"/>
        <w:spacing w:after="0"/>
        <w:tabs>
          <w:tab w:leader="none" w:pos="780" w:val="left"/>
        </w:tabs>
        <w:numPr>
          <w:ilvl w:val="0"/>
          <w:numId w:val="8"/>
        </w:numPr>
        <w:rPr>
          <w:rFonts w:ascii="MS PGothic" w:cs="MS PGothic" w:eastAsia="MS PGothic" w:hAnsi="MS PGothic"/>
          <w:sz w:val="17"/>
          <w:szCs w:val="17"/>
          <w:color w:val="474C55"/>
        </w:rPr>
      </w:pPr>
      <w:r>
        <w:rPr>
          <w:rFonts w:ascii="Arial" w:cs="Arial" w:eastAsia="Arial" w:hAnsi="Arial"/>
          <w:sz w:val="17"/>
          <w:szCs w:val="17"/>
          <w:color w:val="474C55"/>
        </w:rPr>
        <w:t>Periodic comprehensive Board and committee self-assessments</w:t>
      </w:r>
    </w:p>
    <w:p>
      <w:pPr>
        <w:spacing w:after="0" w:line="67" w:lineRule="exact"/>
        <w:rPr>
          <w:rFonts w:ascii="MS PGothic" w:cs="MS PGothic" w:eastAsia="MS PGothic" w:hAnsi="MS PGothic"/>
          <w:sz w:val="17"/>
          <w:szCs w:val="17"/>
          <w:color w:val="474C55"/>
        </w:rPr>
      </w:pPr>
    </w:p>
    <w:p>
      <w:pPr>
        <w:ind w:left="780" w:hanging="313"/>
        <w:spacing w:after="0"/>
        <w:tabs>
          <w:tab w:leader="none" w:pos="780" w:val="left"/>
        </w:tabs>
        <w:numPr>
          <w:ilvl w:val="0"/>
          <w:numId w:val="8"/>
        </w:numPr>
        <w:rPr>
          <w:rFonts w:ascii="MS PGothic" w:cs="MS PGothic" w:eastAsia="MS PGothic" w:hAnsi="MS PGothic"/>
          <w:sz w:val="17"/>
          <w:szCs w:val="17"/>
          <w:color w:val="474C55"/>
        </w:rPr>
      </w:pPr>
      <w:r>
        <w:rPr>
          <w:rFonts w:ascii="Arial" w:cs="Arial" w:eastAsia="Arial" w:hAnsi="Arial"/>
          <w:sz w:val="17"/>
          <w:szCs w:val="17"/>
          <w:color w:val="474C55"/>
        </w:rPr>
        <w:t>Direct Board access to management and transparency and openness in communications</w:t>
      </w:r>
    </w:p>
    <w:p>
      <w:pPr>
        <w:spacing w:after="0" w:line="67" w:lineRule="exact"/>
        <w:rPr>
          <w:rFonts w:ascii="MS PGothic" w:cs="MS PGothic" w:eastAsia="MS PGothic" w:hAnsi="MS PGothic"/>
          <w:sz w:val="17"/>
          <w:szCs w:val="17"/>
          <w:color w:val="474C55"/>
        </w:rPr>
      </w:pPr>
    </w:p>
    <w:p>
      <w:pPr>
        <w:ind w:left="780" w:hanging="313"/>
        <w:spacing w:after="0"/>
        <w:tabs>
          <w:tab w:leader="none" w:pos="780" w:val="left"/>
        </w:tabs>
        <w:numPr>
          <w:ilvl w:val="0"/>
          <w:numId w:val="8"/>
        </w:numPr>
        <w:rPr>
          <w:rFonts w:ascii="MS PGothic" w:cs="MS PGothic" w:eastAsia="MS PGothic" w:hAnsi="MS PGothic"/>
          <w:sz w:val="17"/>
          <w:szCs w:val="17"/>
          <w:color w:val="474C55"/>
        </w:rPr>
      </w:pPr>
      <w:r>
        <w:rPr>
          <w:rFonts w:ascii="Arial" w:cs="Arial" w:eastAsia="Arial" w:hAnsi="Arial"/>
          <w:sz w:val="17"/>
          <w:szCs w:val="17"/>
          <w:color w:val="474C55"/>
        </w:rPr>
        <w:t>Stock ownership guidelines for directors</w:t>
      </w:r>
    </w:p>
    <w:p>
      <w:pPr>
        <w:spacing w:after="0" w:line="67" w:lineRule="exact"/>
        <w:rPr>
          <w:rFonts w:ascii="MS PGothic" w:cs="MS PGothic" w:eastAsia="MS PGothic" w:hAnsi="MS PGothic"/>
          <w:sz w:val="17"/>
          <w:szCs w:val="17"/>
          <w:color w:val="474C55"/>
        </w:rPr>
      </w:pPr>
    </w:p>
    <w:p>
      <w:pPr>
        <w:ind w:left="780" w:hanging="313"/>
        <w:spacing w:after="0"/>
        <w:tabs>
          <w:tab w:leader="none" w:pos="780" w:val="left"/>
        </w:tabs>
        <w:numPr>
          <w:ilvl w:val="0"/>
          <w:numId w:val="8"/>
        </w:numPr>
        <w:rPr>
          <w:rFonts w:ascii="MS PGothic" w:cs="MS PGothic" w:eastAsia="MS PGothic" w:hAnsi="MS PGothic"/>
          <w:sz w:val="17"/>
          <w:szCs w:val="17"/>
          <w:color w:val="474C55"/>
        </w:rPr>
      </w:pPr>
      <w:r>
        <w:rPr>
          <w:rFonts w:ascii="Arial" w:cs="Arial" w:eastAsia="Arial" w:hAnsi="Arial"/>
          <w:sz w:val="17"/>
          <w:szCs w:val="17"/>
          <w:color w:val="474C55"/>
        </w:rPr>
        <w:t>Strict anti-hedging policy</w:t>
      </w:r>
    </w:p>
    <w:p>
      <w:pPr>
        <w:sectPr>
          <w:pgSz w:w="11900" w:h="16838" w:orient="portrait"/>
          <w:cols w:equalWidth="0" w:num="1">
            <w:col w:w="11240"/>
          </w:cols>
          <w:pgMar w:left="320" w:top="792" w:right="339"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474C55"/>
        </w:rPr>
        <w:t>Among other important functions, our Board and its committees:</w:t>
      </w:r>
    </w:p>
    <w:p>
      <w:pPr>
        <w:spacing w:after="0" w:line="105" w:lineRule="exact"/>
        <w:rPr>
          <w:sz w:val="20"/>
          <w:szCs w:val="20"/>
          <w:color w:val="auto"/>
        </w:rPr>
      </w:pPr>
    </w:p>
    <w:p>
      <w:pPr>
        <w:jc w:val="both"/>
        <w:ind w:left="620" w:right="242" w:hanging="307"/>
        <w:spacing w:after="0" w:line="246" w:lineRule="auto"/>
        <w:tabs>
          <w:tab w:leader="none" w:pos="620" w:val="left"/>
        </w:tabs>
        <w:numPr>
          <w:ilvl w:val="0"/>
          <w:numId w:val="9"/>
        </w:numPr>
        <w:rPr>
          <w:rFonts w:ascii="Arial" w:cs="Arial" w:eastAsia="Arial" w:hAnsi="Arial"/>
          <w:sz w:val="17"/>
          <w:szCs w:val="17"/>
          <w:color w:val="474C55"/>
        </w:rPr>
      </w:pPr>
      <w:r>
        <w:rPr>
          <w:rFonts w:ascii="Arial" w:cs="Arial" w:eastAsia="Arial" w:hAnsi="Arial"/>
          <w:sz w:val="17"/>
          <w:szCs w:val="17"/>
          <w:color w:val="474C55"/>
        </w:rPr>
        <w:t>Oversee management’s development and implementation of a multi-year strategic business plan and monitor our progress in meeting the strategic business plan</w:t>
      </w:r>
    </w:p>
    <w:p>
      <w:pPr>
        <w:spacing w:after="0" w:line="74" w:lineRule="exact"/>
        <w:rPr>
          <w:rFonts w:ascii="Arial" w:cs="Arial" w:eastAsia="Arial" w:hAnsi="Arial"/>
          <w:sz w:val="17"/>
          <w:szCs w:val="17"/>
          <w:color w:val="474C55"/>
        </w:rPr>
      </w:pPr>
    </w:p>
    <w:p>
      <w:pPr>
        <w:ind w:left="620" w:right="102" w:hanging="307"/>
        <w:spacing w:after="0"/>
        <w:tabs>
          <w:tab w:leader="none" w:pos="620" w:val="left"/>
        </w:tabs>
        <w:numPr>
          <w:ilvl w:val="0"/>
          <w:numId w:val="9"/>
        </w:numPr>
        <w:rPr>
          <w:rFonts w:ascii="Arial" w:cs="Arial" w:eastAsia="Arial" w:hAnsi="Arial"/>
          <w:sz w:val="17"/>
          <w:szCs w:val="17"/>
          <w:color w:val="474C55"/>
        </w:rPr>
      </w:pPr>
      <w:r>
        <w:rPr>
          <w:rFonts w:ascii="Arial" w:cs="Arial" w:eastAsia="Arial" w:hAnsi="Arial"/>
          <w:sz w:val="17"/>
          <w:szCs w:val="17"/>
          <w:color w:val="474C55"/>
        </w:rPr>
        <w:t>Oversee our risk management processes and efforts to identify, assess, and manage or mitigate material risks facing United Community, including operational, cyber, credit, market, liquidity, compliance, and reputational risks</w:t>
      </w:r>
    </w:p>
    <w:p>
      <w:pPr>
        <w:spacing w:after="0" w:line="81" w:lineRule="exact"/>
        <w:rPr>
          <w:rFonts w:ascii="Arial" w:cs="Arial" w:eastAsia="Arial" w:hAnsi="Arial"/>
          <w:sz w:val="17"/>
          <w:szCs w:val="17"/>
          <w:color w:val="474C55"/>
        </w:rPr>
      </w:pPr>
    </w:p>
    <w:p>
      <w:pPr>
        <w:ind w:left="620" w:right="302" w:hanging="307"/>
        <w:spacing w:after="0" w:line="293" w:lineRule="auto"/>
        <w:tabs>
          <w:tab w:leader="none" w:pos="620" w:val="left"/>
        </w:tabs>
        <w:numPr>
          <w:ilvl w:val="0"/>
          <w:numId w:val="9"/>
        </w:numPr>
        <w:rPr>
          <w:rFonts w:ascii="Arial" w:cs="Arial" w:eastAsia="Arial" w:hAnsi="Arial"/>
          <w:sz w:val="16"/>
          <w:szCs w:val="16"/>
          <w:color w:val="474C55"/>
        </w:rPr>
      </w:pPr>
      <w:r>
        <w:rPr>
          <w:rFonts w:ascii="Arial" w:cs="Arial" w:eastAsia="Arial" w:hAnsi="Arial"/>
          <w:sz w:val="16"/>
          <w:szCs w:val="16"/>
          <w:color w:val="474C55"/>
        </w:rPr>
        <w:t>Oversee our audit function, our independent registered public accounting firm, and the integrity of our financial statements</w:t>
      </w:r>
    </w:p>
    <w:p>
      <w:pPr>
        <w:spacing w:after="0" w:line="38" w:lineRule="exact"/>
        <w:rPr>
          <w:rFonts w:ascii="Arial" w:cs="Arial" w:eastAsia="Arial" w:hAnsi="Arial"/>
          <w:sz w:val="16"/>
          <w:szCs w:val="16"/>
          <w:color w:val="474C55"/>
        </w:rPr>
      </w:pPr>
    </w:p>
    <w:p>
      <w:pPr>
        <w:ind w:left="620" w:right="202" w:hanging="307"/>
        <w:spacing w:after="0" w:line="246" w:lineRule="auto"/>
        <w:tabs>
          <w:tab w:leader="none" w:pos="620" w:val="left"/>
        </w:tabs>
        <w:numPr>
          <w:ilvl w:val="0"/>
          <w:numId w:val="9"/>
        </w:numPr>
        <w:rPr>
          <w:rFonts w:ascii="Arial" w:cs="Arial" w:eastAsia="Arial" w:hAnsi="Arial"/>
          <w:sz w:val="17"/>
          <w:szCs w:val="17"/>
          <w:color w:val="474C55"/>
        </w:rPr>
      </w:pPr>
      <w:r>
        <w:rPr>
          <w:rFonts w:ascii="Arial" w:cs="Arial" w:eastAsia="Arial" w:hAnsi="Arial"/>
          <w:sz w:val="17"/>
          <w:szCs w:val="17"/>
          <w:color w:val="474C55"/>
        </w:rPr>
        <w:t>Review, monitor, and approve succession plans for our Chief Executive Officer (“CEO”) and other key executives to promote senior management continuity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98" w:right="180" w:hanging="298"/>
        <w:spacing w:after="0" w:line="261" w:lineRule="auto"/>
        <w:tabs>
          <w:tab w:leader="none" w:pos="298" w:val="left"/>
        </w:tabs>
        <w:numPr>
          <w:ilvl w:val="0"/>
          <w:numId w:val="10"/>
        </w:numPr>
        <w:rPr>
          <w:rFonts w:ascii="Arial" w:cs="Arial" w:eastAsia="Arial" w:hAnsi="Arial"/>
          <w:sz w:val="17"/>
          <w:szCs w:val="17"/>
          <w:color w:val="474C55"/>
        </w:rPr>
      </w:pPr>
      <w:r>
        <w:rPr>
          <w:rFonts w:ascii="Arial" w:cs="Arial" w:eastAsia="Arial" w:hAnsi="Arial"/>
          <w:sz w:val="17"/>
          <w:szCs w:val="17"/>
          <w:color w:val="474C55"/>
        </w:rPr>
        <w:t>Oversee the establishment and administration of appropriately designed compensation programs and plans</w:t>
      </w:r>
    </w:p>
    <w:p>
      <w:pPr>
        <w:spacing w:after="0" w:line="62" w:lineRule="exact"/>
        <w:rPr>
          <w:rFonts w:ascii="Arial" w:cs="Arial" w:eastAsia="Arial" w:hAnsi="Arial"/>
          <w:sz w:val="17"/>
          <w:szCs w:val="17"/>
          <w:color w:val="474C55"/>
        </w:rPr>
      </w:pPr>
    </w:p>
    <w:p>
      <w:pPr>
        <w:ind w:left="298" w:right="280" w:hanging="298"/>
        <w:spacing w:after="0" w:line="293" w:lineRule="auto"/>
        <w:tabs>
          <w:tab w:leader="none" w:pos="298" w:val="left"/>
        </w:tabs>
        <w:numPr>
          <w:ilvl w:val="0"/>
          <w:numId w:val="10"/>
        </w:numPr>
        <w:rPr>
          <w:rFonts w:ascii="Arial" w:cs="Arial" w:eastAsia="Arial" w:hAnsi="Arial"/>
          <w:sz w:val="16"/>
          <w:szCs w:val="16"/>
          <w:color w:val="474C55"/>
        </w:rPr>
      </w:pPr>
      <w:r>
        <w:rPr>
          <w:rFonts w:ascii="Arial" w:cs="Arial" w:eastAsia="Arial" w:hAnsi="Arial"/>
          <w:sz w:val="16"/>
          <w:szCs w:val="16"/>
          <w:color w:val="474C55"/>
        </w:rPr>
        <w:t>Review our CEO’s performance and approve the total annual compensation for our CEO and other executive officers</w:t>
      </w:r>
    </w:p>
    <w:p>
      <w:pPr>
        <w:spacing w:after="0" w:line="38" w:lineRule="exact"/>
        <w:rPr>
          <w:rFonts w:ascii="Arial" w:cs="Arial" w:eastAsia="Arial" w:hAnsi="Arial"/>
          <w:sz w:val="16"/>
          <w:szCs w:val="16"/>
          <w:color w:val="474C55"/>
        </w:rPr>
      </w:pPr>
    </w:p>
    <w:p>
      <w:pPr>
        <w:jc w:val="both"/>
        <w:ind w:left="298" w:right="40" w:hanging="298"/>
        <w:spacing w:after="0" w:line="246" w:lineRule="auto"/>
        <w:tabs>
          <w:tab w:leader="none" w:pos="298" w:val="left"/>
        </w:tabs>
        <w:numPr>
          <w:ilvl w:val="0"/>
          <w:numId w:val="10"/>
        </w:numPr>
        <w:rPr>
          <w:rFonts w:ascii="Arial" w:cs="Arial" w:eastAsia="Arial" w:hAnsi="Arial"/>
          <w:sz w:val="17"/>
          <w:szCs w:val="17"/>
          <w:color w:val="474C55"/>
        </w:rPr>
      </w:pPr>
      <w:r>
        <w:rPr>
          <w:rFonts w:ascii="Arial" w:cs="Arial" w:eastAsia="Arial" w:hAnsi="Arial"/>
          <w:sz w:val="17"/>
          <w:szCs w:val="17"/>
          <w:color w:val="474C55"/>
        </w:rPr>
        <w:t>Oversee the Company’s maintenance of high ethical standards, including by adoption of a code of ethical conduct that applies to our executive management and the Board</w:t>
      </w:r>
    </w:p>
    <w:p>
      <w:pPr>
        <w:spacing w:after="0" w:line="74" w:lineRule="exact"/>
        <w:rPr>
          <w:rFonts w:ascii="Arial" w:cs="Arial" w:eastAsia="Arial" w:hAnsi="Arial"/>
          <w:sz w:val="17"/>
          <w:szCs w:val="17"/>
          <w:color w:val="474C55"/>
        </w:rPr>
      </w:pPr>
    </w:p>
    <w:p>
      <w:pPr>
        <w:ind w:left="298" w:right="660" w:hanging="298"/>
        <w:spacing w:after="0" w:line="246" w:lineRule="auto"/>
        <w:tabs>
          <w:tab w:leader="none" w:pos="298" w:val="left"/>
        </w:tabs>
        <w:numPr>
          <w:ilvl w:val="0"/>
          <w:numId w:val="10"/>
        </w:numPr>
        <w:rPr>
          <w:rFonts w:ascii="Arial" w:cs="Arial" w:eastAsia="Arial" w:hAnsi="Arial"/>
          <w:sz w:val="17"/>
          <w:szCs w:val="17"/>
          <w:color w:val="474C55"/>
        </w:rPr>
      </w:pPr>
      <w:r>
        <w:rPr>
          <w:rFonts w:ascii="Arial" w:cs="Arial" w:eastAsia="Arial" w:hAnsi="Arial"/>
          <w:sz w:val="17"/>
          <w:szCs w:val="17"/>
          <w:color w:val="474C55"/>
        </w:rPr>
        <w:t>Review our governance practices, our human capital management policies and practices, and our community development and engagement initiatives</w:t>
      </w:r>
    </w:p>
    <w:p>
      <w:pPr>
        <w:spacing w:after="0" w:line="502" w:lineRule="exact"/>
        <w:rPr>
          <w:sz w:val="20"/>
          <w:szCs w:val="20"/>
          <w:color w:val="auto"/>
        </w:rPr>
      </w:pPr>
    </w:p>
    <w:p>
      <w:pPr>
        <w:sectPr>
          <w:pgSz w:w="11900" w:h="16838" w:orient="portrait"/>
          <w:cols w:equalWidth="0" w:num="2">
            <w:col w:w="5442" w:space="720"/>
            <w:col w:w="5078"/>
          </w:cols>
          <w:pgMar w:left="320" w:top="792" w:right="339" w:bottom="1440" w:gutter="0" w:footer="0" w:header="0"/>
          <w:type w:val="continuous"/>
        </w:sectPr>
      </w:pPr>
    </w:p>
    <w:p>
      <w:pPr>
        <w:spacing w:after="0"/>
        <w:rPr>
          <w:sz w:val="20"/>
          <w:szCs w:val="20"/>
          <w:color w:val="auto"/>
        </w:rPr>
      </w:pPr>
      <w:r>
        <w:rPr>
          <w:rFonts w:ascii="Arial" w:cs="Arial" w:eastAsia="Arial" w:hAnsi="Arial"/>
          <w:sz w:val="25"/>
          <w:szCs w:val="25"/>
          <w:b w:val="1"/>
          <w:bCs w:val="1"/>
          <w:color w:val="007DB6"/>
        </w:rPr>
        <w:t>Director Independence</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7"/>
          <w:szCs w:val="17"/>
          <w:color w:val="474C55"/>
        </w:rPr>
        <w:t>NYSE listing standards require that a majority of our directors be independent and that each member of our Audit Committee, Nominating and Corporate Governance Committee, and Talent and Compensation Committee be independent. Our Board determines the independence of each director and director nominee in accordance with guidelines it adopted, which include all elements of independence set forth in the NYSE listing standards and U.S. Securities and Exchange Commission (“SEC”) rules. The Board first considers whether any director or nominee has a relationship covered by the NYSE listing standards that prohibits an independence finding for Board or committee purposes. Any director who has a material relationship with United Community or its management is not considered to be independent.</w:t>
      </w:r>
    </w:p>
    <w:p>
      <w:pPr>
        <w:spacing w:after="0" w:line="356"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1" w:name="page22"/>
    <w:bookmarkEnd w:id="21"/>
    <w:p>
      <w:pPr>
        <w:ind w:right="400"/>
        <w:spacing w:after="0" w:line="246" w:lineRule="auto"/>
        <w:rPr>
          <w:sz w:val="20"/>
          <w:szCs w:val="20"/>
          <w:color w:val="auto"/>
        </w:rPr>
      </w:pPr>
      <w:r>
        <w:rPr>
          <w:rFonts w:ascii="Arial" w:cs="Arial" w:eastAsia="Arial" w:hAnsi="Arial"/>
          <w:sz w:val="17"/>
          <w:szCs w:val="17"/>
          <w:color w:val="444A54"/>
        </w:rPr>
        <w:t>Our Board has affirmatively determined that all of our director nominees are independent, except for our CEO, H. Lynn Harton, due to his employment with the Company. Specifically, the Board determined that each of the following director nominees are independent under NYSE listing standards and our guidelines: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580" w:type="dxa"/>
            <w:vAlign w:val="bottom"/>
            <w:shd w:val="clear" w:color="auto" w:fill="E2E3E4"/>
          </w:tcPr>
          <w:p>
            <w:pPr>
              <w:ind w:left="160"/>
              <w:spacing w:after="0"/>
              <w:rPr>
                <w:sz w:val="20"/>
                <w:szCs w:val="20"/>
                <w:color w:val="auto"/>
              </w:rPr>
            </w:pPr>
            <w:r>
              <w:rPr>
                <w:rFonts w:ascii="Arial" w:cs="Arial" w:eastAsia="Arial" w:hAnsi="Arial"/>
                <w:sz w:val="17"/>
                <w:szCs w:val="17"/>
                <w:color w:val="474C55"/>
              </w:rPr>
              <w:t>Jennifer M. Bazante</w:t>
            </w:r>
          </w:p>
        </w:tc>
        <w:tc>
          <w:tcPr>
            <w:tcW w:w="3160" w:type="dxa"/>
            <w:vAlign w:val="bottom"/>
            <w:shd w:val="clear" w:color="auto" w:fill="E2E3E4"/>
          </w:tcPr>
          <w:p>
            <w:pPr>
              <w:ind w:left="120"/>
              <w:spacing w:after="0"/>
              <w:rPr>
                <w:sz w:val="20"/>
                <w:szCs w:val="20"/>
                <w:color w:val="auto"/>
              </w:rPr>
            </w:pPr>
            <w:r>
              <w:rPr>
                <w:rFonts w:ascii="Arial" w:cs="Arial" w:eastAsia="Arial" w:hAnsi="Arial"/>
                <w:sz w:val="17"/>
                <w:szCs w:val="17"/>
                <w:color w:val="474C55"/>
              </w:rPr>
              <w:t>Kenneth L. Daniels</w:t>
            </w:r>
          </w:p>
        </w:tc>
        <w:tc>
          <w:tcPr>
            <w:tcW w:w="2620" w:type="dxa"/>
            <w:vAlign w:val="bottom"/>
            <w:shd w:val="clear" w:color="auto" w:fill="E2E3E4"/>
          </w:tcPr>
          <w:p>
            <w:pPr>
              <w:ind w:left="100"/>
              <w:spacing w:after="0"/>
              <w:rPr>
                <w:sz w:val="20"/>
                <w:szCs w:val="20"/>
                <w:color w:val="auto"/>
              </w:rPr>
            </w:pPr>
            <w:r>
              <w:rPr>
                <w:rFonts w:ascii="Arial" w:cs="Arial" w:eastAsia="Arial" w:hAnsi="Arial"/>
                <w:sz w:val="17"/>
                <w:szCs w:val="17"/>
                <w:color w:val="474C55"/>
              </w:rPr>
              <w:t>John M. James</w:t>
            </w:r>
          </w:p>
        </w:tc>
        <w:tc>
          <w:tcPr>
            <w:tcW w:w="2880" w:type="dxa"/>
            <w:vAlign w:val="bottom"/>
            <w:shd w:val="clear" w:color="auto" w:fill="E2E3E4"/>
          </w:tcPr>
          <w:p>
            <w:pPr>
              <w:ind w:left="860"/>
              <w:spacing w:after="0"/>
              <w:rPr>
                <w:sz w:val="20"/>
                <w:szCs w:val="20"/>
                <w:color w:val="auto"/>
              </w:rPr>
            </w:pPr>
            <w:r>
              <w:rPr>
                <w:rFonts w:ascii="Arial" w:cs="Arial" w:eastAsia="Arial" w:hAnsi="Arial"/>
                <w:sz w:val="17"/>
                <w:szCs w:val="17"/>
                <w:color w:val="474C55"/>
              </w:rPr>
              <w:t>Tim R. Wallis</w:t>
            </w:r>
          </w:p>
        </w:tc>
      </w:tr>
      <w:tr>
        <w:trPr>
          <w:trHeight w:val="313"/>
        </w:trPr>
        <w:tc>
          <w:tcPr>
            <w:tcW w:w="2580" w:type="dxa"/>
            <w:vAlign w:val="bottom"/>
            <w:shd w:val="clear" w:color="auto" w:fill="E2E3E4"/>
          </w:tcPr>
          <w:p>
            <w:pPr>
              <w:ind w:left="160"/>
              <w:spacing w:after="0"/>
              <w:rPr>
                <w:sz w:val="20"/>
                <w:szCs w:val="20"/>
                <w:color w:val="auto"/>
              </w:rPr>
            </w:pPr>
            <w:r>
              <w:rPr>
                <w:rFonts w:ascii="Arial" w:cs="Arial" w:eastAsia="Arial" w:hAnsi="Arial"/>
                <w:sz w:val="17"/>
                <w:szCs w:val="17"/>
                <w:color w:val="474C55"/>
              </w:rPr>
              <w:t>George B. Bell</w:t>
            </w:r>
          </w:p>
        </w:tc>
        <w:tc>
          <w:tcPr>
            <w:tcW w:w="3160" w:type="dxa"/>
            <w:vAlign w:val="bottom"/>
            <w:shd w:val="clear" w:color="auto" w:fill="E2E3E4"/>
          </w:tcPr>
          <w:p>
            <w:pPr>
              <w:ind w:left="120"/>
              <w:spacing w:after="0"/>
              <w:rPr>
                <w:sz w:val="20"/>
                <w:szCs w:val="20"/>
                <w:color w:val="auto"/>
              </w:rPr>
            </w:pPr>
            <w:r>
              <w:rPr>
                <w:rFonts w:ascii="Arial" w:cs="Arial" w:eastAsia="Arial" w:hAnsi="Arial"/>
                <w:sz w:val="17"/>
                <w:szCs w:val="17"/>
                <w:color w:val="474C55"/>
              </w:rPr>
              <w:t>Sally Pope Davis</w:t>
            </w:r>
          </w:p>
        </w:tc>
        <w:tc>
          <w:tcPr>
            <w:tcW w:w="2620" w:type="dxa"/>
            <w:vAlign w:val="bottom"/>
            <w:shd w:val="clear" w:color="auto" w:fill="E2E3E4"/>
          </w:tcPr>
          <w:p>
            <w:pPr>
              <w:ind w:left="100"/>
              <w:spacing w:after="0"/>
              <w:rPr>
                <w:sz w:val="20"/>
                <w:szCs w:val="20"/>
                <w:color w:val="auto"/>
              </w:rPr>
            </w:pPr>
            <w:r>
              <w:rPr>
                <w:rFonts w:ascii="Arial" w:cs="Arial" w:eastAsia="Arial" w:hAnsi="Arial"/>
                <w:sz w:val="17"/>
                <w:szCs w:val="17"/>
                <w:color w:val="474C55"/>
              </w:rPr>
              <w:t>Jennifer K. Mann</w:t>
            </w:r>
          </w:p>
        </w:tc>
        <w:tc>
          <w:tcPr>
            <w:tcW w:w="2880" w:type="dxa"/>
            <w:vAlign w:val="bottom"/>
            <w:shd w:val="clear" w:color="auto" w:fill="E2E3E4"/>
          </w:tcPr>
          <w:p>
            <w:pPr>
              <w:ind w:left="860"/>
              <w:spacing w:after="0"/>
              <w:rPr>
                <w:sz w:val="20"/>
                <w:szCs w:val="20"/>
                <w:color w:val="auto"/>
              </w:rPr>
            </w:pPr>
            <w:r>
              <w:rPr>
                <w:rFonts w:ascii="Arial" w:cs="Arial" w:eastAsia="Arial" w:hAnsi="Arial"/>
                <w:sz w:val="17"/>
                <w:szCs w:val="17"/>
                <w:color w:val="474C55"/>
              </w:rPr>
              <w:t>David H. Wilkins</w:t>
            </w:r>
          </w:p>
        </w:tc>
      </w:tr>
      <w:tr>
        <w:trPr>
          <w:trHeight w:val="313"/>
        </w:trPr>
        <w:tc>
          <w:tcPr>
            <w:tcW w:w="2580" w:type="dxa"/>
            <w:vAlign w:val="bottom"/>
            <w:shd w:val="clear" w:color="auto" w:fill="E2E3E4"/>
          </w:tcPr>
          <w:p>
            <w:pPr>
              <w:ind w:left="160"/>
              <w:spacing w:after="0"/>
              <w:rPr>
                <w:sz w:val="20"/>
                <w:szCs w:val="20"/>
                <w:color w:val="auto"/>
              </w:rPr>
            </w:pPr>
            <w:r>
              <w:rPr>
                <w:rFonts w:ascii="Arial" w:cs="Arial" w:eastAsia="Arial" w:hAnsi="Arial"/>
                <w:sz w:val="17"/>
                <w:szCs w:val="17"/>
                <w:color w:val="474C55"/>
              </w:rPr>
              <w:t>James P. Clements</w:t>
            </w:r>
          </w:p>
        </w:tc>
        <w:tc>
          <w:tcPr>
            <w:tcW w:w="3160" w:type="dxa"/>
            <w:vAlign w:val="bottom"/>
            <w:shd w:val="clear" w:color="auto" w:fill="E2E3E4"/>
          </w:tcPr>
          <w:p>
            <w:pPr>
              <w:ind w:left="120"/>
              <w:spacing w:after="0"/>
              <w:rPr>
                <w:sz w:val="20"/>
                <w:szCs w:val="20"/>
                <w:color w:val="auto"/>
              </w:rPr>
            </w:pPr>
            <w:r>
              <w:rPr>
                <w:rFonts w:ascii="Arial" w:cs="Arial" w:eastAsia="Arial" w:hAnsi="Arial"/>
                <w:sz w:val="17"/>
                <w:szCs w:val="17"/>
                <w:color w:val="474C55"/>
              </w:rPr>
              <w:t>Lance F. Drummond</w:t>
            </w:r>
          </w:p>
        </w:tc>
        <w:tc>
          <w:tcPr>
            <w:tcW w:w="2620" w:type="dxa"/>
            <w:vAlign w:val="bottom"/>
            <w:shd w:val="clear" w:color="auto" w:fill="E2E3E4"/>
          </w:tcPr>
          <w:p>
            <w:pPr>
              <w:ind w:left="100"/>
              <w:spacing w:after="0"/>
              <w:rPr>
                <w:sz w:val="20"/>
                <w:szCs w:val="20"/>
                <w:color w:val="auto"/>
              </w:rPr>
            </w:pPr>
            <w:r>
              <w:rPr>
                <w:rFonts w:ascii="Arial" w:cs="Arial" w:eastAsia="Arial" w:hAnsi="Arial"/>
                <w:sz w:val="17"/>
                <w:szCs w:val="17"/>
                <w:color w:val="474C55"/>
              </w:rPr>
              <w:t>Thomas A. Richlovsky</w:t>
            </w:r>
          </w:p>
        </w:tc>
        <w:tc>
          <w:tcPr>
            <w:tcW w:w="2880" w:type="dxa"/>
            <w:vAlign w:val="bottom"/>
            <w:shd w:val="clear" w:color="auto" w:fill="E2E3E4"/>
          </w:tcPr>
          <w:p>
            <w:pPr>
              <w:spacing w:after="0"/>
              <w:rPr>
                <w:sz w:val="24"/>
                <w:szCs w:val="24"/>
                <w:color w:val="auto"/>
              </w:rPr>
            </w:pPr>
          </w:p>
        </w:tc>
      </w:tr>
      <w:tr>
        <w:trPr>
          <w:trHeight w:val="46"/>
        </w:trPr>
        <w:tc>
          <w:tcPr>
            <w:tcW w:w="2580" w:type="dxa"/>
            <w:vAlign w:val="bottom"/>
            <w:shd w:val="clear" w:color="auto" w:fill="E2E3E4"/>
          </w:tcPr>
          <w:p>
            <w:pPr>
              <w:spacing w:after="0"/>
              <w:rPr>
                <w:sz w:val="4"/>
                <w:szCs w:val="4"/>
                <w:color w:val="auto"/>
              </w:rPr>
            </w:pPr>
          </w:p>
        </w:tc>
        <w:tc>
          <w:tcPr>
            <w:tcW w:w="3160" w:type="dxa"/>
            <w:vAlign w:val="bottom"/>
            <w:shd w:val="clear" w:color="auto" w:fill="E2E3E4"/>
          </w:tcPr>
          <w:p>
            <w:pPr>
              <w:spacing w:after="0"/>
              <w:rPr>
                <w:sz w:val="4"/>
                <w:szCs w:val="4"/>
                <w:color w:val="auto"/>
              </w:rPr>
            </w:pPr>
          </w:p>
        </w:tc>
        <w:tc>
          <w:tcPr>
            <w:tcW w:w="2620" w:type="dxa"/>
            <w:vAlign w:val="bottom"/>
            <w:shd w:val="clear" w:color="auto" w:fill="E2E3E4"/>
          </w:tcPr>
          <w:p>
            <w:pPr>
              <w:spacing w:after="0"/>
              <w:rPr>
                <w:sz w:val="4"/>
                <w:szCs w:val="4"/>
                <w:color w:val="auto"/>
              </w:rPr>
            </w:pPr>
          </w:p>
        </w:tc>
        <w:tc>
          <w:tcPr>
            <w:tcW w:w="2880" w:type="dxa"/>
            <w:vAlign w:val="bottom"/>
            <w:shd w:val="clear" w:color="auto" w:fill="E2E3E4"/>
          </w:tcPr>
          <w:p>
            <w:pPr>
              <w:spacing w:after="0"/>
              <w:rPr>
                <w:sz w:val="4"/>
                <w:szCs w:val="4"/>
                <w:color w:val="auto"/>
              </w:rPr>
            </w:pPr>
          </w:p>
        </w:tc>
      </w:tr>
    </w:tbl>
    <w:p>
      <w:pPr>
        <w:spacing w:after="0" w:line="171"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444A54"/>
        </w:rPr>
        <w:t>Our Board determined as to each independent director that no relationship exists which, in the opinion of the Board, would interfere with the exercise of the director’s independent judgment in carrying out his or her responsibilities as a director. The Board also determined that each person who currently serves or who served in 2024 on the Audit Committee, the Nominating and Corporate Governance Committee, or the Talent and Compensation Committee meets or met, as applicable, the NYSE independence requirements for membership on those committees and, as to the Audit Committee, SEC independence rules.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444A54"/>
        </w:rPr>
        <w:t>In reaching the determination that Mr. Wilkins is independent, the Board considered that during 2024, United Community paid approximately</w:t>
      </w:r>
    </w:p>
    <w:p>
      <w:pPr>
        <w:spacing w:after="0" w:line="8" w:lineRule="exact"/>
        <w:rPr>
          <w:sz w:val="20"/>
          <w:szCs w:val="20"/>
          <w:color w:val="auto"/>
        </w:rPr>
      </w:pPr>
    </w:p>
    <w:p>
      <w:pPr>
        <w:ind w:right="240"/>
        <w:spacing w:after="0" w:line="234" w:lineRule="auto"/>
        <w:rPr>
          <w:sz w:val="20"/>
          <w:szCs w:val="20"/>
          <w:color w:val="auto"/>
        </w:rPr>
      </w:pPr>
      <w:r>
        <w:rPr>
          <w:rFonts w:ascii="Arial" w:cs="Arial" w:eastAsia="Arial" w:hAnsi="Arial"/>
          <w:sz w:val="17"/>
          <w:szCs w:val="17"/>
          <w:color w:val="444A54"/>
        </w:rPr>
        <w:t>$685,000 to the law firm of Nelson Mullins Riley &amp; Scarborough, LLP (“NMRS”) for various legal services. Mr. Wilkins is a partner with NMRS. The fees paid to NMRS by United Community during 2024 amount to less than one-tenth of 1% of that firm’s total revenue and did not exceed established thresholds that are incompatible with Mr. Wilkins being considered independent under the rules of NYSE and applicable provisions of the Securities Exchange Act of 1934 (the “Exchange Act”). Mr. Wilkins performed no legal work for the Company and received no compensation related to the engagement.</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Board Leadership Structure</w:t>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17"/>
          <w:szCs w:val="17"/>
          <w:color w:val="444A54"/>
        </w:rPr>
        <w:t>Our Board periodically reviews its leadership structure. The Board maintains flexibility to determine the most effective leadership structure in light of the composition of the Board, the composition of management, and the needs of the Company as they change over time. We currently have a Chairman and an independent Lead Director. Mr. Harton, our CEO, serves as Chairman, and Mr. Richlovsky serves as Lead Director. The Lead Director is appointed by the Board upon the recommendation of the Nominating and Corporate Governance Committee.</w:t>
      </w:r>
    </w:p>
    <w:p>
      <w:pPr>
        <w:spacing w:after="0" w:line="156" w:lineRule="exact"/>
        <w:rPr>
          <w:sz w:val="20"/>
          <w:szCs w:val="20"/>
          <w:color w:val="auto"/>
        </w:rPr>
      </w:pPr>
    </w:p>
    <w:p>
      <w:pPr>
        <w:ind w:right="420"/>
        <w:spacing w:after="0" w:line="235" w:lineRule="auto"/>
        <w:rPr>
          <w:sz w:val="20"/>
          <w:szCs w:val="20"/>
          <w:color w:val="auto"/>
        </w:rPr>
      </w:pPr>
      <w:r>
        <w:rPr>
          <w:rFonts w:ascii="Arial" w:cs="Arial" w:eastAsia="Arial" w:hAnsi="Arial"/>
          <w:sz w:val="17"/>
          <w:szCs w:val="17"/>
          <w:color w:val="444A54"/>
        </w:rPr>
        <w:t>Our Board believes that the existing structure, with Mr. Harton as Chairman and Mr. Richlovsky as Lead Director, continues to be the most effective leadership structure at this time. The Company benefits from an executive Chairman with deep experience in the financial services industry and knowledge of the Company’s emerging risks and issues that derives from close coordination with the management team. The combined CEO and Chairman role allows the Company to communicate its strategy to employees, customers, regulators, shareholders, and other stakeholders in a single voice. The Company likewise benefits from a Lead Director with deep experience in the financial services industry who communicates regularly with the Chairman, other members of the Company’s management team, and the other independent directors. We believe that the joint efforts and coordination between our Chairman and Lead Director exemplify effective Board leadership and fulfillment of the Board’s oversight responsibilities.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444A54"/>
        </w:rPr>
        <w:t>Our Lead Director is highly engaged with management and the other independent directors. Our Lead Director:</w:t>
      </w:r>
    </w:p>
    <w:p>
      <w:pPr>
        <w:spacing w:after="0" w:line="6" w:lineRule="exact"/>
        <w:rPr>
          <w:sz w:val="20"/>
          <w:szCs w:val="20"/>
          <w:color w:val="auto"/>
        </w:rPr>
      </w:pPr>
    </w:p>
    <w:p>
      <w:pPr>
        <w:ind w:left="620" w:hanging="295"/>
        <w:spacing w:after="0"/>
        <w:tabs>
          <w:tab w:leader="none" w:pos="620" w:val="left"/>
        </w:tabs>
        <w:numPr>
          <w:ilvl w:val="0"/>
          <w:numId w:val="11"/>
        </w:numPr>
        <w:rPr>
          <w:rFonts w:ascii="MS PGothic" w:cs="MS PGothic" w:eastAsia="MS PGothic" w:hAnsi="MS PGothic"/>
          <w:sz w:val="17"/>
          <w:szCs w:val="17"/>
          <w:color w:val="474C55"/>
        </w:rPr>
      </w:pPr>
      <w:r>
        <w:rPr>
          <w:rFonts w:ascii="Arial" w:cs="Arial" w:eastAsia="Arial" w:hAnsi="Arial"/>
          <w:sz w:val="17"/>
          <w:szCs w:val="17"/>
          <w:color w:val="474C55"/>
        </w:rPr>
        <w:t>Regularly meets with the CEO</w:t>
      </w:r>
    </w:p>
    <w:p>
      <w:pPr>
        <w:ind w:left="620" w:hanging="295"/>
        <w:spacing w:after="0" w:line="230" w:lineRule="auto"/>
        <w:tabs>
          <w:tab w:leader="none" w:pos="620" w:val="left"/>
        </w:tabs>
        <w:numPr>
          <w:ilvl w:val="0"/>
          <w:numId w:val="11"/>
        </w:numPr>
        <w:rPr>
          <w:rFonts w:ascii="MS PGothic" w:cs="MS PGothic" w:eastAsia="MS PGothic" w:hAnsi="MS PGothic"/>
          <w:sz w:val="17"/>
          <w:szCs w:val="17"/>
          <w:color w:val="474C55"/>
        </w:rPr>
      </w:pPr>
      <w:r>
        <w:rPr>
          <w:rFonts w:ascii="Arial" w:cs="Arial" w:eastAsia="Arial" w:hAnsi="Arial"/>
          <w:sz w:val="17"/>
          <w:szCs w:val="17"/>
          <w:color w:val="474C55"/>
        </w:rPr>
        <w:t>Coordinates with the CEO and committee chairs to develop Board and committee meeting agendas</w:t>
      </w:r>
    </w:p>
    <w:p>
      <w:pPr>
        <w:ind w:left="620" w:hanging="295"/>
        <w:spacing w:after="0" w:line="230" w:lineRule="auto"/>
        <w:tabs>
          <w:tab w:leader="none" w:pos="620" w:val="left"/>
        </w:tabs>
        <w:numPr>
          <w:ilvl w:val="0"/>
          <w:numId w:val="11"/>
        </w:numPr>
        <w:rPr>
          <w:rFonts w:ascii="MS PGothic" w:cs="MS PGothic" w:eastAsia="MS PGothic" w:hAnsi="MS PGothic"/>
          <w:sz w:val="17"/>
          <w:szCs w:val="17"/>
          <w:color w:val="474C55"/>
        </w:rPr>
      </w:pPr>
      <w:r>
        <w:rPr>
          <w:rFonts w:ascii="Arial" w:cs="Arial" w:eastAsia="Arial" w:hAnsi="Arial"/>
          <w:sz w:val="17"/>
          <w:szCs w:val="17"/>
          <w:color w:val="474C55"/>
        </w:rPr>
        <w:t>Regularly speaks with each of the committee chairs</w:t>
      </w:r>
    </w:p>
    <w:p>
      <w:pPr>
        <w:ind w:left="620" w:hanging="295"/>
        <w:spacing w:after="0" w:line="230" w:lineRule="auto"/>
        <w:tabs>
          <w:tab w:leader="none" w:pos="620" w:val="left"/>
        </w:tabs>
        <w:numPr>
          <w:ilvl w:val="0"/>
          <w:numId w:val="11"/>
        </w:numPr>
        <w:rPr>
          <w:rFonts w:ascii="MS PGothic" w:cs="MS PGothic" w:eastAsia="MS PGothic" w:hAnsi="MS PGothic"/>
          <w:sz w:val="17"/>
          <w:szCs w:val="17"/>
          <w:color w:val="474C55"/>
        </w:rPr>
      </w:pPr>
      <w:r>
        <w:rPr>
          <w:rFonts w:ascii="Arial" w:cs="Arial" w:eastAsia="Arial" w:hAnsi="Arial"/>
          <w:sz w:val="17"/>
          <w:szCs w:val="17"/>
          <w:color w:val="474C55"/>
        </w:rPr>
        <w:t>Attends all committee meetings</w:t>
      </w:r>
    </w:p>
    <w:p>
      <w:pPr>
        <w:ind w:left="620" w:hanging="295"/>
        <w:spacing w:after="0" w:line="230" w:lineRule="auto"/>
        <w:tabs>
          <w:tab w:leader="none" w:pos="620" w:val="left"/>
        </w:tabs>
        <w:numPr>
          <w:ilvl w:val="0"/>
          <w:numId w:val="11"/>
        </w:numPr>
        <w:rPr>
          <w:rFonts w:ascii="MS PGothic" w:cs="MS PGothic" w:eastAsia="MS PGothic" w:hAnsi="MS PGothic"/>
          <w:sz w:val="17"/>
          <w:szCs w:val="17"/>
          <w:color w:val="474C55"/>
        </w:rPr>
      </w:pPr>
      <w:r>
        <w:rPr>
          <w:rFonts w:ascii="Arial" w:cs="Arial" w:eastAsia="Arial" w:hAnsi="Arial"/>
          <w:sz w:val="17"/>
          <w:szCs w:val="17"/>
          <w:color w:val="474C55"/>
        </w:rPr>
        <w:t>Advises the CEO of the information needs of the Board and provides feedback from the Board</w:t>
      </w:r>
    </w:p>
    <w:p>
      <w:pPr>
        <w:ind w:left="620" w:hanging="295"/>
        <w:spacing w:after="0" w:line="230" w:lineRule="auto"/>
        <w:tabs>
          <w:tab w:leader="none" w:pos="620" w:val="left"/>
        </w:tabs>
        <w:numPr>
          <w:ilvl w:val="0"/>
          <w:numId w:val="11"/>
        </w:numPr>
        <w:rPr>
          <w:rFonts w:ascii="MS PGothic" w:cs="MS PGothic" w:eastAsia="MS PGothic" w:hAnsi="MS PGothic"/>
          <w:sz w:val="17"/>
          <w:szCs w:val="17"/>
          <w:color w:val="474C55"/>
        </w:rPr>
      </w:pPr>
      <w:r>
        <w:rPr>
          <w:rFonts w:ascii="Arial" w:cs="Arial" w:eastAsia="Arial" w:hAnsi="Arial"/>
          <w:sz w:val="17"/>
          <w:szCs w:val="17"/>
          <w:color w:val="474C55"/>
        </w:rPr>
        <w:t>Serves as a “sounding board” for the CEO</w:t>
      </w:r>
    </w:p>
    <w:p>
      <w:pPr>
        <w:ind w:left="620" w:hanging="295"/>
        <w:spacing w:after="0" w:line="230" w:lineRule="auto"/>
        <w:tabs>
          <w:tab w:leader="none" w:pos="620" w:val="left"/>
        </w:tabs>
        <w:numPr>
          <w:ilvl w:val="0"/>
          <w:numId w:val="11"/>
        </w:numPr>
        <w:rPr>
          <w:rFonts w:ascii="MS PGothic" w:cs="MS PGothic" w:eastAsia="MS PGothic" w:hAnsi="MS PGothic"/>
          <w:sz w:val="17"/>
          <w:szCs w:val="17"/>
          <w:color w:val="474C55"/>
        </w:rPr>
      </w:pPr>
      <w:r>
        <w:rPr>
          <w:rFonts w:ascii="Arial" w:cs="Arial" w:eastAsia="Arial" w:hAnsi="Arial"/>
          <w:sz w:val="17"/>
          <w:szCs w:val="17"/>
          <w:color w:val="474C55"/>
        </w:rPr>
        <w:t>Develops topics of discussion for executive sessions of the Board</w:t>
      </w:r>
    </w:p>
    <w:p>
      <w:pPr>
        <w:ind w:left="620" w:hanging="295"/>
        <w:spacing w:after="0" w:line="230" w:lineRule="auto"/>
        <w:tabs>
          <w:tab w:leader="none" w:pos="620" w:val="left"/>
        </w:tabs>
        <w:numPr>
          <w:ilvl w:val="0"/>
          <w:numId w:val="11"/>
        </w:numPr>
        <w:rPr>
          <w:rFonts w:ascii="MS PGothic" w:cs="MS PGothic" w:eastAsia="MS PGothic" w:hAnsi="MS PGothic"/>
          <w:sz w:val="17"/>
          <w:szCs w:val="17"/>
          <w:color w:val="474C55"/>
        </w:rPr>
      </w:pPr>
      <w:r>
        <w:rPr>
          <w:rFonts w:ascii="Arial" w:cs="Arial" w:eastAsia="Arial" w:hAnsi="Arial"/>
          <w:sz w:val="17"/>
          <w:szCs w:val="17"/>
          <w:color w:val="474C55"/>
        </w:rPr>
        <w:t>Leads the executive sessions of the Board</w:t>
      </w:r>
    </w:p>
    <w:p>
      <w:pPr>
        <w:ind w:left="620" w:right="180" w:hanging="295"/>
        <w:spacing w:after="0" w:line="230" w:lineRule="auto"/>
        <w:tabs>
          <w:tab w:leader="none" w:pos="620" w:val="left"/>
        </w:tabs>
        <w:numPr>
          <w:ilvl w:val="0"/>
          <w:numId w:val="11"/>
        </w:numPr>
        <w:rPr>
          <w:rFonts w:ascii="MS PGothic" w:cs="MS PGothic" w:eastAsia="MS PGothic" w:hAnsi="MS PGothic"/>
          <w:sz w:val="17"/>
          <w:szCs w:val="17"/>
          <w:color w:val="474C55"/>
        </w:rPr>
      </w:pPr>
      <w:r>
        <w:rPr>
          <w:rFonts w:ascii="Arial" w:cs="Arial" w:eastAsia="Arial" w:hAnsi="Arial"/>
          <w:sz w:val="17"/>
          <w:szCs w:val="17"/>
          <w:color w:val="474C55"/>
        </w:rPr>
        <w:t>Coordinates with the CEO and the Chair of the Nominating and Corporate Governance Committee to develop the agenda, topics, and content for the Board’s annual retreat</w:t>
      </w:r>
    </w:p>
    <w:p>
      <w:pPr>
        <w:ind w:left="620" w:hanging="295"/>
        <w:spacing w:after="0" w:line="230" w:lineRule="auto"/>
        <w:tabs>
          <w:tab w:leader="none" w:pos="620" w:val="left"/>
        </w:tabs>
        <w:numPr>
          <w:ilvl w:val="0"/>
          <w:numId w:val="11"/>
        </w:numPr>
        <w:rPr>
          <w:rFonts w:ascii="MS PGothic" w:cs="MS PGothic" w:eastAsia="MS PGothic" w:hAnsi="MS PGothic"/>
          <w:sz w:val="17"/>
          <w:szCs w:val="17"/>
          <w:color w:val="474C55"/>
        </w:rPr>
      </w:pPr>
      <w:r>
        <w:rPr>
          <w:rFonts w:ascii="Arial" w:cs="Arial" w:eastAsia="Arial" w:hAnsi="Arial"/>
          <w:sz w:val="17"/>
          <w:szCs w:val="17"/>
          <w:color w:val="474C55"/>
        </w:rPr>
        <w:t>Coordinates with the Talent and Compensation Committee on the annual performance evaluation of the CEO</w:t>
      </w:r>
    </w:p>
    <w:p>
      <w:pPr>
        <w:ind w:left="620" w:right="340" w:hanging="295"/>
        <w:spacing w:after="0" w:line="242" w:lineRule="auto"/>
        <w:tabs>
          <w:tab w:leader="none" w:pos="620" w:val="left"/>
        </w:tabs>
        <w:numPr>
          <w:ilvl w:val="0"/>
          <w:numId w:val="11"/>
        </w:numPr>
        <w:rPr>
          <w:rFonts w:ascii="MS PGothic" w:cs="MS PGothic" w:eastAsia="MS PGothic" w:hAnsi="MS PGothic"/>
          <w:sz w:val="17"/>
          <w:szCs w:val="17"/>
          <w:color w:val="474C55"/>
        </w:rPr>
      </w:pPr>
      <w:r>
        <w:rPr>
          <w:rFonts w:ascii="Arial" w:cs="Arial" w:eastAsia="Arial" w:hAnsi="Arial"/>
          <w:sz w:val="17"/>
          <w:szCs w:val="17"/>
          <w:color w:val="474C55"/>
        </w:rPr>
        <w:t>Serves as a contact for shareholders, employees, and other interested parties who wish to communicate with nonemployee directors on the Board</w:t>
      </w:r>
    </w:p>
    <w:p>
      <w:pPr>
        <w:spacing w:after="0" w:line="353"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2" w:name="page23"/>
    <w:bookmarkEnd w:id="22"/>
    <w:p>
      <w:pPr>
        <w:spacing w:after="0"/>
        <w:rPr>
          <w:sz w:val="20"/>
          <w:szCs w:val="20"/>
          <w:color w:val="auto"/>
        </w:rPr>
      </w:pPr>
      <w:r>
        <w:rPr>
          <w:rFonts w:ascii="Arial" w:cs="Arial" w:eastAsia="Arial" w:hAnsi="Arial"/>
          <w:sz w:val="25"/>
          <w:szCs w:val="25"/>
          <w:b w:val="1"/>
          <w:bCs w:val="1"/>
          <w:color w:val="017AB5"/>
        </w:rPr>
        <w:t>Board Evaluation</w:t>
      </w:r>
    </w:p>
    <w:p>
      <w:pPr>
        <w:spacing w:after="0" w:line="198"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444A54"/>
        </w:rPr>
        <w:t>The Board and each Board committee continually evaluate their own effectiveness throughout the year. The Lead Director, the committee chairs, and the CEO/Chairman regularly discuss the Board and Board committee areas of responsibility and processes, as well as general governance principles, to seek ways in which to enhance the Board’s effectiveness and efficiency.</w:t>
      </w:r>
    </w:p>
    <w:p>
      <w:pPr>
        <w:spacing w:after="0" w:line="150" w:lineRule="exact"/>
        <w:rPr>
          <w:sz w:val="20"/>
          <w:szCs w:val="20"/>
          <w:color w:val="auto"/>
        </w:rPr>
      </w:pPr>
    </w:p>
    <w:p>
      <w:pPr>
        <w:ind w:right="420"/>
        <w:spacing w:after="0"/>
        <w:rPr>
          <w:sz w:val="20"/>
          <w:szCs w:val="20"/>
          <w:color w:val="auto"/>
        </w:rPr>
      </w:pPr>
      <w:r>
        <w:rPr>
          <w:rFonts w:ascii="Arial" w:cs="Arial" w:eastAsia="Arial" w:hAnsi="Arial"/>
          <w:sz w:val="17"/>
          <w:szCs w:val="17"/>
          <w:color w:val="444A54"/>
        </w:rPr>
        <w:t>The Board and each committee perform self-evaluations annually using a process approved by the Nominating and Corporate Governance Committee. In addition, directors are asked to provide candid feedback on individual members of the Board to the Chair of the Nominating and Corporate Governance Committee, the Chairman of the Board, or the Lead Director, who then meet to discuss individual director performance and succession considerations.</w:t>
      </w:r>
    </w:p>
    <w:p>
      <w:pPr>
        <w:spacing w:after="0" w:line="156" w:lineRule="exact"/>
        <w:rPr>
          <w:sz w:val="20"/>
          <w:szCs w:val="20"/>
          <w:color w:val="auto"/>
        </w:rPr>
      </w:pPr>
    </w:p>
    <w:p>
      <w:pPr>
        <w:jc w:val="both"/>
        <w:ind w:right="560"/>
        <w:spacing w:after="0" w:line="246" w:lineRule="auto"/>
        <w:rPr>
          <w:sz w:val="20"/>
          <w:szCs w:val="20"/>
          <w:color w:val="auto"/>
        </w:rPr>
      </w:pPr>
      <w:r>
        <w:rPr>
          <w:rFonts w:ascii="Arial" w:cs="Arial" w:eastAsia="Arial" w:hAnsi="Arial"/>
          <w:sz w:val="17"/>
          <w:szCs w:val="17"/>
          <w:color w:val="444A54"/>
        </w:rPr>
        <w:t>The Board retains an outside consultant to facilitate the self-evaluation process. In connection with the self-evaluation process, Board members complete a questionnaire, and each director engages in a one-on-one feedback interview and conversation with the third-party facilitator. Among other topics, the 2024 self-evaluation questionnaire and interviews covered these key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161290</wp:posOffset>
            </wp:positionV>
            <wp:extent cx="3376295" cy="32969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76295" cy="329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20"/>
        <w:spacing w:after="0" w:line="261" w:lineRule="auto"/>
        <w:rPr>
          <w:sz w:val="20"/>
          <w:szCs w:val="20"/>
          <w:color w:val="auto"/>
        </w:rPr>
      </w:pPr>
      <w:r>
        <w:rPr>
          <w:rFonts w:ascii="Arial" w:cs="Arial" w:eastAsia="Arial" w:hAnsi="Arial"/>
          <w:sz w:val="17"/>
          <w:szCs w:val="17"/>
          <w:color w:val="444A54"/>
        </w:rPr>
        <w:t>The Board reviewed and discussed the results of the self-assessment questionnaire and interviews as part of the self-evaluation during a Board session guided by a third-party facilitator.</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Board Continuing Education and Development</w:t>
      </w:r>
    </w:p>
    <w:p>
      <w:pPr>
        <w:spacing w:after="0" w:line="198" w:lineRule="exact"/>
        <w:rPr>
          <w:sz w:val="20"/>
          <w:szCs w:val="20"/>
          <w:color w:val="auto"/>
        </w:rPr>
      </w:pPr>
    </w:p>
    <w:p>
      <w:pPr>
        <w:ind w:right="340"/>
        <w:spacing w:after="0" w:line="237" w:lineRule="auto"/>
        <w:rPr>
          <w:sz w:val="20"/>
          <w:szCs w:val="20"/>
          <w:color w:val="auto"/>
        </w:rPr>
      </w:pPr>
      <w:r>
        <w:rPr>
          <w:rFonts w:ascii="Arial" w:cs="Arial" w:eastAsia="Arial" w:hAnsi="Arial"/>
          <w:sz w:val="17"/>
          <w:szCs w:val="17"/>
          <w:color w:val="444A54"/>
        </w:rPr>
        <w:t>Board development opportunities are provided to directors to support the performance of their responsibilities. These opportunities are designed to allow directors to augment their existing skill sets and remain abreast of emerging risks and trends applicable to the Company’s business and the financial services industry. The Company regularly provides directors with training sessions by management and by third-party specialists on a wide range of topics that assist Board members in carrying out their responsibilities, including compliance, governance, technology, cybersecurity, regulatory oversight, risk management, financial management, and laws governing directors’ duties and conduct. The Company also supports directors in attending third-party educational seminars and conferences.</w:t>
      </w:r>
    </w:p>
    <w:p>
      <w:pPr>
        <w:spacing w:after="0" w:line="156" w:lineRule="exact"/>
        <w:rPr>
          <w:sz w:val="20"/>
          <w:szCs w:val="20"/>
          <w:color w:val="auto"/>
        </w:rPr>
      </w:pPr>
    </w:p>
    <w:p>
      <w:pPr>
        <w:ind w:right="260"/>
        <w:spacing w:after="0" w:line="237" w:lineRule="auto"/>
        <w:rPr>
          <w:sz w:val="20"/>
          <w:szCs w:val="20"/>
          <w:color w:val="auto"/>
        </w:rPr>
      </w:pPr>
      <w:r>
        <w:rPr>
          <w:rFonts w:ascii="Arial" w:cs="Arial" w:eastAsia="Arial" w:hAnsi="Arial"/>
          <w:sz w:val="17"/>
          <w:szCs w:val="17"/>
          <w:color w:val="444A54"/>
        </w:rPr>
        <w:t>In addition, the Board engages in an annual retreat. The Board retreat agenda is developed by the Company in collaboration with the Lead Director and Chair of the Nominating and Corporate Governance Committee and with input from other Board members. The Board retreat typically includes presentations and workshops with both internal resources and outside consultants and speakers. The content is specifically tailored to topics relevant to the Company’s strategic priorities, business plan, and risk management, but also covers industry-wide trends, challenges, and opportunities. The Board retreat also provides directors with insights and perspectives from third-party stakeholders such as shareholders, investors, regulators, vendors, and</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23" w:name="page24"/>
    <w:bookmarkEnd w:id="23"/>
    <w:p>
      <w:pPr>
        <w:ind w:right="560"/>
        <w:spacing w:after="0" w:line="293" w:lineRule="auto"/>
        <w:rPr>
          <w:sz w:val="20"/>
          <w:szCs w:val="20"/>
          <w:color w:val="auto"/>
        </w:rPr>
      </w:pPr>
      <w:r>
        <w:rPr>
          <w:rFonts w:ascii="Arial" w:cs="Arial" w:eastAsia="Arial" w:hAnsi="Arial"/>
          <w:sz w:val="16"/>
          <w:szCs w:val="16"/>
          <w:color w:val="444A54"/>
        </w:rPr>
        <w:t>advisors. Topics covered in recent years include economic outlook, political trends, regulatory changes, investor and analyst viewpoints, banking landscape, customer experience and strategy, M&amp;A, fintech, digital adoption, and analysis of United Community business lines and functions.</w:t>
      </w:r>
    </w:p>
    <w:p>
      <w:pPr>
        <w:spacing w:after="0" w:line="103"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New Director Orientation</w:t>
      </w:r>
    </w:p>
    <w:p>
      <w:pPr>
        <w:spacing w:after="0" w:line="198"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444A54"/>
        </w:rPr>
        <w:t>Newly elected directors engage in a director orientation process designed to familiarize them with the Company’s business and culture, corporate governance framework, and the role and responsibilities of Board members. New Board members meet individually with members of the Company’s executive management team and are provided with information regarding the Company’s businesses, strategic planning process, risk management framework, and culture and values. Our General Counsel facilitates a Board orientation session to review the Company’s Corporate Governance Guidelines, Code of Business Conduct and Ethics, and other policies applicable to Board members. Each new Board member is assigned a longer-serving Board member to guide the Board member through the first year of service and to act as a resource for the new Board member. For the first year, new Board members are invited to attend all Board committee meetings to gain an understanding of the operation and duties of each committee.</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CEO and Key Management Succession Planning</w:t>
      </w:r>
    </w:p>
    <w:p>
      <w:pPr>
        <w:spacing w:after="0" w:line="198" w:lineRule="exact"/>
        <w:rPr>
          <w:sz w:val="20"/>
          <w:szCs w:val="20"/>
          <w:color w:val="auto"/>
        </w:rPr>
      </w:pPr>
    </w:p>
    <w:p>
      <w:pPr>
        <w:ind w:right="440"/>
        <w:spacing w:after="0" w:line="238" w:lineRule="auto"/>
        <w:rPr>
          <w:sz w:val="20"/>
          <w:szCs w:val="20"/>
          <w:color w:val="auto"/>
        </w:rPr>
      </w:pPr>
      <w:r>
        <w:rPr>
          <w:rFonts w:ascii="Arial" w:cs="Arial" w:eastAsia="Arial" w:hAnsi="Arial"/>
          <w:sz w:val="17"/>
          <w:szCs w:val="17"/>
          <w:color w:val="444A54"/>
        </w:rPr>
        <w:t>Our Board oversees our long-term management development and succession. Management maintains procedures to be implemented upon the sudden departure of our Chief Executive Officer or other key members of our executive team. The management development and succession program focuses on key positions and succession elements, including identification of potential successors for positions when it is determined that internal succession is appropriate, assessment of each potential successor’s level of readiness, and preparation of individual growth and development plans. The succession plans are reviewed by the Board at least annually.</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00"/>
          </w:cols>
          <w:pgMar w:left="320" w:top="811" w:right="379" w:bottom="1440" w:gutter="0" w:footer="0" w:header="0"/>
        </w:sectPr>
      </w:pPr>
    </w:p>
    <w:bookmarkStart w:id="24" w:name="page25"/>
    <w:bookmarkEnd w:id="24"/>
    <w:p>
      <w:pPr>
        <w:spacing w:after="0"/>
        <w:rPr>
          <w:sz w:val="20"/>
          <w:szCs w:val="20"/>
          <w:color w:val="auto"/>
        </w:rPr>
      </w:pPr>
      <w:r>
        <w:rPr>
          <w:rFonts w:ascii="Arial" w:cs="Arial" w:eastAsia="Arial" w:hAnsi="Arial"/>
          <w:sz w:val="25"/>
          <w:szCs w:val="25"/>
          <w:b w:val="1"/>
          <w:bCs w:val="1"/>
          <w:color w:val="017AB5"/>
        </w:rPr>
        <w:t>Board Committees</w:t>
      </w:r>
    </w:p>
    <w:p>
      <w:pPr>
        <w:spacing w:after="0" w:line="198" w:lineRule="exact"/>
        <w:rPr>
          <w:sz w:val="20"/>
          <w:szCs w:val="20"/>
          <w:color w:val="auto"/>
        </w:rPr>
      </w:pPr>
    </w:p>
    <w:p>
      <w:pPr>
        <w:jc w:val="both"/>
        <w:ind w:right="320"/>
        <w:spacing w:after="0" w:line="246" w:lineRule="auto"/>
        <w:rPr>
          <w:sz w:val="20"/>
          <w:szCs w:val="20"/>
          <w:color w:val="auto"/>
        </w:rPr>
      </w:pPr>
      <w:r>
        <w:rPr>
          <w:rFonts w:ascii="Arial" w:cs="Arial" w:eastAsia="Arial" w:hAnsi="Arial"/>
          <w:sz w:val="17"/>
          <w:szCs w:val="17"/>
          <w:color w:val="444A54"/>
        </w:rPr>
        <w:t>Our Board established five standing committees: Audit, Executive, Nominating and Corporate Governance, Risk, and Talent and Compensation. Our Board committees act on behalf of the Board and report their activities to the Board at regular Board meetings. The Board appoints the members of each committee based on the recommendations of the Nominating and Corporate Governance Committee.</w:t>
      </w:r>
    </w:p>
    <w:p>
      <w:pPr>
        <w:spacing w:after="0" w:line="150" w:lineRule="exact"/>
        <w:rPr>
          <w:sz w:val="20"/>
          <w:szCs w:val="20"/>
          <w:color w:val="auto"/>
        </w:rPr>
      </w:pPr>
    </w:p>
    <w:p>
      <w:pPr>
        <w:ind w:right="580"/>
        <w:spacing w:after="0" w:line="268" w:lineRule="auto"/>
        <w:rPr>
          <w:sz w:val="20"/>
          <w:szCs w:val="20"/>
          <w:color w:val="auto"/>
        </w:rPr>
      </w:pPr>
      <w:r>
        <w:rPr>
          <w:rFonts w:ascii="Arial" w:cs="Arial" w:eastAsia="Arial" w:hAnsi="Arial"/>
          <w:sz w:val="16"/>
          <w:szCs w:val="16"/>
          <w:color w:val="444A54"/>
        </w:rPr>
        <w:t>At least annually, the Board and the Nominating and Corporate Governance Committee review the committee member assignments and chair positions and consider committee changes, refreshment, and chair rotations. The Board and Nominating and Corporate Governance Committee also regularly review the director qualifications and experience matrix to assist them in evaluating the experience of directors on each committee.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444A54"/>
        </w:rPr>
        <w:t>The following table identifies the current members and chairs of each of our standing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6069965</wp:posOffset>
            </wp:positionH>
            <wp:positionV relativeFrom="paragraph">
              <wp:posOffset>116840</wp:posOffset>
            </wp:positionV>
            <wp:extent cx="8255" cy="5562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55626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116840</wp:posOffset>
            </wp:positionV>
            <wp:extent cx="8255" cy="5562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55626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116840</wp:posOffset>
            </wp:positionV>
            <wp:extent cx="8255" cy="5562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55626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116840</wp:posOffset>
            </wp:positionV>
            <wp:extent cx="8255" cy="5562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55626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116840</wp:posOffset>
            </wp:positionV>
            <wp:extent cx="8255" cy="5562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55626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40" w:type="dxa"/>
            <w:vAlign w:val="bottom"/>
            <w:tcBorders>
              <w:right w:val="single" w:sz="8" w:color="007DB6"/>
            </w:tcBorders>
            <w:shd w:val="clear" w:color="auto" w:fill="007DB6"/>
          </w:tcPr>
          <w:p>
            <w:pPr>
              <w:spacing w:after="0"/>
              <w:rPr>
                <w:sz w:val="20"/>
                <w:szCs w:val="20"/>
                <w:color w:val="auto"/>
              </w:rPr>
            </w:pPr>
          </w:p>
        </w:tc>
        <w:tc>
          <w:tcPr>
            <w:tcW w:w="1680" w:type="dxa"/>
            <w:vAlign w:val="bottom"/>
            <w:tcBorders>
              <w:right w:val="single" w:sz="8" w:color="007DB6"/>
            </w:tcBorders>
            <w:shd w:val="clear" w:color="auto" w:fill="007DB6"/>
          </w:tcPr>
          <w:p>
            <w:pPr>
              <w:spacing w:after="0"/>
              <w:rPr>
                <w:sz w:val="20"/>
                <w:szCs w:val="20"/>
                <w:color w:val="auto"/>
              </w:rPr>
            </w:pPr>
          </w:p>
        </w:tc>
        <w:tc>
          <w:tcPr>
            <w:tcW w:w="1700" w:type="dxa"/>
            <w:vAlign w:val="bottom"/>
            <w:tcBorders>
              <w:right w:val="single" w:sz="8" w:color="007DB6"/>
            </w:tcBorders>
            <w:shd w:val="clear" w:color="auto" w:fill="007DB6"/>
          </w:tcPr>
          <w:p>
            <w:pPr>
              <w:spacing w:after="0"/>
              <w:rPr>
                <w:sz w:val="20"/>
                <w:szCs w:val="20"/>
                <w:color w:val="auto"/>
              </w:rPr>
            </w:pPr>
          </w:p>
        </w:tc>
        <w:tc>
          <w:tcPr>
            <w:tcW w:w="1680" w:type="dxa"/>
            <w:vAlign w:val="bottom"/>
            <w:tcBorders>
              <w:right w:val="single" w:sz="8" w:color="007DB6"/>
            </w:tcBorders>
            <w:shd w:val="clear" w:color="auto" w:fill="007DB6"/>
          </w:tcPr>
          <w:p>
            <w:pPr>
              <w:jc w:val="center"/>
              <w:spacing w:after="0"/>
              <w:rPr>
                <w:sz w:val="20"/>
                <w:szCs w:val="20"/>
                <w:color w:val="auto"/>
              </w:rPr>
            </w:pPr>
            <w:r>
              <w:rPr>
                <w:rFonts w:ascii="Arial" w:cs="Arial" w:eastAsia="Arial" w:hAnsi="Arial"/>
                <w:sz w:val="17"/>
                <w:szCs w:val="17"/>
                <w:color w:val="FFFFFF"/>
                <w:w w:val="97"/>
              </w:rPr>
              <w:t>Nominating</w:t>
            </w:r>
          </w:p>
        </w:tc>
        <w:tc>
          <w:tcPr>
            <w:tcW w:w="1680" w:type="dxa"/>
            <w:vAlign w:val="bottom"/>
            <w:tcBorders>
              <w:right w:val="single" w:sz="8" w:color="007DB6"/>
            </w:tcBorders>
            <w:shd w:val="clear" w:color="auto" w:fill="007DB6"/>
          </w:tcPr>
          <w:p>
            <w:pPr>
              <w:spacing w:after="0"/>
              <w:rPr>
                <w:sz w:val="20"/>
                <w:szCs w:val="20"/>
                <w:color w:val="auto"/>
              </w:rPr>
            </w:pPr>
          </w:p>
        </w:tc>
        <w:tc>
          <w:tcPr>
            <w:tcW w:w="1660" w:type="dxa"/>
            <w:vAlign w:val="bottom"/>
            <w:vMerge w:val="restart"/>
            <w:shd w:val="clear" w:color="auto" w:fill="007DB6"/>
          </w:tcPr>
          <w:p>
            <w:pPr>
              <w:jc w:val="center"/>
              <w:spacing w:after="0"/>
              <w:rPr>
                <w:sz w:val="20"/>
                <w:szCs w:val="20"/>
                <w:color w:val="auto"/>
              </w:rPr>
            </w:pPr>
            <w:r>
              <w:rPr>
                <w:rFonts w:ascii="Arial" w:cs="Arial" w:eastAsia="Arial" w:hAnsi="Arial"/>
                <w:sz w:val="17"/>
                <w:szCs w:val="17"/>
                <w:color w:val="FFFFFF"/>
                <w:w w:val="94"/>
              </w:rPr>
              <w:t>Talent and</w:t>
            </w:r>
          </w:p>
        </w:tc>
        <w:tc>
          <w:tcPr>
            <w:tcW w:w="0" w:type="dxa"/>
            <w:vAlign w:val="bottom"/>
          </w:tcPr>
          <w:p>
            <w:pPr>
              <w:spacing w:after="0"/>
              <w:rPr>
                <w:sz w:val="1"/>
                <w:szCs w:val="1"/>
                <w:color w:val="auto"/>
              </w:rPr>
            </w:pPr>
          </w:p>
        </w:tc>
      </w:tr>
      <w:tr>
        <w:trPr>
          <w:trHeight w:val="88"/>
        </w:trPr>
        <w:tc>
          <w:tcPr>
            <w:tcW w:w="2840" w:type="dxa"/>
            <w:vAlign w:val="bottom"/>
            <w:tcBorders>
              <w:right w:val="single" w:sz="8" w:color="007DB6"/>
            </w:tcBorders>
            <w:shd w:val="clear" w:color="auto" w:fill="007DB6"/>
          </w:tcPr>
          <w:p>
            <w:pPr>
              <w:spacing w:after="0"/>
              <w:rPr>
                <w:sz w:val="7"/>
                <w:szCs w:val="7"/>
                <w:color w:val="auto"/>
              </w:rPr>
            </w:pPr>
          </w:p>
        </w:tc>
        <w:tc>
          <w:tcPr>
            <w:tcW w:w="1680" w:type="dxa"/>
            <w:vAlign w:val="bottom"/>
            <w:tcBorders>
              <w:right w:val="single" w:sz="8" w:color="007DB6"/>
            </w:tcBorders>
            <w:shd w:val="clear" w:color="auto" w:fill="007DB6"/>
          </w:tcPr>
          <w:p>
            <w:pPr>
              <w:spacing w:after="0"/>
              <w:rPr>
                <w:sz w:val="7"/>
                <w:szCs w:val="7"/>
                <w:color w:val="auto"/>
              </w:rPr>
            </w:pPr>
          </w:p>
        </w:tc>
        <w:tc>
          <w:tcPr>
            <w:tcW w:w="1700" w:type="dxa"/>
            <w:vAlign w:val="bottom"/>
            <w:tcBorders>
              <w:right w:val="single" w:sz="8" w:color="007DB6"/>
            </w:tcBorders>
            <w:vMerge w:val="restart"/>
            <w:shd w:val="clear" w:color="auto" w:fill="007DB6"/>
          </w:tcPr>
          <w:p>
            <w:pPr>
              <w:ind w:left="500"/>
              <w:spacing w:after="0" w:line="188" w:lineRule="exact"/>
              <w:rPr>
                <w:sz w:val="20"/>
                <w:szCs w:val="20"/>
                <w:color w:val="auto"/>
              </w:rPr>
            </w:pPr>
            <w:r>
              <w:rPr>
                <w:rFonts w:ascii="Arial" w:cs="Arial" w:eastAsia="Arial" w:hAnsi="Arial"/>
                <w:sz w:val="17"/>
                <w:szCs w:val="17"/>
                <w:color w:val="FFFFFF"/>
              </w:rPr>
              <w:t>Executive</w:t>
            </w:r>
          </w:p>
        </w:tc>
        <w:tc>
          <w:tcPr>
            <w:tcW w:w="1680" w:type="dxa"/>
            <w:vAlign w:val="bottom"/>
            <w:tcBorders>
              <w:right w:val="single" w:sz="8" w:color="007DB6"/>
            </w:tcBorders>
            <w:vMerge w:val="restart"/>
            <w:shd w:val="clear" w:color="auto" w:fill="007DB6"/>
          </w:tcPr>
          <w:p>
            <w:pPr>
              <w:jc w:val="center"/>
              <w:spacing w:after="0" w:line="188" w:lineRule="exact"/>
              <w:rPr>
                <w:sz w:val="20"/>
                <w:szCs w:val="20"/>
                <w:color w:val="auto"/>
              </w:rPr>
            </w:pPr>
            <w:r>
              <w:rPr>
                <w:rFonts w:ascii="Arial" w:cs="Arial" w:eastAsia="Arial" w:hAnsi="Arial"/>
                <w:sz w:val="17"/>
                <w:szCs w:val="17"/>
                <w:color w:val="FFFFFF"/>
                <w:w w:val="97"/>
              </w:rPr>
              <w:t>and Corporate</w:t>
            </w:r>
          </w:p>
        </w:tc>
        <w:tc>
          <w:tcPr>
            <w:tcW w:w="1680" w:type="dxa"/>
            <w:vAlign w:val="bottom"/>
            <w:tcBorders>
              <w:right w:val="single" w:sz="8" w:color="007DB6"/>
            </w:tcBorders>
            <w:shd w:val="clear" w:color="auto" w:fill="007DB6"/>
          </w:tcPr>
          <w:p>
            <w:pPr>
              <w:spacing w:after="0"/>
              <w:rPr>
                <w:sz w:val="7"/>
                <w:szCs w:val="7"/>
                <w:color w:val="auto"/>
              </w:rPr>
            </w:pPr>
          </w:p>
        </w:tc>
        <w:tc>
          <w:tcPr>
            <w:tcW w:w="1660" w:type="dxa"/>
            <w:vAlign w:val="bottom"/>
            <w:vMerge w:val="continue"/>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840" w:type="dxa"/>
            <w:vAlign w:val="bottom"/>
            <w:tcBorders>
              <w:right w:val="single" w:sz="8" w:color="007DB6"/>
            </w:tcBorders>
            <w:shd w:val="clear" w:color="auto" w:fill="007DB6"/>
          </w:tcPr>
          <w:p>
            <w:pPr>
              <w:spacing w:after="0"/>
              <w:rPr>
                <w:sz w:val="8"/>
                <w:szCs w:val="8"/>
                <w:color w:val="auto"/>
              </w:rPr>
            </w:pPr>
          </w:p>
        </w:tc>
        <w:tc>
          <w:tcPr>
            <w:tcW w:w="1680" w:type="dxa"/>
            <w:vAlign w:val="bottom"/>
            <w:tcBorders>
              <w:right w:val="single" w:sz="8" w:color="007DB6"/>
            </w:tcBorders>
            <w:vMerge w:val="restart"/>
            <w:shd w:val="clear" w:color="auto" w:fill="007DB6"/>
          </w:tcPr>
          <w:p>
            <w:pPr>
              <w:jc w:val="center"/>
              <w:spacing w:after="0" w:line="188" w:lineRule="exact"/>
              <w:rPr>
                <w:sz w:val="20"/>
                <w:szCs w:val="20"/>
                <w:color w:val="auto"/>
              </w:rPr>
            </w:pPr>
            <w:r>
              <w:rPr>
                <w:rFonts w:ascii="Arial" w:cs="Arial" w:eastAsia="Arial" w:hAnsi="Arial"/>
                <w:sz w:val="17"/>
                <w:szCs w:val="17"/>
                <w:color w:val="FFFFFF"/>
                <w:w w:val="98"/>
              </w:rPr>
              <w:t>Audit Committee</w:t>
            </w:r>
          </w:p>
        </w:tc>
        <w:tc>
          <w:tcPr>
            <w:tcW w:w="1700" w:type="dxa"/>
            <w:vAlign w:val="bottom"/>
            <w:tcBorders>
              <w:right w:val="single" w:sz="8" w:color="007DB6"/>
            </w:tcBorders>
            <w:vMerge w:val="continue"/>
            <w:shd w:val="clear" w:color="auto" w:fill="007DB6"/>
          </w:tcPr>
          <w:p>
            <w:pPr>
              <w:spacing w:after="0"/>
              <w:rPr>
                <w:sz w:val="8"/>
                <w:szCs w:val="8"/>
                <w:color w:val="auto"/>
              </w:rPr>
            </w:pPr>
          </w:p>
        </w:tc>
        <w:tc>
          <w:tcPr>
            <w:tcW w:w="1680" w:type="dxa"/>
            <w:vAlign w:val="bottom"/>
            <w:tcBorders>
              <w:right w:val="single" w:sz="8" w:color="007DB6"/>
            </w:tcBorders>
            <w:vMerge w:val="continue"/>
            <w:shd w:val="clear" w:color="auto" w:fill="007DB6"/>
          </w:tcPr>
          <w:p>
            <w:pPr>
              <w:spacing w:after="0"/>
              <w:rPr>
                <w:sz w:val="8"/>
                <w:szCs w:val="8"/>
                <w:color w:val="auto"/>
              </w:rPr>
            </w:pPr>
          </w:p>
        </w:tc>
        <w:tc>
          <w:tcPr>
            <w:tcW w:w="1680" w:type="dxa"/>
            <w:vAlign w:val="bottom"/>
            <w:tcBorders>
              <w:right w:val="single" w:sz="8" w:color="007DB6"/>
            </w:tcBorders>
            <w:vMerge w:val="restart"/>
            <w:shd w:val="clear" w:color="auto" w:fill="007DB6"/>
          </w:tcPr>
          <w:p>
            <w:pPr>
              <w:jc w:val="center"/>
              <w:spacing w:after="0" w:line="188" w:lineRule="exact"/>
              <w:rPr>
                <w:sz w:val="20"/>
                <w:szCs w:val="20"/>
                <w:color w:val="auto"/>
              </w:rPr>
            </w:pPr>
            <w:r>
              <w:rPr>
                <w:rFonts w:ascii="Arial" w:cs="Arial" w:eastAsia="Arial" w:hAnsi="Arial"/>
                <w:sz w:val="17"/>
                <w:szCs w:val="17"/>
                <w:color w:val="FFFFFF"/>
                <w:w w:val="98"/>
              </w:rPr>
              <w:t>Risk Committee</w:t>
            </w:r>
          </w:p>
        </w:tc>
        <w:tc>
          <w:tcPr>
            <w:tcW w:w="1660" w:type="dxa"/>
            <w:vAlign w:val="bottom"/>
            <w:vMerge w:val="restart"/>
            <w:shd w:val="clear" w:color="auto" w:fill="007DB6"/>
          </w:tcPr>
          <w:p>
            <w:pPr>
              <w:jc w:val="center"/>
              <w:spacing w:after="0" w:line="188" w:lineRule="exact"/>
              <w:rPr>
                <w:sz w:val="20"/>
                <w:szCs w:val="20"/>
                <w:color w:val="auto"/>
              </w:rPr>
            </w:pPr>
            <w:r>
              <w:rPr>
                <w:rFonts w:ascii="Arial" w:cs="Arial" w:eastAsia="Arial" w:hAnsi="Arial"/>
                <w:sz w:val="17"/>
                <w:szCs w:val="17"/>
                <w:color w:val="FFFFFF"/>
                <w:w w:val="98"/>
              </w:rPr>
              <w:t>Compensation</w:t>
            </w:r>
          </w:p>
        </w:tc>
        <w:tc>
          <w:tcPr>
            <w:tcW w:w="0" w:type="dxa"/>
            <w:vAlign w:val="bottom"/>
          </w:tcPr>
          <w:p>
            <w:pPr>
              <w:spacing w:after="0"/>
              <w:rPr>
                <w:sz w:val="1"/>
                <w:szCs w:val="1"/>
                <w:color w:val="auto"/>
              </w:rPr>
            </w:pPr>
          </w:p>
        </w:tc>
      </w:tr>
      <w:tr>
        <w:trPr>
          <w:trHeight w:val="88"/>
        </w:trPr>
        <w:tc>
          <w:tcPr>
            <w:tcW w:w="2840" w:type="dxa"/>
            <w:vAlign w:val="bottom"/>
            <w:tcBorders>
              <w:right w:val="single" w:sz="8" w:color="007DB6"/>
            </w:tcBorders>
            <w:shd w:val="clear" w:color="auto" w:fill="007DB6"/>
          </w:tcPr>
          <w:p>
            <w:pPr>
              <w:spacing w:after="0"/>
              <w:rPr>
                <w:sz w:val="7"/>
                <w:szCs w:val="7"/>
                <w:color w:val="auto"/>
              </w:rPr>
            </w:pPr>
          </w:p>
        </w:tc>
        <w:tc>
          <w:tcPr>
            <w:tcW w:w="1680" w:type="dxa"/>
            <w:vAlign w:val="bottom"/>
            <w:tcBorders>
              <w:right w:val="single" w:sz="8" w:color="007DB6"/>
            </w:tcBorders>
            <w:vMerge w:val="continue"/>
            <w:shd w:val="clear" w:color="auto" w:fill="007DB6"/>
          </w:tcPr>
          <w:p>
            <w:pPr>
              <w:spacing w:after="0"/>
              <w:rPr>
                <w:sz w:val="7"/>
                <w:szCs w:val="7"/>
                <w:color w:val="auto"/>
              </w:rPr>
            </w:pPr>
          </w:p>
        </w:tc>
        <w:tc>
          <w:tcPr>
            <w:tcW w:w="1700" w:type="dxa"/>
            <w:vAlign w:val="bottom"/>
            <w:tcBorders>
              <w:right w:val="single" w:sz="8" w:color="007DB6"/>
            </w:tcBorders>
            <w:vMerge w:val="restart"/>
            <w:shd w:val="clear" w:color="auto" w:fill="007DB6"/>
          </w:tcPr>
          <w:p>
            <w:pPr>
              <w:jc w:val="center"/>
              <w:spacing w:after="0" w:line="188" w:lineRule="exact"/>
              <w:rPr>
                <w:sz w:val="20"/>
                <w:szCs w:val="20"/>
                <w:color w:val="auto"/>
              </w:rPr>
            </w:pPr>
            <w:r>
              <w:rPr>
                <w:rFonts w:ascii="Arial" w:cs="Arial" w:eastAsia="Arial" w:hAnsi="Arial"/>
                <w:sz w:val="17"/>
                <w:szCs w:val="17"/>
                <w:color w:val="FFFFFF"/>
                <w:w w:val="97"/>
              </w:rPr>
              <w:t>Committee</w:t>
            </w:r>
          </w:p>
        </w:tc>
        <w:tc>
          <w:tcPr>
            <w:tcW w:w="1680" w:type="dxa"/>
            <w:vAlign w:val="bottom"/>
            <w:tcBorders>
              <w:right w:val="single" w:sz="8" w:color="007DB6"/>
            </w:tcBorders>
            <w:vMerge w:val="restart"/>
            <w:shd w:val="clear" w:color="auto" w:fill="007DB6"/>
          </w:tcPr>
          <w:p>
            <w:pPr>
              <w:jc w:val="center"/>
              <w:spacing w:after="0" w:line="188" w:lineRule="exact"/>
              <w:rPr>
                <w:sz w:val="20"/>
                <w:szCs w:val="20"/>
                <w:color w:val="auto"/>
              </w:rPr>
            </w:pPr>
            <w:r>
              <w:rPr>
                <w:rFonts w:ascii="Arial" w:cs="Arial" w:eastAsia="Arial" w:hAnsi="Arial"/>
                <w:sz w:val="17"/>
                <w:szCs w:val="17"/>
                <w:color w:val="FFFFFF"/>
                <w:w w:val="97"/>
              </w:rPr>
              <w:t>Governance</w:t>
            </w:r>
          </w:p>
        </w:tc>
        <w:tc>
          <w:tcPr>
            <w:tcW w:w="1680" w:type="dxa"/>
            <w:vAlign w:val="bottom"/>
            <w:tcBorders>
              <w:right w:val="single" w:sz="8" w:color="007DB6"/>
            </w:tcBorders>
            <w:vMerge w:val="continue"/>
            <w:shd w:val="clear" w:color="auto" w:fill="007DB6"/>
          </w:tcPr>
          <w:p>
            <w:pPr>
              <w:spacing w:after="0"/>
              <w:rPr>
                <w:sz w:val="7"/>
                <w:szCs w:val="7"/>
                <w:color w:val="auto"/>
              </w:rPr>
            </w:pPr>
          </w:p>
        </w:tc>
        <w:tc>
          <w:tcPr>
            <w:tcW w:w="1660" w:type="dxa"/>
            <w:vAlign w:val="bottom"/>
            <w:vMerge w:val="continue"/>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840" w:type="dxa"/>
            <w:vAlign w:val="bottom"/>
            <w:tcBorders>
              <w:right w:val="single" w:sz="8" w:color="007DB6"/>
            </w:tcBorders>
            <w:shd w:val="clear" w:color="auto" w:fill="007DB6"/>
          </w:tcPr>
          <w:p>
            <w:pPr>
              <w:spacing w:after="0"/>
              <w:rPr>
                <w:sz w:val="8"/>
                <w:szCs w:val="8"/>
                <w:color w:val="auto"/>
              </w:rPr>
            </w:pPr>
          </w:p>
        </w:tc>
        <w:tc>
          <w:tcPr>
            <w:tcW w:w="1680" w:type="dxa"/>
            <w:vAlign w:val="bottom"/>
            <w:tcBorders>
              <w:right w:val="single" w:sz="8" w:color="007DB6"/>
            </w:tcBorders>
            <w:shd w:val="clear" w:color="auto" w:fill="007DB6"/>
          </w:tcPr>
          <w:p>
            <w:pPr>
              <w:spacing w:after="0"/>
              <w:rPr>
                <w:sz w:val="8"/>
                <w:szCs w:val="8"/>
                <w:color w:val="auto"/>
              </w:rPr>
            </w:pPr>
          </w:p>
        </w:tc>
        <w:tc>
          <w:tcPr>
            <w:tcW w:w="1700" w:type="dxa"/>
            <w:vAlign w:val="bottom"/>
            <w:tcBorders>
              <w:right w:val="single" w:sz="8" w:color="007DB6"/>
            </w:tcBorders>
            <w:vMerge w:val="continue"/>
            <w:shd w:val="clear" w:color="auto" w:fill="007DB6"/>
          </w:tcPr>
          <w:p>
            <w:pPr>
              <w:spacing w:after="0"/>
              <w:rPr>
                <w:sz w:val="8"/>
                <w:szCs w:val="8"/>
                <w:color w:val="auto"/>
              </w:rPr>
            </w:pPr>
          </w:p>
        </w:tc>
        <w:tc>
          <w:tcPr>
            <w:tcW w:w="1680" w:type="dxa"/>
            <w:vAlign w:val="bottom"/>
            <w:tcBorders>
              <w:right w:val="single" w:sz="8" w:color="007DB6"/>
            </w:tcBorders>
            <w:vMerge w:val="continue"/>
            <w:shd w:val="clear" w:color="auto" w:fill="007DB6"/>
          </w:tcPr>
          <w:p>
            <w:pPr>
              <w:spacing w:after="0"/>
              <w:rPr>
                <w:sz w:val="8"/>
                <w:szCs w:val="8"/>
                <w:color w:val="auto"/>
              </w:rPr>
            </w:pPr>
          </w:p>
        </w:tc>
        <w:tc>
          <w:tcPr>
            <w:tcW w:w="1680" w:type="dxa"/>
            <w:vAlign w:val="bottom"/>
            <w:tcBorders>
              <w:right w:val="single" w:sz="8" w:color="007DB6"/>
            </w:tcBorders>
            <w:shd w:val="clear" w:color="auto" w:fill="007DB6"/>
          </w:tcPr>
          <w:p>
            <w:pPr>
              <w:spacing w:after="0"/>
              <w:rPr>
                <w:sz w:val="8"/>
                <w:szCs w:val="8"/>
                <w:color w:val="auto"/>
              </w:rPr>
            </w:pPr>
          </w:p>
        </w:tc>
        <w:tc>
          <w:tcPr>
            <w:tcW w:w="1660" w:type="dxa"/>
            <w:vAlign w:val="bottom"/>
            <w:vMerge w:val="restart"/>
            <w:shd w:val="clear" w:color="auto" w:fill="007DB6"/>
          </w:tcPr>
          <w:p>
            <w:pPr>
              <w:jc w:val="center"/>
              <w:spacing w:after="0"/>
              <w:rPr>
                <w:sz w:val="20"/>
                <w:szCs w:val="20"/>
                <w:color w:val="auto"/>
              </w:rPr>
            </w:pPr>
            <w:r>
              <w:rPr>
                <w:rFonts w:ascii="Arial" w:cs="Arial" w:eastAsia="Arial" w:hAnsi="Arial"/>
                <w:sz w:val="17"/>
                <w:szCs w:val="17"/>
                <w:color w:val="FFFFFF"/>
                <w:w w:val="97"/>
              </w:rPr>
              <w:t>Committee</w:t>
            </w:r>
          </w:p>
        </w:tc>
        <w:tc>
          <w:tcPr>
            <w:tcW w:w="0" w:type="dxa"/>
            <w:vAlign w:val="bottom"/>
          </w:tcPr>
          <w:p>
            <w:pPr>
              <w:spacing w:after="0"/>
              <w:rPr>
                <w:sz w:val="1"/>
                <w:szCs w:val="1"/>
                <w:color w:val="auto"/>
              </w:rPr>
            </w:pPr>
          </w:p>
        </w:tc>
      </w:tr>
      <w:tr>
        <w:trPr>
          <w:trHeight w:val="121"/>
        </w:trPr>
        <w:tc>
          <w:tcPr>
            <w:tcW w:w="2840" w:type="dxa"/>
            <w:vAlign w:val="bottom"/>
            <w:tcBorders>
              <w:right w:val="single" w:sz="8" w:color="007DB6"/>
            </w:tcBorders>
            <w:shd w:val="clear" w:color="auto" w:fill="007DB6"/>
          </w:tcPr>
          <w:p>
            <w:pPr>
              <w:spacing w:after="0"/>
              <w:rPr>
                <w:sz w:val="10"/>
                <w:szCs w:val="10"/>
                <w:color w:val="auto"/>
              </w:rPr>
            </w:pPr>
          </w:p>
        </w:tc>
        <w:tc>
          <w:tcPr>
            <w:tcW w:w="1680" w:type="dxa"/>
            <w:vAlign w:val="bottom"/>
            <w:tcBorders>
              <w:right w:val="single" w:sz="8" w:color="007DB6"/>
            </w:tcBorders>
            <w:shd w:val="clear" w:color="auto" w:fill="007DB6"/>
          </w:tcPr>
          <w:p>
            <w:pPr>
              <w:spacing w:after="0"/>
              <w:rPr>
                <w:sz w:val="10"/>
                <w:szCs w:val="10"/>
                <w:color w:val="auto"/>
              </w:rPr>
            </w:pPr>
          </w:p>
        </w:tc>
        <w:tc>
          <w:tcPr>
            <w:tcW w:w="1700" w:type="dxa"/>
            <w:vAlign w:val="bottom"/>
            <w:tcBorders>
              <w:right w:val="single" w:sz="8" w:color="007DB6"/>
            </w:tcBorders>
            <w:shd w:val="clear" w:color="auto" w:fill="007DB6"/>
          </w:tcPr>
          <w:p>
            <w:pPr>
              <w:spacing w:after="0"/>
              <w:rPr>
                <w:sz w:val="10"/>
                <w:szCs w:val="10"/>
                <w:color w:val="auto"/>
              </w:rPr>
            </w:pPr>
          </w:p>
        </w:tc>
        <w:tc>
          <w:tcPr>
            <w:tcW w:w="1680" w:type="dxa"/>
            <w:vAlign w:val="bottom"/>
            <w:tcBorders>
              <w:right w:val="single" w:sz="8" w:color="007DB6"/>
            </w:tcBorders>
            <w:vMerge w:val="restart"/>
            <w:shd w:val="clear" w:color="auto" w:fill="007DB6"/>
          </w:tcPr>
          <w:p>
            <w:pPr>
              <w:jc w:val="center"/>
              <w:spacing w:after="0"/>
              <w:rPr>
                <w:sz w:val="20"/>
                <w:szCs w:val="20"/>
                <w:color w:val="auto"/>
              </w:rPr>
            </w:pPr>
            <w:r>
              <w:rPr>
                <w:rFonts w:ascii="Arial" w:cs="Arial" w:eastAsia="Arial" w:hAnsi="Arial"/>
                <w:sz w:val="17"/>
                <w:szCs w:val="17"/>
                <w:color w:val="FFFFFF"/>
                <w:w w:val="97"/>
              </w:rPr>
              <w:t>Committee</w:t>
            </w:r>
          </w:p>
        </w:tc>
        <w:tc>
          <w:tcPr>
            <w:tcW w:w="1680" w:type="dxa"/>
            <w:vAlign w:val="bottom"/>
            <w:tcBorders>
              <w:right w:val="single" w:sz="8" w:color="007DB6"/>
            </w:tcBorders>
            <w:shd w:val="clear" w:color="auto" w:fill="007DB6"/>
          </w:tcPr>
          <w:p>
            <w:pPr>
              <w:spacing w:after="0"/>
              <w:rPr>
                <w:sz w:val="10"/>
                <w:szCs w:val="10"/>
                <w:color w:val="auto"/>
              </w:rPr>
            </w:pPr>
          </w:p>
        </w:tc>
        <w:tc>
          <w:tcPr>
            <w:tcW w:w="1660" w:type="dxa"/>
            <w:vAlign w:val="bottom"/>
            <w:vMerge w:val="continue"/>
            <w:shd w:val="clear" w:color="auto" w:fill="007DB6"/>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40" w:type="dxa"/>
            <w:vAlign w:val="bottom"/>
            <w:tcBorders>
              <w:bottom w:val="single" w:sz="8" w:color="007DB6"/>
              <w:right w:val="single" w:sz="8" w:color="007DB6"/>
            </w:tcBorders>
            <w:shd w:val="clear" w:color="auto" w:fill="007DB6"/>
          </w:tcPr>
          <w:p>
            <w:pPr>
              <w:spacing w:after="0"/>
              <w:rPr>
                <w:sz w:val="10"/>
                <w:szCs w:val="10"/>
                <w:color w:val="auto"/>
              </w:rPr>
            </w:pPr>
          </w:p>
        </w:tc>
        <w:tc>
          <w:tcPr>
            <w:tcW w:w="1680" w:type="dxa"/>
            <w:vAlign w:val="bottom"/>
            <w:tcBorders>
              <w:bottom w:val="single" w:sz="8" w:color="007DB6"/>
              <w:right w:val="single" w:sz="8" w:color="007DB6"/>
            </w:tcBorders>
            <w:shd w:val="clear" w:color="auto" w:fill="007DB6"/>
          </w:tcPr>
          <w:p>
            <w:pPr>
              <w:spacing w:after="0"/>
              <w:rPr>
                <w:sz w:val="10"/>
                <w:szCs w:val="10"/>
                <w:color w:val="auto"/>
              </w:rPr>
            </w:pPr>
          </w:p>
        </w:tc>
        <w:tc>
          <w:tcPr>
            <w:tcW w:w="1700" w:type="dxa"/>
            <w:vAlign w:val="bottom"/>
            <w:tcBorders>
              <w:bottom w:val="single" w:sz="8" w:color="007DB6"/>
              <w:right w:val="single" w:sz="8" w:color="007DB6"/>
            </w:tcBorders>
            <w:shd w:val="clear" w:color="auto" w:fill="007DB6"/>
          </w:tcPr>
          <w:p>
            <w:pPr>
              <w:spacing w:after="0"/>
              <w:rPr>
                <w:sz w:val="10"/>
                <w:szCs w:val="10"/>
                <w:color w:val="auto"/>
              </w:rPr>
            </w:pPr>
          </w:p>
        </w:tc>
        <w:tc>
          <w:tcPr>
            <w:tcW w:w="1680" w:type="dxa"/>
            <w:vAlign w:val="bottom"/>
            <w:tcBorders>
              <w:bottom w:val="single" w:sz="8" w:color="007DB6"/>
              <w:right w:val="single" w:sz="8" w:color="007DB6"/>
            </w:tcBorders>
            <w:vMerge w:val="continue"/>
            <w:shd w:val="clear" w:color="auto" w:fill="007DB6"/>
          </w:tcPr>
          <w:p>
            <w:pPr>
              <w:spacing w:after="0"/>
              <w:rPr>
                <w:sz w:val="10"/>
                <w:szCs w:val="10"/>
                <w:color w:val="auto"/>
              </w:rPr>
            </w:pPr>
          </w:p>
        </w:tc>
        <w:tc>
          <w:tcPr>
            <w:tcW w:w="1680" w:type="dxa"/>
            <w:vAlign w:val="bottom"/>
            <w:tcBorders>
              <w:bottom w:val="single" w:sz="8" w:color="007DB6"/>
              <w:right w:val="single" w:sz="8" w:color="007DB6"/>
            </w:tcBorders>
            <w:shd w:val="clear" w:color="auto" w:fill="007DB6"/>
          </w:tcPr>
          <w:p>
            <w:pPr>
              <w:spacing w:after="0"/>
              <w:rPr>
                <w:sz w:val="10"/>
                <w:szCs w:val="10"/>
                <w:color w:val="auto"/>
              </w:rPr>
            </w:pPr>
          </w:p>
        </w:tc>
        <w:tc>
          <w:tcPr>
            <w:tcW w:w="1660" w:type="dxa"/>
            <w:vAlign w:val="bottom"/>
            <w:tcBorders>
              <w:bottom w:val="single" w:sz="8" w:color="007DB6"/>
            </w:tcBorders>
            <w:shd w:val="clear" w:color="auto" w:fill="007DB6"/>
          </w:tcPr>
          <w:p>
            <w:pPr>
              <w:spacing w:after="0"/>
              <w:rPr>
                <w:sz w:val="10"/>
                <w:szCs w:val="10"/>
                <w:color w:val="auto"/>
              </w:rPr>
            </w:pPr>
          </w:p>
        </w:tc>
        <w:tc>
          <w:tcPr>
            <w:tcW w:w="0" w:type="dxa"/>
            <w:vAlign w:val="bottom"/>
          </w:tcPr>
          <w:p>
            <w:pPr>
              <w:spacing w:after="0"/>
              <w:rPr>
                <w:sz w:val="1"/>
                <w:szCs w:val="1"/>
                <w:color w:val="auto"/>
              </w:rPr>
            </w:pPr>
          </w:p>
        </w:tc>
      </w:tr>
      <w:tr>
        <w:trPr>
          <w:trHeight w:val="279"/>
        </w:trPr>
        <w:tc>
          <w:tcPr>
            <w:tcW w:w="2840" w:type="dxa"/>
            <w:vAlign w:val="bottom"/>
            <w:tcBorders>
              <w:right w:val="single" w:sz="8" w:color="E2E3E4"/>
            </w:tcBorders>
          </w:tcPr>
          <w:p>
            <w:pPr>
              <w:ind w:left="100"/>
              <w:spacing w:after="0"/>
              <w:rPr>
                <w:sz w:val="20"/>
                <w:szCs w:val="20"/>
                <w:color w:val="auto"/>
              </w:rPr>
            </w:pPr>
            <w:r>
              <w:rPr>
                <w:rFonts w:ascii="Arial" w:cs="Arial" w:eastAsia="Arial" w:hAnsi="Arial"/>
                <w:sz w:val="15"/>
                <w:szCs w:val="15"/>
                <w:color w:val="474C55"/>
              </w:rPr>
              <w:t>Jennifer M. Bazante</w:t>
            </w:r>
          </w:p>
        </w:tc>
        <w:tc>
          <w:tcPr>
            <w:tcW w:w="1680" w:type="dxa"/>
            <w:vAlign w:val="bottom"/>
            <w:tcBorders>
              <w:right w:val="single" w:sz="8" w:color="E2E3E4"/>
            </w:tcBorders>
          </w:tcPr>
          <w:p>
            <w:pPr>
              <w:spacing w:after="0"/>
              <w:rPr>
                <w:sz w:val="24"/>
                <w:szCs w:val="24"/>
                <w:color w:val="auto"/>
              </w:rPr>
            </w:pPr>
          </w:p>
        </w:tc>
        <w:tc>
          <w:tcPr>
            <w:tcW w:w="1700" w:type="dxa"/>
            <w:vAlign w:val="bottom"/>
            <w:tcBorders>
              <w:right w:val="single" w:sz="8" w:color="E2E3E4"/>
            </w:tcBorders>
          </w:tcPr>
          <w:p>
            <w:pPr>
              <w:spacing w:after="0"/>
              <w:rPr>
                <w:sz w:val="24"/>
                <w:szCs w:val="24"/>
                <w:color w:val="auto"/>
              </w:rPr>
            </w:pPr>
          </w:p>
        </w:tc>
        <w:tc>
          <w:tcPr>
            <w:tcW w:w="1680" w:type="dxa"/>
            <w:vAlign w:val="bottom"/>
            <w:tcBorders>
              <w:right w:val="single" w:sz="8" w:color="E2E3E4"/>
            </w:tcBorders>
          </w:tcPr>
          <w:p>
            <w:pPr>
              <w:jc w:val="center"/>
              <w:spacing w:after="0"/>
              <w:rPr>
                <w:sz w:val="20"/>
                <w:szCs w:val="20"/>
                <w:color w:val="auto"/>
              </w:rPr>
            </w:pPr>
            <w:r>
              <w:rPr>
                <w:rFonts w:ascii="Arial" w:cs="Arial" w:eastAsia="Arial" w:hAnsi="Arial"/>
                <w:sz w:val="17"/>
                <w:szCs w:val="17"/>
                <w:color w:val="474C55"/>
                <w:w w:val="96"/>
              </w:rPr>
              <w:t>Member</w:t>
            </w:r>
          </w:p>
        </w:tc>
        <w:tc>
          <w:tcPr>
            <w:tcW w:w="1680" w:type="dxa"/>
            <w:vAlign w:val="bottom"/>
            <w:tcBorders>
              <w:right w:val="single" w:sz="8" w:color="E2E3E4"/>
            </w:tcBorders>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474C55"/>
                <w:w w:val="96"/>
              </w:rPr>
              <w:t>Member</w:t>
            </w:r>
          </w:p>
        </w:tc>
        <w:tc>
          <w:tcPr>
            <w:tcW w:w="0" w:type="dxa"/>
            <w:vAlign w:val="bottom"/>
          </w:tcPr>
          <w:p>
            <w:pPr>
              <w:spacing w:after="0"/>
              <w:rPr>
                <w:sz w:val="1"/>
                <w:szCs w:val="1"/>
                <w:color w:val="auto"/>
              </w:rPr>
            </w:pPr>
          </w:p>
        </w:tc>
      </w:tr>
      <w:tr>
        <w:trPr>
          <w:trHeight w:val="59"/>
        </w:trPr>
        <w:tc>
          <w:tcPr>
            <w:tcW w:w="2840" w:type="dxa"/>
            <w:vAlign w:val="bottom"/>
            <w:tcBorders>
              <w:right w:val="single" w:sz="8" w:color="E2E3E4"/>
            </w:tcBorders>
          </w:tcPr>
          <w:p>
            <w:pPr>
              <w:spacing w:after="0"/>
              <w:rPr>
                <w:sz w:val="5"/>
                <w:szCs w:val="5"/>
                <w:color w:val="auto"/>
              </w:rPr>
            </w:pPr>
          </w:p>
        </w:tc>
        <w:tc>
          <w:tcPr>
            <w:tcW w:w="1680" w:type="dxa"/>
            <w:vAlign w:val="bottom"/>
            <w:tcBorders>
              <w:right w:val="single" w:sz="8" w:color="E2E3E4"/>
            </w:tcBorders>
          </w:tcPr>
          <w:p>
            <w:pPr>
              <w:spacing w:after="0"/>
              <w:rPr>
                <w:sz w:val="5"/>
                <w:szCs w:val="5"/>
                <w:color w:val="auto"/>
              </w:rPr>
            </w:pPr>
          </w:p>
        </w:tc>
        <w:tc>
          <w:tcPr>
            <w:tcW w:w="1700" w:type="dxa"/>
            <w:vAlign w:val="bottom"/>
            <w:tcBorders>
              <w:right w:val="single" w:sz="8" w:color="E2E3E4"/>
            </w:tcBorders>
          </w:tcPr>
          <w:p>
            <w:pPr>
              <w:spacing w:after="0"/>
              <w:rPr>
                <w:sz w:val="5"/>
                <w:szCs w:val="5"/>
                <w:color w:val="auto"/>
              </w:rPr>
            </w:pPr>
          </w:p>
        </w:tc>
        <w:tc>
          <w:tcPr>
            <w:tcW w:w="1680" w:type="dxa"/>
            <w:vAlign w:val="bottom"/>
            <w:tcBorders>
              <w:right w:val="single" w:sz="8" w:color="E2E3E4"/>
            </w:tcBorders>
          </w:tcPr>
          <w:p>
            <w:pPr>
              <w:spacing w:after="0"/>
              <w:rPr>
                <w:sz w:val="5"/>
                <w:szCs w:val="5"/>
                <w:color w:val="auto"/>
              </w:rPr>
            </w:pPr>
          </w:p>
        </w:tc>
        <w:tc>
          <w:tcPr>
            <w:tcW w:w="1680" w:type="dxa"/>
            <w:vAlign w:val="bottom"/>
            <w:tcBorders>
              <w:right w:val="single" w:sz="8" w:color="E2E3E4"/>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E2E3E4"/>
              <w:right w:val="single" w:sz="8" w:color="E2E3E4"/>
            </w:tcBorders>
            <w:shd w:val="clear" w:color="auto" w:fill="E2E3E4"/>
          </w:tcPr>
          <w:p>
            <w:pPr>
              <w:ind w:left="100"/>
              <w:spacing w:after="0"/>
              <w:rPr>
                <w:sz w:val="20"/>
                <w:szCs w:val="20"/>
                <w:color w:val="auto"/>
              </w:rPr>
            </w:pPr>
            <w:r>
              <w:rPr>
                <w:rFonts w:ascii="Arial" w:cs="Arial" w:eastAsia="Arial" w:hAnsi="Arial"/>
                <w:sz w:val="15"/>
                <w:szCs w:val="15"/>
                <w:color w:val="474C55"/>
              </w:rPr>
              <w:t>George B. Bell</w:t>
            </w:r>
          </w:p>
        </w:tc>
        <w:tc>
          <w:tcPr>
            <w:tcW w:w="1680" w:type="dxa"/>
            <w:vAlign w:val="bottom"/>
            <w:tcBorders>
              <w:bottom w:val="single" w:sz="8" w:color="E2E3E4"/>
              <w:right w:val="single" w:sz="8" w:color="E2E3E4"/>
            </w:tcBorders>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700" w:type="dxa"/>
            <w:vAlign w:val="bottom"/>
            <w:tcBorders>
              <w:bottom w:val="single" w:sz="8" w:color="E2E3E4"/>
              <w:right w:val="single" w:sz="8" w:color="E2E3E4"/>
            </w:tcBorders>
            <w:shd w:val="clear" w:color="auto" w:fill="E2E3E4"/>
          </w:tcPr>
          <w:p>
            <w:pPr>
              <w:spacing w:after="0"/>
              <w:rPr>
                <w:sz w:val="24"/>
                <w:szCs w:val="24"/>
                <w:color w:val="auto"/>
              </w:rPr>
            </w:pPr>
          </w:p>
        </w:tc>
        <w:tc>
          <w:tcPr>
            <w:tcW w:w="1680" w:type="dxa"/>
            <w:vAlign w:val="bottom"/>
            <w:tcBorders>
              <w:bottom w:val="single" w:sz="8" w:color="E2E3E4"/>
              <w:right w:val="single" w:sz="8" w:color="E2E3E4"/>
            </w:tcBorders>
            <w:shd w:val="clear" w:color="auto" w:fill="E2E3E4"/>
          </w:tcPr>
          <w:p>
            <w:pPr>
              <w:spacing w:after="0"/>
              <w:rPr>
                <w:sz w:val="24"/>
                <w:szCs w:val="24"/>
                <w:color w:val="auto"/>
              </w:rPr>
            </w:pPr>
          </w:p>
        </w:tc>
        <w:tc>
          <w:tcPr>
            <w:tcW w:w="1680" w:type="dxa"/>
            <w:vAlign w:val="bottom"/>
            <w:tcBorders>
              <w:bottom w:val="single" w:sz="8" w:color="E2E3E4"/>
              <w:right w:val="single" w:sz="8" w:color="E2E3E4"/>
            </w:tcBorders>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660" w:type="dxa"/>
            <w:vAlign w:val="bottom"/>
            <w:tcBorders>
              <w:bottom w:val="single" w:sz="8" w:color="E2E3E4"/>
            </w:tcBorders>
            <w:shd w:val="clear" w:color="auto" w:fill="E2E3E4"/>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840" w:type="dxa"/>
            <w:vAlign w:val="bottom"/>
            <w:tcBorders>
              <w:right w:val="single" w:sz="8" w:color="E2E3E4"/>
            </w:tcBorders>
          </w:tcPr>
          <w:p>
            <w:pPr>
              <w:ind w:left="100"/>
              <w:spacing w:after="0"/>
              <w:rPr>
                <w:sz w:val="20"/>
                <w:szCs w:val="20"/>
                <w:color w:val="auto"/>
              </w:rPr>
            </w:pPr>
            <w:r>
              <w:rPr>
                <w:rFonts w:ascii="Arial" w:cs="Arial" w:eastAsia="Arial" w:hAnsi="Arial"/>
                <w:sz w:val="15"/>
                <w:szCs w:val="15"/>
                <w:color w:val="474C55"/>
              </w:rPr>
              <w:t>James P. Clements</w:t>
            </w:r>
          </w:p>
        </w:tc>
        <w:tc>
          <w:tcPr>
            <w:tcW w:w="1680" w:type="dxa"/>
            <w:vAlign w:val="bottom"/>
            <w:tcBorders>
              <w:right w:val="single" w:sz="8" w:color="E2E3E4"/>
            </w:tcBorders>
          </w:tcPr>
          <w:p>
            <w:pPr>
              <w:spacing w:after="0"/>
              <w:rPr>
                <w:sz w:val="24"/>
                <w:szCs w:val="24"/>
                <w:color w:val="auto"/>
              </w:rPr>
            </w:pPr>
          </w:p>
        </w:tc>
        <w:tc>
          <w:tcPr>
            <w:tcW w:w="1700" w:type="dxa"/>
            <w:vAlign w:val="bottom"/>
            <w:tcBorders>
              <w:right w:val="single" w:sz="8" w:color="E2E3E4"/>
            </w:tcBorders>
          </w:tcPr>
          <w:p>
            <w:pPr>
              <w:spacing w:after="0"/>
              <w:rPr>
                <w:sz w:val="24"/>
                <w:szCs w:val="24"/>
                <w:color w:val="auto"/>
              </w:rPr>
            </w:pPr>
          </w:p>
        </w:tc>
        <w:tc>
          <w:tcPr>
            <w:tcW w:w="1680" w:type="dxa"/>
            <w:vAlign w:val="bottom"/>
            <w:tcBorders>
              <w:right w:val="single" w:sz="8" w:color="E2E3E4"/>
            </w:tcBorders>
          </w:tcPr>
          <w:p>
            <w:pPr>
              <w:jc w:val="center"/>
              <w:spacing w:after="0"/>
              <w:rPr>
                <w:sz w:val="20"/>
                <w:szCs w:val="20"/>
                <w:color w:val="auto"/>
              </w:rPr>
            </w:pPr>
            <w:r>
              <w:rPr>
                <w:rFonts w:ascii="Arial" w:cs="Arial" w:eastAsia="Arial" w:hAnsi="Arial"/>
                <w:sz w:val="17"/>
                <w:szCs w:val="17"/>
                <w:color w:val="474C55"/>
                <w:w w:val="96"/>
              </w:rPr>
              <w:t>Member</w:t>
            </w:r>
          </w:p>
        </w:tc>
        <w:tc>
          <w:tcPr>
            <w:tcW w:w="1680" w:type="dxa"/>
            <w:vAlign w:val="bottom"/>
            <w:tcBorders>
              <w:right w:val="single" w:sz="8" w:color="E2E3E4"/>
            </w:tcBorders>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474C55"/>
                <w:w w:val="96"/>
              </w:rPr>
              <w:t>Member</w:t>
            </w:r>
          </w:p>
        </w:tc>
        <w:tc>
          <w:tcPr>
            <w:tcW w:w="0" w:type="dxa"/>
            <w:vAlign w:val="bottom"/>
          </w:tcPr>
          <w:p>
            <w:pPr>
              <w:spacing w:after="0"/>
              <w:rPr>
                <w:sz w:val="1"/>
                <w:szCs w:val="1"/>
                <w:color w:val="auto"/>
              </w:rPr>
            </w:pPr>
          </w:p>
        </w:tc>
      </w:tr>
      <w:tr>
        <w:trPr>
          <w:trHeight w:val="59"/>
        </w:trPr>
        <w:tc>
          <w:tcPr>
            <w:tcW w:w="2840" w:type="dxa"/>
            <w:vAlign w:val="bottom"/>
            <w:tcBorders>
              <w:right w:val="single" w:sz="8" w:color="E2E3E4"/>
            </w:tcBorders>
          </w:tcPr>
          <w:p>
            <w:pPr>
              <w:spacing w:after="0"/>
              <w:rPr>
                <w:sz w:val="5"/>
                <w:szCs w:val="5"/>
                <w:color w:val="auto"/>
              </w:rPr>
            </w:pPr>
          </w:p>
        </w:tc>
        <w:tc>
          <w:tcPr>
            <w:tcW w:w="1680" w:type="dxa"/>
            <w:vAlign w:val="bottom"/>
            <w:tcBorders>
              <w:right w:val="single" w:sz="8" w:color="E2E3E4"/>
            </w:tcBorders>
          </w:tcPr>
          <w:p>
            <w:pPr>
              <w:spacing w:after="0"/>
              <w:rPr>
                <w:sz w:val="5"/>
                <w:szCs w:val="5"/>
                <w:color w:val="auto"/>
              </w:rPr>
            </w:pPr>
          </w:p>
        </w:tc>
        <w:tc>
          <w:tcPr>
            <w:tcW w:w="1700" w:type="dxa"/>
            <w:vAlign w:val="bottom"/>
            <w:tcBorders>
              <w:right w:val="single" w:sz="8" w:color="E2E3E4"/>
            </w:tcBorders>
          </w:tcPr>
          <w:p>
            <w:pPr>
              <w:spacing w:after="0"/>
              <w:rPr>
                <w:sz w:val="5"/>
                <w:szCs w:val="5"/>
                <w:color w:val="auto"/>
              </w:rPr>
            </w:pPr>
          </w:p>
        </w:tc>
        <w:tc>
          <w:tcPr>
            <w:tcW w:w="1680" w:type="dxa"/>
            <w:vAlign w:val="bottom"/>
            <w:tcBorders>
              <w:right w:val="single" w:sz="8" w:color="E2E3E4"/>
            </w:tcBorders>
          </w:tcPr>
          <w:p>
            <w:pPr>
              <w:spacing w:after="0"/>
              <w:rPr>
                <w:sz w:val="5"/>
                <w:szCs w:val="5"/>
                <w:color w:val="auto"/>
              </w:rPr>
            </w:pPr>
          </w:p>
        </w:tc>
        <w:tc>
          <w:tcPr>
            <w:tcW w:w="1680" w:type="dxa"/>
            <w:vAlign w:val="bottom"/>
            <w:tcBorders>
              <w:right w:val="single" w:sz="8" w:color="E2E3E4"/>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840" w:type="dxa"/>
            <w:vAlign w:val="bottom"/>
            <w:tcBorders>
              <w:right w:val="single" w:sz="8" w:color="E2E3E4"/>
            </w:tcBorders>
            <w:shd w:val="clear" w:color="auto" w:fill="E2E3E4"/>
          </w:tcPr>
          <w:p>
            <w:pPr>
              <w:ind w:left="100"/>
              <w:spacing w:after="0"/>
              <w:rPr>
                <w:sz w:val="20"/>
                <w:szCs w:val="20"/>
                <w:color w:val="auto"/>
              </w:rPr>
            </w:pPr>
            <w:r>
              <w:rPr>
                <w:rFonts w:ascii="Arial" w:cs="Arial" w:eastAsia="Arial" w:hAnsi="Arial"/>
                <w:sz w:val="15"/>
                <w:szCs w:val="15"/>
                <w:color w:val="474C55"/>
              </w:rPr>
              <w:t>Kenneth L. Daniels</w:t>
            </w:r>
          </w:p>
        </w:tc>
        <w:tc>
          <w:tcPr>
            <w:tcW w:w="168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70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680" w:type="dxa"/>
            <w:vAlign w:val="bottom"/>
            <w:tcBorders>
              <w:right w:val="single" w:sz="8" w:color="E2E3E4"/>
            </w:tcBorders>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7"/>
                <w:szCs w:val="17"/>
                <w:color w:val="474C55"/>
                <w:w w:val="98"/>
              </w:rPr>
              <w:t>Chair</w:t>
            </w:r>
          </w:p>
        </w:tc>
        <w:tc>
          <w:tcPr>
            <w:tcW w:w="1660" w:type="dxa"/>
            <w:vAlign w:val="bottom"/>
            <w:shd w:val="clear" w:color="auto" w:fill="E2E3E4"/>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40" w:type="dxa"/>
            <w:vAlign w:val="bottom"/>
            <w:tcBorders>
              <w:right w:val="single" w:sz="8" w:color="E2E3E4"/>
            </w:tcBorders>
            <w:shd w:val="clear" w:color="auto" w:fill="E2E3E4"/>
          </w:tcPr>
          <w:p>
            <w:pPr>
              <w:ind w:left="100"/>
              <w:spacing w:after="0"/>
              <w:rPr>
                <w:sz w:val="20"/>
                <w:szCs w:val="20"/>
                <w:color w:val="auto"/>
              </w:rPr>
            </w:pPr>
            <w:r>
              <w:rPr>
                <w:rFonts w:ascii="Arial" w:cs="Arial" w:eastAsia="Arial" w:hAnsi="Arial"/>
                <w:sz w:val="15"/>
                <w:szCs w:val="15"/>
                <w:color w:val="auto"/>
              </w:rPr>
              <w:t>Sally Pope Davis</w:t>
            </w:r>
          </w:p>
        </w:tc>
        <w:tc>
          <w:tcPr>
            <w:tcW w:w="1680" w:type="dxa"/>
            <w:vAlign w:val="bottom"/>
            <w:tcBorders>
              <w:right w:val="single" w:sz="8" w:color="E2E3E4"/>
            </w:tcBorders>
            <w:shd w:val="clear" w:color="auto" w:fill="E2E3E4"/>
          </w:tcPr>
          <w:p>
            <w:pPr>
              <w:spacing w:after="0"/>
              <w:rPr>
                <w:sz w:val="24"/>
                <w:szCs w:val="24"/>
                <w:color w:val="auto"/>
              </w:rPr>
            </w:pPr>
          </w:p>
        </w:tc>
        <w:tc>
          <w:tcPr>
            <w:tcW w:w="1700" w:type="dxa"/>
            <w:vAlign w:val="bottom"/>
            <w:tcBorders>
              <w:right w:val="single" w:sz="8" w:color="E2E3E4"/>
            </w:tcBorders>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7"/>
                <w:szCs w:val="17"/>
                <w:color w:val="474C55"/>
                <w:w w:val="96"/>
              </w:rPr>
              <w:t>Member</w:t>
            </w:r>
          </w:p>
        </w:tc>
        <w:tc>
          <w:tcPr>
            <w:tcW w:w="168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660" w:type="dxa"/>
            <w:vAlign w:val="bottom"/>
            <w:shd w:val="clear" w:color="auto" w:fill="E2E3E4"/>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840" w:type="dxa"/>
            <w:vAlign w:val="bottom"/>
            <w:tcBorders>
              <w:right w:val="single" w:sz="8" w:color="E2E3E4"/>
            </w:tcBorders>
            <w:vMerge w:val="restart"/>
            <w:shd w:val="clear" w:color="auto" w:fill="E2E3E4"/>
          </w:tcPr>
          <w:p>
            <w:pPr>
              <w:ind w:left="100"/>
              <w:spacing w:after="0"/>
              <w:rPr>
                <w:sz w:val="20"/>
                <w:szCs w:val="20"/>
                <w:color w:val="auto"/>
              </w:rPr>
            </w:pPr>
            <w:r>
              <w:rPr>
                <w:rFonts w:ascii="Arial" w:cs="Arial" w:eastAsia="Arial" w:hAnsi="Arial"/>
                <w:sz w:val="15"/>
                <w:szCs w:val="15"/>
                <w:color w:val="474C55"/>
              </w:rPr>
              <w:t>Lance F. Drummond</w:t>
            </w:r>
          </w:p>
        </w:tc>
        <w:tc>
          <w:tcPr>
            <w:tcW w:w="1680" w:type="dxa"/>
            <w:vAlign w:val="bottom"/>
            <w:tcBorders>
              <w:right w:val="single" w:sz="8" w:color="E2E3E4"/>
            </w:tcBorders>
            <w:shd w:val="clear" w:color="auto" w:fill="E2E3E4"/>
          </w:tcPr>
          <w:p>
            <w:pPr>
              <w:spacing w:after="0"/>
              <w:rPr>
                <w:sz w:val="5"/>
                <w:szCs w:val="5"/>
                <w:color w:val="auto"/>
              </w:rPr>
            </w:pPr>
          </w:p>
        </w:tc>
        <w:tc>
          <w:tcPr>
            <w:tcW w:w="170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7"/>
                <w:szCs w:val="17"/>
                <w:color w:val="474C55"/>
                <w:w w:val="98"/>
              </w:rPr>
              <w:t>Chair</w:t>
            </w:r>
          </w:p>
        </w:tc>
        <w:tc>
          <w:tcPr>
            <w:tcW w:w="1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660" w:type="dxa"/>
            <w:vAlign w:val="bottom"/>
            <w:shd w:val="clear" w:color="auto" w:fill="E2E3E4"/>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84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70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vMerge w:val="continue"/>
            <w:shd w:val="clear" w:color="auto" w:fill="E2E3E4"/>
          </w:tcPr>
          <w:p>
            <w:pPr>
              <w:spacing w:after="0"/>
              <w:rPr>
                <w:sz w:val="24"/>
                <w:szCs w:val="24"/>
                <w:color w:val="auto"/>
              </w:rPr>
            </w:pPr>
          </w:p>
        </w:tc>
        <w:tc>
          <w:tcPr>
            <w:tcW w:w="1660" w:type="dxa"/>
            <w:vAlign w:val="bottom"/>
            <w:shd w:val="clear" w:color="auto" w:fill="E2E3E4"/>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840" w:type="dxa"/>
            <w:vAlign w:val="bottom"/>
            <w:tcBorders>
              <w:right w:val="single" w:sz="8" w:color="E2E3E4"/>
            </w:tcBorders>
            <w:vMerge w:val="restart"/>
            <w:shd w:val="clear" w:color="auto" w:fill="E2E3E4"/>
          </w:tcPr>
          <w:p>
            <w:pPr>
              <w:ind w:left="100"/>
              <w:spacing w:after="0"/>
              <w:rPr>
                <w:sz w:val="20"/>
                <w:szCs w:val="20"/>
                <w:color w:val="auto"/>
              </w:rPr>
            </w:pPr>
            <w:r>
              <w:rPr>
                <w:rFonts w:ascii="Arial" w:cs="Arial" w:eastAsia="Arial" w:hAnsi="Arial"/>
                <w:sz w:val="15"/>
                <w:szCs w:val="15"/>
                <w:color w:val="474C55"/>
              </w:rPr>
              <w:t xml:space="preserve">H. Lynn Harton </w:t>
            </w:r>
            <w:r>
              <w:rPr>
                <w:rFonts w:ascii="Arial" w:cs="Arial" w:eastAsia="Arial" w:hAnsi="Arial"/>
                <w:sz w:val="15"/>
                <w:szCs w:val="15"/>
                <w:b w:val="1"/>
                <w:bCs w:val="1"/>
                <w:color w:val="474C55"/>
              </w:rPr>
              <w:t>*</w:t>
            </w:r>
          </w:p>
        </w:tc>
        <w:tc>
          <w:tcPr>
            <w:tcW w:w="1680" w:type="dxa"/>
            <w:vAlign w:val="bottom"/>
            <w:tcBorders>
              <w:right w:val="single" w:sz="8" w:color="E2E3E4"/>
            </w:tcBorders>
            <w:shd w:val="clear" w:color="auto" w:fill="E2E3E4"/>
          </w:tcPr>
          <w:p>
            <w:pPr>
              <w:spacing w:after="0"/>
              <w:rPr>
                <w:sz w:val="5"/>
                <w:szCs w:val="5"/>
                <w:color w:val="auto"/>
              </w:rPr>
            </w:pPr>
          </w:p>
        </w:tc>
        <w:tc>
          <w:tcPr>
            <w:tcW w:w="170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7"/>
                <w:szCs w:val="17"/>
                <w:color w:val="474C55"/>
                <w:w w:val="98"/>
              </w:rPr>
              <w:t>Chair</w:t>
            </w:r>
          </w:p>
        </w:tc>
        <w:tc>
          <w:tcPr>
            <w:tcW w:w="1680" w:type="dxa"/>
            <w:vAlign w:val="bottom"/>
            <w:tcBorders>
              <w:right w:val="single" w:sz="8" w:color="E2E3E4"/>
            </w:tcBorders>
            <w:shd w:val="clear" w:color="auto" w:fill="E2E3E4"/>
          </w:tcPr>
          <w:p>
            <w:pPr>
              <w:spacing w:after="0"/>
              <w:rPr>
                <w:sz w:val="5"/>
                <w:szCs w:val="5"/>
                <w:color w:val="auto"/>
              </w:rPr>
            </w:pPr>
          </w:p>
        </w:tc>
        <w:tc>
          <w:tcPr>
            <w:tcW w:w="1680" w:type="dxa"/>
            <w:vAlign w:val="bottom"/>
            <w:tcBorders>
              <w:right w:val="single" w:sz="8" w:color="E2E3E4"/>
            </w:tcBorders>
            <w:shd w:val="clear" w:color="auto" w:fill="E2E3E4"/>
          </w:tcPr>
          <w:p>
            <w:pPr>
              <w:spacing w:after="0"/>
              <w:rPr>
                <w:sz w:val="5"/>
                <w:szCs w:val="5"/>
                <w:color w:val="auto"/>
              </w:rPr>
            </w:pPr>
          </w:p>
        </w:tc>
        <w:tc>
          <w:tcPr>
            <w:tcW w:w="1660" w:type="dxa"/>
            <w:vAlign w:val="bottom"/>
            <w:shd w:val="clear" w:color="auto" w:fill="E2E3E4"/>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84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70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660" w:type="dxa"/>
            <w:vAlign w:val="bottom"/>
            <w:shd w:val="clear" w:color="auto" w:fill="E2E3E4"/>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840" w:type="dxa"/>
            <w:vAlign w:val="bottom"/>
            <w:tcBorders>
              <w:right w:val="single" w:sz="8" w:color="E2E3E4"/>
            </w:tcBorders>
            <w:vMerge w:val="restart"/>
            <w:shd w:val="clear" w:color="auto" w:fill="E2E3E4"/>
          </w:tcPr>
          <w:p>
            <w:pPr>
              <w:ind w:left="100"/>
              <w:spacing w:after="0"/>
              <w:rPr>
                <w:sz w:val="20"/>
                <w:szCs w:val="20"/>
                <w:color w:val="auto"/>
              </w:rPr>
            </w:pPr>
            <w:r>
              <w:rPr>
                <w:rFonts w:ascii="Arial" w:cs="Arial" w:eastAsia="Arial" w:hAnsi="Arial"/>
                <w:sz w:val="15"/>
                <w:szCs w:val="15"/>
                <w:color w:val="474C55"/>
              </w:rPr>
              <w:t>John M. James</w:t>
            </w:r>
          </w:p>
        </w:tc>
        <w:tc>
          <w:tcPr>
            <w:tcW w:w="1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700" w:type="dxa"/>
            <w:vAlign w:val="bottom"/>
            <w:tcBorders>
              <w:right w:val="single" w:sz="8" w:color="E2E3E4"/>
            </w:tcBorders>
            <w:shd w:val="clear" w:color="auto" w:fill="E2E3E4"/>
          </w:tcPr>
          <w:p>
            <w:pPr>
              <w:spacing w:after="0"/>
              <w:rPr>
                <w:sz w:val="5"/>
                <w:szCs w:val="5"/>
                <w:color w:val="auto"/>
              </w:rPr>
            </w:pPr>
          </w:p>
        </w:tc>
        <w:tc>
          <w:tcPr>
            <w:tcW w:w="1680" w:type="dxa"/>
            <w:vAlign w:val="bottom"/>
            <w:tcBorders>
              <w:right w:val="single" w:sz="8" w:color="E2E3E4"/>
            </w:tcBorders>
            <w:shd w:val="clear" w:color="auto" w:fill="E2E3E4"/>
          </w:tcPr>
          <w:p>
            <w:pPr>
              <w:spacing w:after="0"/>
              <w:rPr>
                <w:sz w:val="5"/>
                <w:szCs w:val="5"/>
                <w:color w:val="auto"/>
              </w:rPr>
            </w:pPr>
          </w:p>
        </w:tc>
        <w:tc>
          <w:tcPr>
            <w:tcW w:w="1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660" w:type="dxa"/>
            <w:vAlign w:val="bottom"/>
            <w:shd w:val="clear" w:color="auto" w:fill="E2E3E4"/>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84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vMerge w:val="continue"/>
            <w:shd w:val="clear" w:color="auto" w:fill="E2E3E4"/>
          </w:tcPr>
          <w:p>
            <w:pPr>
              <w:spacing w:after="0"/>
              <w:rPr>
                <w:sz w:val="24"/>
                <w:szCs w:val="24"/>
                <w:color w:val="auto"/>
              </w:rPr>
            </w:pPr>
          </w:p>
        </w:tc>
        <w:tc>
          <w:tcPr>
            <w:tcW w:w="1700" w:type="dxa"/>
            <w:vAlign w:val="bottom"/>
            <w:tcBorders>
              <w:right w:val="single" w:sz="8" w:color="E2E3E4"/>
            </w:tcBorders>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680" w:type="dxa"/>
            <w:vAlign w:val="bottom"/>
            <w:tcBorders>
              <w:right w:val="single" w:sz="8" w:color="E2E3E4"/>
            </w:tcBorders>
            <w:vMerge w:val="continue"/>
            <w:shd w:val="clear" w:color="auto" w:fill="E2E3E4"/>
          </w:tcPr>
          <w:p>
            <w:pPr>
              <w:spacing w:after="0"/>
              <w:rPr>
                <w:sz w:val="24"/>
                <w:szCs w:val="24"/>
                <w:color w:val="auto"/>
              </w:rPr>
            </w:pPr>
          </w:p>
        </w:tc>
        <w:tc>
          <w:tcPr>
            <w:tcW w:w="1660" w:type="dxa"/>
            <w:vAlign w:val="bottom"/>
            <w:shd w:val="clear" w:color="auto" w:fill="E2E3E4"/>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840" w:type="dxa"/>
            <w:vAlign w:val="bottom"/>
            <w:tcBorders>
              <w:right w:val="single" w:sz="8" w:color="E2E3E4"/>
            </w:tcBorders>
            <w:vMerge w:val="restart"/>
            <w:shd w:val="clear" w:color="auto" w:fill="E2E3E4"/>
          </w:tcPr>
          <w:p>
            <w:pPr>
              <w:ind w:left="100"/>
              <w:spacing w:after="0"/>
              <w:rPr>
                <w:sz w:val="20"/>
                <w:szCs w:val="20"/>
                <w:color w:val="auto"/>
              </w:rPr>
            </w:pPr>
            <w:r>
              <w:rPr>
                <w:rFonts w:ascii="Arial" w:cs="Arial" w:eastAsia="Arial" w:hAnsi="Arial"/>
                <w:sz w:val="15"/>
                <w:szCs w:val="15"/>
                <w:color w:val="474C55"/>
              </w:rPr>
              <w:t>Jennifer K. Mann</w:t>
            </w:r>
          </w:p>
        </w:tc>
        <w:tc>
          <w:tcPr>
            <w:tcW w:w="1680" w:type="dxa"/>
            <w:vAlign w:val="bottom"/>
            <w:tcBorders>
              <w:right w:val="single" w:sz="8" w:color="E2E3E4"/>
            </w:tcBorders>
            <w:shd w:val="clear" w:color="auto" w:fill="E2E3E4"/>
          </w:tcPr>
          <w:p>
            <w:pPr>
              <w:spacing w:after="0"/>
              <w:rPr>
                <w:sz w:val="5"/>
                <w:szCs w:val="5"/>
                <w:color w:val="auto"/>
              </w:rPr>
            </w:pPr>
          </w:p>
        </w:tc>
        <w:tc>
          <w:tcPr>
            <w:tcW w:w="170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680" w:type="dxa"/>
            <w:vAlign w:val="bottom"/>
            <w:tcBorders>
              <w:right w:val="single" w:sz="8" w:color="E2E3E4"/>
            </w:tcBorders>
            <w:shd w:val="clear" w:color="auto" w:fill="E2E3E4"/>
          </w:tcPr>
          <w:p>
            <w:pPr>
              <w:spacing w:after="0"/>
              <w:rPr>
                <w:sz w:val="5"/>
                <w:szCs w:val="5"/>
                <w:color w:val="auto"/>
              </w:rPr>
            </w:pPr>
          </w:p>
        </w:tc>
        <w:tc>
          <w:tcPr>
            <w:tcW w:w="1680" w:type="dxa"/>
            <w:vAlign w:val="bottom"/>
            <w:tcBorders>
              <w:right w:val="single" w:sz="8" w:color="E2E3E4"/>
            </w:tcBorders>
            <w:shd w:val="clear" w:color="auto" w:fill="E2E3E4"/>
          </w:tcPr>
          <w:p>
            <w:pPr>
              <w:spacing w:after="0"/>
              <w:rPr>
                <w:sz w:val="5"/>
                <w:szCs w:val="5"/>
                <w:color w:val="auto"/>
              </w:rPr>
            </w:pPr>
          </w:p>
        </w:tc>
        <w:tc>
          <w:tcPr>
            <w:tcW w:w="1660" w:type="dxa"/>
            <w:vAlign w:val="bottom"/>
            <w:vMerge w:val="restart"/>
            <w:shd w:val="clear" w:color="auto" w:fill="E2E3E4"/>
          </w:tcPr>
          <w:p>
            <w:pPr>
              <w:jc w:val="center"/>
              <w:spacing w:after="0"/>
              <w:rPr>
                <w:sz w:val="20"/>
                <w:szCs w:val="20"/>
                <w:color w:val="auto"/>
              </w:rPr>
            </w:pPr>
            <w:r>
              <w:rPr>
                <w:rFonts w:ascii="Arial" w:cs="Arial" w:eastAsia="Arial" w:hAnsi="Arial"/>
                <w:sz w:val="17"/>
                <w:szCs w:val="17"/>
                <w:color w:val="474C55"/>
                <w:w w:val="98"/>
              </w:rPr>
              <w:t>Chair</w:t>
            </w:r>
          </w:p>
        </w:tc>
        <w:tc>
          <w:tcPr>
            <w:tcW w:w="0" w:type="dxa"/>
            <w:vAlign w:val="bottom"/>
          </w:tcPr>
          <w:p>
            <w:pPr>
              <w:spacing w:after="0"/>
              <w:rPr>
                <w:sz w:val="1"/>
                <w:szCs w:val="1"/>
                <w:color w:val="auto"/>
              </w:rPr>
            </w:pPr>
          </w:p>
        </w:tc>
      </w:tr>
      <w:tr>
        <w:trPr>
          <w:trHeight w:val="279"/>
        </w:trPr>
        <w:tc>
          <w:tcPr>
            <w:tcW w:w="284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70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660" w:type="dxa"/>
            <w:vAlign w:val="bottom"/>
            <w:vMerge w:val="continue"/>
            <w:shd w:val="clear" w:color="auto" w:fill="E2E3E4"/>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840" w:type="dxa"/>
            <w:vAlign w:val="bottom"/>
            <w:tcBorders>
              <w:right w:val="single" w:sz="8" w:color="E2E3E4"/>
            </w:tcBorders>
            <w:vMerge w:val="restart"/>
            <w:shd w:val="clear" w:color="auto" w:fill="E2E3E4"/>
          </w:tcPr>
          <w:p>
            <w:pPr>
              <w:ind w:left="100"/>
              <w:spacing w:after="0"/>
              <w:rPr>
                <w:sz w:val="20"/>
                <w:szCs w:val="20"/>
                <w:color w:val="auto"/>
              </w:rPr>
            </w:pPr>
            <w:r>
              <w:rPr>
                <w:rFonts w:ascii="Arial" w:cs="Arial" w:eastAsia="Arial" w:hAnsi="Arial"/>
                <w:sz w:val="15"/>
                <w:szCs w:val="15"/>
                <w:color w:val="474C55"/>
              </w:rPr>
              <w:t xml:space="preserve">Thomas A. Richlovsky </w:t>
            </w:r>
            <w:r>
              <w:rPr>
                <w:rFonts w:ascii="Arial" w:cs="Arial" w:eastAsia="Arial" w:hAnsi="Arial"/>
                <w:sz w:val="25"/>
                <w:szCs w:val="25"/>
                <w:b w:val="1"/>
                <w:bCs w:val="1"/>
                <w:color w:val="474C55"/>
                <w:vertAlign w:val="superscript"/>
              </w:rPr>
              <w:t>•</w:t>
            </w:r>
          </w:p>
        </w:tc>
        <w:tc>
          <w:tcPr>
            <w:tcW w:w="1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70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7"/>
                <w:szCs w:val="17"/>
                <w:color w:val="474C55"/>
                <w:w w:val="96"/>
              </w:rPr>
              <w:t>Member</w:t>
            </w:r>
          </w:p>
        </w:tc>
        <w:tc>
          <w:tcPr>
            <w:tcW w:w="1680" w:type="dxa"/>
            <w:vAlign w:val="bottom"/>
            <w:tcBorders>
              <w:right w:val="single" w:sz="8" w:color="E2E3E4"/>
            </w:tcBorders>
            <w:shd w:val="clear" w:color="auto" w:fill="E2E3E4"/>
          </w:tcPr>
          <w:p>
            <w:pPr>
              <w:spacing w:after="0"/>
              <w:rPr>
                <w:sz w:val="5"/>
                <w:szCs w:val="5"/>
                <w:color w:val="auto"/>
              </w:rPr>
            </w:pPr>
          </w:p>
        </w:tc>
        <w:tc>
          <w:tcPr>
            <w:tcW w:w="1660" w:type="dxa"/>
            <w:vAlign w:val="bottom"/>
            <w:shd w:val="clear" w:color="auto" w:fill="E2E3E4"/>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84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vMerge w:val="continue"/>
            <w:shd w:val="clear" w:color="auto" w:fill="E2E3E4"/>
          </w:tcPr>
          <w:p>
            <w:pPr>
              <w:spacing w:after="0"/>
              <w:rPr>
                <w:sz w:val="24"/>
                <w:szCs w:val="24"/>
                <w:color w:val="auto"/>
              </w:rPr>
            </w:pPr>
          </w:p>
        </w:tc>
        <w:tc>
          <w:tcPr>
            <w:tcW w:w="170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660" w:type="dxa"/>
            <w:vAlign w:val="bottom"/>
            <w:shd w:val="clear" w:color="auto" w:fill="E2E3E4"/>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840" w:type="dxa"/>
            <w:vAlign w:val="bottom"/>
            <w:tcBorders>
              <w:right w:val="single" w:sz="8" w:color="E2E3E4"/>
            </w:tcBorders>
            <w:shd w:val="clear" w:color="auto" w:fill="E2E3E4"/>
          </w:tcPr>
          <w:p>
            <w:pPr>
              <w:ind w:left="100"/>
              <w:spacing w:after="0"/>
              <w:rPr>
                <w:sz w:val="20"/>
                <w:szCs w:val="20"/>
                <w:color w:val="auto"/>
              </w:rPr>
            </w:pPr>
            <w:r>
              <w:rPr>
                <w:rFonts w:ascii="Arial" w:cs="Arial" w:eastAsia="Arial" w:hAnsi="Arial"/>
                <w:sz w:val="15"/>
                <w:szCs w:val="15"/>
                <w:color w:val="474C55"/>
              </w:rPr>
              <w:t xml:space="preserve">David C. Shaver </w:t>
            </w:r>
            <w:r>
              <w:rPr>
                <w:rFonts w:ascii="Arial" w:cs="Arial" w:eastAsia="Arial" w:hAnsi="Arial"/>
                <w:sz w:val="25"/>
                <w:szCs w:val="25"/>
                <w:color w:val="474C55"/>
                <w:vertAlign w:val="superscript"/>
              </w:rPr>
              <w:t>+</w:t>
            </w:r>
          </w:p>
        </w:tc>
        <w:tc>
          <w:tcPr>
            <w:tcW w:w="168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7"/>
                <w:szCs w:val="17"/>
                <w:color w:val="474C55"/>
                <w:w w:val="98"/>
              </w:rPr>
              <w:t>Chair</w:t>
            </w:r>
          </w:p>
        </w:tc>
        <w:tc>
          <w:tcPr>
            <w:tcW w:w="1700" w:type="dxa"/>
            <w:vAlign w:val="bottom"/>
            <w:tcBorders>
              <w:right w:val="single" w:sz="8" w:color="E2E3E4"/>
            </w:tcBorders>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680" w:type="dxa"/>
            <w:vAlign w:val="bottom"/>
            <w:tcBorders>
              <w:right w:val="single" w:sz="8" w:color="E2E3E4"/>
            </w:tcBorders>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660" w:type="dxa"/>
            <w:vAlign w:val="bottom"/>
            <w:shd w:val="clear" w:color="auto" w:fill="E2E3E4"/>
          </w:tcPr>
          <w:p>
            <w:pPr>
              <w:jc w:val="center"/>
              <w:spacing w:after="0"/>
              <w:rPr>
                <w:sz w:val="20"/>
                <w:szCs w:val="20"/>
                <w:color w:val="auto"/>
              </w:rPr>
            </w:pPr>
            <w:r>
              <w:rPr>
                <w:rFonts w:ascii="Arial" w:cs="Arial" w:eastAsia="Arial" w:hAnsi="Arial"/>
                <w:sz w:val="17"/>
                <w:szCs w:val="17"/>
                <w:color w:val="474C55"/>
                <w:w w:val="96"/>
              </w:rPr>
              <w:t>Member</w:t>
            </w:r>
          </w:p>
        </w:tc>
        <w:tc>
          <w:tcPr>
            <w:tcW w:w="0" w:type="dxa"/>
            <w:vAlign w:val="bottom"/>
          </w:tcPr>
          <w:p>
            <w:pPr>
              <w:spacing w:after="0"/>
              <w:rPr>
                <w:sz w:val="1"/>
                <w:szCs w:val="1"/>
                <w:color w:val="auto"/>
              </w:rPr>
            </w:pPr>
          </w:p>
        </w:tc>
      </w:tr>
      <w:tr>
        <w:trPr>
          <w:trHeight w:val="279"/>
        </w:trPr>
        <w:tc>
          <w:tcPr>
            <w:tcW w:w="2840" w:type="dxa"/>
            <w:vAlign w:val="bottom"/>
            <w:tcBorders>
              <w:right w:val="single" w:sz="8" w:color="E2E3E4"/>
            </w:tcBorders>
            <w:shd w:val="clear" w:color="auto" w:fill="E2E3E4"/>
          </w:tcPr>
          <w:p>
            <w:pPr>
              <w:ind w:left="100"/>
              <w:spacing w:after="0"/>
              <w:rPr>
                <w:sz w:val="20"/>
                <w:szCs w:val="20"/>
                <w:color w:val="auto"/>
              </w:rPr>
            </w:pPr>
            <w:r>
              <w:rPr>
                <w:rFonts w:ascii="Arial" w:cs="Arial" w:eastAsia="Arial" w:hAnsi="Arial"/>
                <w:sz w:val="15"/>
                <w:szCs w:val="15"/>
                <w:color w:val="474C55"/>
              </w:rPr>
              <w:t>Tim R. Wallis</w:t>
            </w:r>
          </w:p>
        </w:tc>
        <w:tc>
          <w:tcPr>
            <w:tcW w:w="1680" w:type="dxa"/>
            <w:vAlign w:val="bottom"/>
            <w:tcBorders>
              <w:right w:val="single" w:sz="8" w:color="E2E3E4"/>
            </w:tcBorders>
            <w:shd w:val="clear" w:color="auto" w:fill="E2E3E4"/>
          </w:tcPr>
          <w:p>
            <w:pPr>
              <w:spacing w:after="0"/>
              <w:rPr>
                <w:sz w:val="24"/>
                <w:szCs w:val="24"/>
                <w:color w:val="auto"/>
              </w:rPr>
            </w:pPr>
          </w:p>
        </w:tc>
        <w:tc>
          <w:tcPr>
            <w:tcW w:w="1700" w:type="dxa"/>
            <w:vAlign w:val="bottom"/>
            <w:tcBorders>
              <w:right w:val="single" w:sz="8" w:color="E2E3E4"/>
            </w:tcBorders>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660" w:type="dxa"/>
            <w:vAlign w:val="bottom"/>
            <w:shd w:val="clear" w:color="auto" w:fill="E2E3E4"/>
          </w:tcPr>
          <w:p>
            <w:pPr>
              <w:jc w:val="center"/>
              <w:spacing w:after="0"/>
              <w:rPr>
                <w:sz w:val="20"/>
                <w:szCs w:val="20"/>
                <w:color w:val="auto"/>
              </w:rPr>
            </w:pPr>
            <w:r>
              <w:rPr>
                <w:rFonts w:ascii="Arial" w:cs="Arial" w:eastAsia="Arial" w:hAnsi="Arial"/>
                <w:sz w:val="17"/>
                <w:szCs w:val="17"/>
                <w:color w:val="474C55"/>
                <w:w w:val="96"/>
              </w:rPr>
              <w:t>Member</w:t>
            </w:r>
          </w:p>
        </w:tc>
        <w:tc>
          <w:tcPr>
            <w:tcW w:w="0" w:type="dxa"/>
            <w:vAlign w:val="bottom"/>
          </w:tcPr>
          <w:p>
            <w:pPr>
              <w:spacing w:after="0"/>
              <w:rPr>
                <w:sz w:val="1"/>
                <w:szCs w:val="1"/>
                <w:color w:val="auto"/>
              </w:rPr>
            </w:pPr>
          </w:p>
        </w:tc>
      </w:tr>
      <w:tr>
        <w:trPr>
          <w:trHeight w:val="59"/>
        </w:trPr>
        <w:tc>
          <w:tcPr>
            <w:tcW w:w="2840" w:type="dxa"/>
            <w:vAlign w:val="bottom"/>
            <w:tcBorders>
              <w:right w:val="single" w:sz="8" w:color="E2E3E4"/>
            </w:tcBorders>
            <w:vMerge w:val="restart"/>
            <w:shd w:val="clear" w:color="auto" w:fill="E2E3E4"/>
          </w:tcPr>
          <w:p>
            <w:pPr>
              <w:ind w:left="100"/>
              <w:spacing w:after="0"/>
              <w:rPr>
                <w:sz w:val="20"/>
                <w:szCs w:val="20"/>
                <w:color w:val="auto"/>
              </w:rPr>
            </w:pPr>
            <w:r>
              <w:rPr>
                <w:rFonts w:ascii="Arial" w:cs="Arial" w:eastAsia="Arial" w:hAnsi="Arial"/>
                <w:sz w:val="15"/>
                <w:szCs w:val="15"/>
                <w:color w:val="474C55"/>
              </w:rPr>
              <w:t>Amb. David H. Wilkins</w:t>
            </w:r>
          </w:p>
        </w:tc>
        <w:tc>
          <w:tcPr>
            <w:tcW w:w="1680" w:type="dxa"/>
            <w:vAlign w:val="bottom"/>
            <w:tcBorders>
              <w:right w:val="single" w:sz="8" w:color="E2E3E4"/>
            </w:tcBorders>
            <w:shd w:val="clear" w:color="auto" w:fill="E2E3E4"/>
          </w:tcPr>
          <w:p>
            <w:pPr>
              <w:spacing w:after="0"/>
              <w:rPr>
                <w:sz w:val="5"/>
                <w:szCs w:val="5"/>
                <w:color w:val="auto"/>
              </w:rPr>
            </w:pPr>
          </w:p>
        </w:tc>
        <w:tc>
          <w:tcPr>
            <w:tcW w:w="1700" w:type="dxa"/>
            <w:vAlign w:val="bottom"/>
            <w:tcBorders>
              <w:right w:val="single" w:sz="8" w:color="E2E3E4"/>
            </w:tcBorders>
            <w:shd w:val="clear" w:color="auto" w:fill="E2E3E4"/>
          </w:tcPr>
          <w:p>
            <w:pPr>
              <w:spacing w:after="0"/>
              <w:rPr>
                <w:sz w:val="5"/>
                <w:szCs w:val="5"/>
                <w:color w:val="auto"/>
              </w:rPr>
            </w:pPr>
          </w:p>
        </w:tc>
        <w:tc>
          <w:tcPr>
            <w:tcW w:w="1680" w:type="dxa"/>
            <w:vAlign w:val="bottom"/>
            <w:tcBorders>
              <w:right w:val="single" w:sz="8" w:color="E2E3E4"/>
            </w:tcBorders>
            <w:shd w:val="clear" w:color="auto" w:fill="E2E3E4"/>
          </w:tcPr>
          <w:p>
            <w:pPr>
              <w:spacing w:after="0"/>
              <w:rPr>
                <w:sz w:val="5"/>
                <w:szCs w:val="5"/>
                <w:color w:val="auto"/>
              </w:rPr>
            </w:pPr>
          </w:p>
        </w:tc>
        <w:tc>
          <w:tcPr>
            <w:tcW w:w="1680" w:type="dxa"/>
            <w:vAlign w:val="bottom"/>
            <w:tcBorders>
              <w:right w:val="single" w:sz="8" w:color="E2E3E4"/>
            </w:tcBorders>
            <w:vMerge w:val="restart"/>
            <w:shd w:val="clear" w:color="auto" w:fill="E2E3E4"/>
          </w:tcPr>
          <w:p>
            <w:pPr>
              <w:jc w:val="center"/>
              <w:spacing w:after="0"/>
              <w:rPr>
                <w:sz w:val="20"/>
                <w:szCs w:val="20"/>
                <w:color w:val="auto"/>
              </w:rPr>
            </w:pPr>
            <w:r>
              <w:rPr>
                <w:rFonts w:ascii="Arial" w:cs="Arial" w:eastAsia="Arial" w:hAnsi="Arial"/>
                <w:sz w:val="17"/>
                <w:szCs w:val="17"/>
                <w:color w:val="474C55"/>
                <w:w w:val="99"/>
              </w:rPr>
              <w:t>Member</w:t>
            </w:r>
          </w:p>
        </w:tc>
        <w:tc>
          <w:tcPr>
            <w:tcW w:w="1660" w:type="dxa"/>
            <w:vAlign w:val="bottom"/>
            <w:shd w:val="clear" w:color="auto" w:fill="E2E3E4"/>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840" w:type="dxa"/>
            <w:vAlign w:val="bottom"/>
            <w:tcBorders>
              <w:right w:val="single" w:sz="8" w:color="E2E3E4"/>
            </w:tcBorders>
            <w:vMerge w:val="continue"/>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700" w:type="dxa"/>
            <w:vAlign w:val="bottom"/>
            <w:tcBorders>
              <w:right w:val="single" w:sz="8" w:color="E2E3E4"/>
            </w:tcBorders>
            <w:shd w:val="clear" w:color="auto" w:fill="E2E3E4"/>
          </w:tcPr>
          <w:p>
            <w:pPr>
              <w:spacing w:after="0"/>
              <w:rPr>
                <w:sz w:val="24"/>
                <w:szCs w:val="24"/>
                <w:color w:val="auto"/>
              </w:rPr>
            </w:pPr>
          </w:p>
        </w:tc>
        <w:tc>
          <w:tcPr>
            <w:tcW w:w="1680" w:type="dxa"/>
            <w:vAlign w:val="bottom"/>
            <w:tcBorders>
              <w:right w:val="single" w:sz="8" w:color="E2E3E4"/>
            </w:tcBorders>
            <w:shd w:val="clear" w:color="auto" w:fill="E2E3E4"/>
          </w:tcPr>
          <w:p>
            <w:pPr>
              <w:spacing w:after="0"/>
              <w:rPr>
                <w:sz w:val="24"/>
                <w:szCs w:val="24"/>
                <w:color w:val="auto"/>
              </w:rPr>
            </w:pPr>
          </w:p>
        </w:tc>
        <w:tc>
          <w:tcPr>
            <w:tcW w:w="1680" w:type="dxa"/>
            <w:vAlign w:val="bottom"/>
            <w:tcBorders>
              <w:right w:val="single" w:sz="8" w:color="E2E3E4"/>
            </w:tcBorders>
            <w:vMerge w:val="continue"/>
            <w:shd w:val="clear" w:color="auto" w:fill="E2E3E4"/>
          </w:tcPr>
          <w:p>
            <w:pPr>
              <w:spacing w:after="0"/>
              <w:rPr>
                <w:sz w:val="24"/>
                <w:szCs w:val="24"/>
                <w:color w:val="auto"/>
              </w:rPr>
            </w:pPr>
          </w:p>
        </w:tc>
        <w:tc>
          <w:tcPr>
            <w:tcW w:w="1660" w:type="dxa"/>
            <w:vAlign w:val="bottom"/>
            <w:shd w:val="clear" w:color="auto" w:fill="E2E3E4"/>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840" w:type="dxa"/>
            <w:vAlign w:val="bottom"/>
            <w:tcBorders>
              <w:right w:val="single" w:sz="8" w:color="E2E3E4"/>
            </w:tcBorders>
            <w:shd w:val="clear" w:color="auto" w:fill="E2E3E4"/>
          </w:tcPr>
          <w:p>
            <w:pPr>
              <w:spacing w:after="0"/>
              <w:rPr>
                <w:sz w:val="6"/>
                <w:szCs w:val="6"/>
                <w:color w:val="auto"/>
              </w:rPr>
            </w:pPr>
          </w:p>
        </w:tc>
        <w:tc>
          <w:tcPr>
            <w:tcW w:w="1680" w:type="dxa"/>
            <w:vAlign w:val="bottom"/>
            <w:tcBorders>
              <w:right w:val="single" w:sz="8" w:color="E2E3E4"/>
            </w:tcBorders>
            <w:shd w:val="clear" w:color="auto" w:fill="E2E3E4"/>
          </w:tcPr>
          <w:p>
            <w:pPr>
              <w:spacing w:after="0"/>
              <w:rPr>
                <w:sz w:val="6"/>
                <w:szCs w:val="6"/>
                <w:color w:val="auto"/>
              </w:rPr>
            </w:pPr>
          </w:p>
        </w:tc>
        <w:tc>
          <w:tcPr>
            <w:tcW w:w="1700" w:type="dxa"/>
            <w:vAlign w:val="bottom"/>
            <w:tcBorders>
              <w:right w:val="single" w:sz="8" w:color="E2E3E4"/>
            </w:tcBorders>
            <w:shd w:val="clear" w:color="auto" w:fill="E2E3E4"/>
          </w:tcPr>
          <w:p>
            <w:pPr>
              <w:spacing w:after="0"/>
              <w:rPr>
                <w:sz w:val="6"/>
                <w:szCs w:val="6"/>
                <w:color w:val="auto"/>
              </w:rPr>
            </w:pPr>
          </w:p>
        </w:tc>
        <w:tc>
          <w:tcPr>
            <w:tcW w:w="1680" w:type="dxa"/>
            <w:vAlign w:val="bottom"/>
            <w:tcBorders>
              <w:right w:val="single" w:sz="8" w:color="E2E3E4"/>
            </w:tcBorders>
            <w:shd w:val="clear" w:color="auto" w:fill="E2E3E4"/>
          </w:tcPr>
          <w:p>
            <w:pPr>
              <w:spacing w:after="0"/>
              <w:rPr>
                <w:sz w:val="6"/>
                <w:szCs w:val="6"/>
                <w:color w:val="auto"/>
              </w:rPr>
            </w:pPr>
          </w:p>
        </w:tc>
        <w:tc>
          <w:tcPr>
            <w:tcW w:w="1680" w:type="dxa"/>
            <w:vAlign w:val="bottom"/>
            <w:tcBorders>
              <w:right w:val="single" w:sz="8" w:color="E2E3E4"/>
            </w:tcBorders>
            <w:shd w:val="clear" w:color="auto" w:fill="E2E3E4"/>
          </w:tcPr>
          <w:p>
            <w:pPr>
              <w:spacing w:after="0"/>
              <w:rPr>
                <w:sz w:val="6"/>
                <w:szCs w:val="6"/>
                <w:color w:val="auto"/>
              </w:rPr>
            </w:pPr>
          </w:p>
        </w:tc>
        <w:tc>
          <w:tcPr>
            <w:tcW w:w="1660" w:type="dxa"/>
            <w:vAlign w:val="bottom"/>
            <w:shd w:val="clear" w:color="auto" w:fill="E2E3E4"/>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-2613025</wp:posOffset>
            </wp:positionV>
            <wp:extent cx="7134225" cy="26060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2606040"/>
                    </a:xfrm>
                    <a:prstGeom prst="rect">
                      <a:avLst/>
                    </a:prstGeom>
                    <a:noFill/>
                  </pic:spPr>
                </pic:pic>
              </a:graphicData>
            </a:graphic>
          </wp:anchor>
        </w:drawing>
      </w:r>
    </w:p>
    <w:p>
      <w:pPr>
        <w:spacing w:after="0" w:line="123" w:lineRule="exact"/>
        <w:rPr>
          <w:sz w:val="20"/>
          <w:szCs w:val="20"/>
          <w:color w:val="auto"/>
        </w:rPr>
      </w:pPr>
    </w:p>
    <w:p>
      <w:pPr>
        <w:ind w:left="80" w:hanging="80"/>
        <w:spacing w:after="0"/>
        <w:tabs>
          <w:tab w:leader="none" w:pos="80" w:val="left"/>
        </w:tabs>
        <w:numPr>
          <w:ilvl w:val="0"/>
          <w:numId w:val="12"/>
        </w:numPr>
        <w:rPr>
          <w:rFonts w:ascii="Arial" w:cs="Arial" w:eastAsia="Arial" w:hAnsi="Arial"/>
          <w:sz w:val="13"/>
          <w:szCs w:val="13"/>
          <w:b w:val="1"/>
          <w:bCs w:val="1"/>
          <w:color w:val="444A54"/>
        </w:rPr>
      </w:pPr>
      <w:r>
        <w:rPr>
          <w:rFonts w:ascii="Arial" w:cs="Arial" w:eastAsia="Arial" w:hAnsi="Arial"/>
          <w:sz w:val="13"/>
          <w:szCs w:val="13"/>
          <w:color w:val="444A54"/>
        </w:rPr>
        <w:t>= Chairman of the Board • = Lead Director</w:t>
      </w:r>
    </w:p>
    <w:p>
      <w:pPr>
        <w:ind w:left="100" w:hanging="100"/>
        <w:spacing w:after="0" w:line="190" w:lineRule="auto"/>
        <w:tabs>
          <w:tab w:leader="none" w:pos="100" w:val="left"/>
        </w:tabs>
        <w:numPr>
          <w:ilvl w:val="0"/>
          <w:numId w:val="13"/>
        </w:numPr>
        <w:rPr>
          <w:rFonts w:ascii="Arial" w:cs="Arial" w:eastAsia="Arial" w:hAnsi="Arial"/>
          <w:sz w:val="22"/>
          <w:szCs w:val="22"/>
          <w:color w:val="444A54"/>
          <w:vertAlign w:val="superscript"/>
        </w:rPr>
      </w:pPr>
      <w:r>
        <w:rPr>
          <w:rFonts w:ascii="Arial" w:cs="Arial" w:eastAsia="Arial" w:hAnsi="Arial"/>
          <w:sz w:val="13"/>
          <w:szCs w:val="13"/>
          <w:color w:val="444A54"/>
        </w:rPr>
        <w:t>Mr. Shaver is not standing for re-election. Mr. James is expected to be appointed as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424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22"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444A54"/>
        </w:rPr>
        <w:t>The Board adopted a charter for each standing Board committee, and these charters are available on the Investor Relations &gt; Corporate Governance section of our website (www.ucbi.com). Each committee charter addresses the purpose, authority, and responsibilities of the committee, as well as membership and meetings. As required by each committee charter, each committee annually reviews and assesses its charter’s adequacy and the committee’s performance. Committees may recommend amendments to their respective charters, and our Board must approve amendments.</w:t>
      </w:r>
    </w:p>
    <w:p>
      <w:pPr>
        <w:spacing w:after="0" w:line="357"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444A54"/>
        </w:rPr>
        <w:t>A discussion of the members, number of meetings held in 2024, and key responsibilities of each of our standing committees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142480" cy="2431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2480" cy="2431415"/>
                    </a:xfrm>
                    <a:prstGeom prst="rect">
                      <a:avLst/>
                    </a:prstGeom>
                    <a:noFill/>
                  </pic:spPr>
                </pic:pic>
              </a:graphicData>
            </a:graphic>
          </wp:anchor>
        </w:drawing>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22"/>
          <w:szCs w:val="22"/>
          <w:color w:val="007DB6"/>
        </w:rPr>
        <w:t>Audit</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7"/>
          <w:szCs w:val="17"/>
          <w:color w:val="474C55"/>
        </w:rPr>
        <w:t>Membership: Mr. Bell, Mr. Daniels, Mr. James, Mr. Richlovsky, Mr. Shaver (Chair)</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color w:val="474C55"/>
        </w:rPr>
        <w:t>2024 Meetings: 8</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color w:val="474C55"/>
        </w:rPr>
        <w:t>Key Responsibilities:</w:t>
      </w:r>
    </w:p>
    <w:p>
      <w:pPr>
        <w:spacing w:after="0" w:line="67" w:lineRule="exact"/>
        <w:rPr>
          <w:sz w:val="20"/>
          <w:szCs w:val="20"/>
          <w:color w:val="auto"/>
        </w:rPr>
      </w:pPr>
    </w:p>
    <w:p>
      <w:pPr>
        <w:ind w:left="800" w:hanging="299"/>
        <w:spacing w:after="0"/>
        <w:tabs>
          <w:tab w:leader="none" w:pos="800" w:val="left"/>
        </w:tabs>
        <w:numPr>
          <w:ilvl w:val="0"/>
          <w:numId w:val="14"/>
        </w:numPr>
        <w:rPr>
          <w:rFonts w:ascii="Arial" w:cs="Arial" w:eastAsia="Arial" w:hAnsi="Arial"/>
          <w:sz w:val="17"/>
          <w:szCs w:val="17"/>
          <w:color w:val="474C55"/>
        </w:rPr>
      </w:pPr>
      <w:r>
        <w:rPr>
          <w:rFonts w:ascii="Arial" w:cs="Arial" w:eastAsia="Arial" w:hAnsi="Arial"/>
          <w:sz w:val="17"/>
          <w:szCs w:val="17"/>
          <w:color w:val="474C55"/>
        </w:rPr>
        <w:t>Selects the independent auditor</w:t>
      </w:r>
    </w:p>
    <w:p>
      <w:pPr>
        <w:spacing w:after="0" w:line="67" w:lineRule="exact"/>
        <w:rPr>
          <w:rFonts w:ascii="Arial" w:cs="Arial" w:eastAsia="Arial" w:hAnsi="Arial"/>
          <w:sz w:val="17"/>
          <w:szCs w:val="17"/>
          <w:color w:val="474C55"/>
        </w:rPr>
      </w:pPr>
    </w:p>
    <w:p>
      <w:pPr>
        <w:ind w:left="800" w:right="80" w:hanging="299"/>
        <w:spacing w:after="0" w:line="246" w:lineRule="auto"/>
        <w:tabs>
          <w:tab w:leader="none" w:pos="780" w:val="left"/>
        </w:tabs>
        <w:numPr>
          <w:ilvl w:val="0"/>
          <w:numId w:val="14"/>
        </w:numPr>
        <w:rPr>
          <w:rFonts w:ascii="Arial" w:cs="Arial" w:eastAsia="Arial" w:hAnsi="Arial"/>
          <w:sz w:val="17"/>
          <w:szCs w:val="17"/>
          <w:color w:val="474C55"/>
        </w:rPr>
      </w:pPr>
      <w:r>
        <w:rPr>
          <w:rFonts w:ascii="Arial" w:cs="Arial" w:eastAsia="Arial" w:hAnsi="Arial"/>
          <w:sz w:val="17"/>
          <w:szCs w:val="17"/>
          <w:color w:val="474C55"/>
        </w:rPr>
        <w:t>Annually evaluates the independent auditor’s qualifications, performance, and independence, as well as the lead audit partner; discusses the nature, scope, and rigor of the audit process; and reviews the independent auditor’s annual report on the Company’s internal quality control procedures and any material issues raised by its most recent review of internal quality controls</w:t>
      </w:r>
    </w:p>
    <w:p>
      <w:pPr>
        <w:spacing w:after="0" w:line="37" w:lineRule="exact"/>
        <w:rPr>
          <w:rFonts w:ascii="Arial" w:cs="Arial" w:eastAsia="Arial" w:hAnsi="Arial"/>
          <w:sz w:val="17"/>
          <w:szCs w:val="17"/>
          <w:color w:val="474C55"/>
        </w:rPr>
      </w:pPr>
    </w:p>
    <w:p>
      <w:pPr>
        <w:ind w:left="800" w:hanging="299"/>
        <w:spacing w:after="0"/>
        <w:tabs>
          <w:tab w:leader="none" w:pos="800" w:val="left"/>
        </w:tabs>
        <w:numPr>
          <w:ilvl w:val="0"/>
          <w:numId w:val="14"/>
        </w:numPr>
        <w:rPr>
          <w:rFonts w:ascii="Arial" w:cs="Arial" w:eastAsia="Arial" w:hAnsi="Arial"/>
          <w:sz w:val="17"/>
          <w:szCs w:val="17"/>
          <w:color w:val="474C55"/>
        </w:rPr>
      </w:pPr>
      <w:r>
        <w:rPr>
          <w:rFonts w:ascii="Arial" w:cs="Arial" w:eastAsia="Arial" w:hAnsi="Arial"/>
          <w:sz w:val="17"/>
          <w:szCs w:val="17"/>
          <w:color w:val="474C55"/>
        </w:rPr>
        <w:t>Discusses the annual audited and quarterly unaudited financial statements with management and the independent auditor</w:t>
      </w:r>
    </w:p>
    <w:p>
      <w:pPr>
        <w:spacing w:after="0" w:line="67" w:lineRule="exact"/>
        <w:rPr>
          <w:rFonts w:ascii="Arial" w:cs="Arial" w:eastAsia="Arial" w:hAnsi="Arial"/>
          <w:sz w:val="17"/>
          <w:szCs w:val="17"/>
          <w:color w:val="474C55"/>
        </w:rPr>
      </w:pPr>
    </w:p>
    <w:p>
      <w:pPr>
        <w:ind w:left="800" w:right="160" w:hanging="299"/>
        <w:spacing w:after="0" w:line="261" w:lineRule="auto"/>
        <w:tabs>
          <w:tab w:leader="none" w:pos="790" w:val="left"/>
        </w:tabs>
        <w:numPr>
          <w:ilvl w:val="0"/>
          <w:numId w:val="14"/>
        </w:numPr>
        <w:rPr>
          <w:rFonts w:ascii="Arial" w:cs="Arial" w:eastAsia="Arial" w:hAnsi="Arial"/>
          <w:sz w:val="17"/>
          <w:szCs w:val="17"/>
          <w:color w:val="474C55"/>
        </w:rPr>
      </w:pPr>
      <w:r>
        <w:rPr>
          <w:rFonts w:ascii="Arial" w:cs="Arial" w:eastAsia="Arial" w:hAnsi="Arial"/>
          <w:sz w:val="17"/>
          <w:szCs w:val="17"/>
          <w:color w:val="474C55"/>
        </w:rPr>
        <w:t>Reviews with management and auditors the quality and adequacy of our internal control over financial reporting and disclosure controls and procedures, and establishes procedures for receipt, retention, and treatment of complaints regarding accounting or internal controls</w:t>
      </w:r>
    </w:p>
    <w:p>
      <w:pPr>
        <w:spacing w:after="0" w:line="25" w:lineRule="exact"/>
        <w:rPr>
          <w:rFonts w:ascii="Arial" w:cs="Arial" w:eastAsia="Arial" w:hAnsi="Arial"/>
          <w:sz w:val="17"/>
          <w:szCs w:val="17"/>
          <w:color w:val="474C55"/>
        </w:rPr>
      </w:pPr>
    </w:p>
    <w:p>
      <w:pPr>
        <w:ind w:left="800" w:hanging="299"/>
        <w:spacing w:after="0"/>
        <w:tabs>
          <w:tab w:leader="none" w:pos="800" w:val="left"/>
        </w:tabs>
        <w:numPr>
          <w:ilvl w:val="0"/>
          <w:numId w:val="14"/>
        </w:numPr>
        <w:rPr>
          <w:rFonts w:ascii="Arial" w:cs="Arial" w:eastAsia="Arial" w:hAnsi="Arial"/>
          <w:sz w:val="17"/>
          <w:szCs w:val="17"/>
          <w:color w:val="474C55"/>
        </w:rPr>
      </w:pPr>
      <w:r>
        <w:rPr>
          <w:rFonts w:ascii="Arial" w:cs="Arial" w:eastAsia="Arial" w:hAnsi="Arial"/>
          <w:sz w:val="17"/>
          <w:szCs w:val="17"/>
          <w:color w:val="474C55"/>
        </w:rPr>
        <w:t>Oversees, reviews, and approves internal audit activities, projects, and budget</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4"/>
        </w:numPr>
        <w:rPr>
          <w:rFonts w:ascii="Arial" w:cs="Arial" w:eastAsia="Arial" w:hAnsi="Arial"/>
          <w:sz w:val="17"/>
          <w:szCs w:val="17"/>
          <w:color w:val="474C55"/>
        </w:rPr>
      </w:pPr>
      <w:r>
        <w:rPr>
          <w:rFonts w:ascii="Arial" w:cs="Arial" w:eastAsia="Arial" w:hAnsi="Arial"/>
          <w:sz w:val="17"/>
          <w:szCs w:val="17"/>
          <w:color w:val="474C55"/>
        </w:rPr>
        <w:t>Oversees the effectiveness of our compliance and ethics programs</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4"/>
        </w:numPr>
        <w:rPr>
          <w:rFonts w:ascii="Arial" w:cs="Arial" w:eastAsia="Arial" w:hAnsi="Arial"/>
          <w:sz w:val="17"/>
          <w:szCs w:val="17"/>
          <w:color w:val="474C55"/>
        </w:rPr>
      </w:pPr>
      <w:r>
        <w:rPr>
          <w:rFonts w:ascii="Arial" w:cs="Arial" w:eastAsia="Arial" w:hAnsi="Arial"/>
          <w:sz w:val="17"/>
          <w:szCs w:val="17"/>
          <w:color w:val="474C55"/>
        </w:rPr>
        <w:t>Oversees our compliance with legal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8255" cy="15728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1572895"/>
                    </a:xfrm>
                    <a:prstGeom prst="rect">
                      <a:avLst/>
                    </a:prstGeom>
                    <a:noFill/>
                  </pic:spPr>
                </pic:pic>
              </a:graphicData>
            </a:graphic>
          </wp:anchor>
        </w:drawing>
        <w:drawing>
          <wp:anchor simplePos="0" relativeHeight="251657728" behindDoc="1" locked="0" layoutInCell="0" allowOverlap="1">
            <wp:simplePos x="0" y="0"/>
            <wp:positionH relativeFrom="column">
              <wp:posOffset>7142480</wp:posOffset>
            </wp:positionH>
            <wp:positionV relativeFrom="paragraph">
              <wp:posOffset>125095</wp:posOffset>
            </wp:positionV>
            <wp:extent cx="8255" cy="15728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1572895"/>
                    </a:xfrm>
                    <a:prstGeom prst="rect">
                      <a:avLst/>
                    </a:prstGeom>
                    <a:noFill/>
                  </pic:spPr>
                </pic:pic>
              </a:graphicData>
            </a:graphic>
          </wp:anchor>
        </w:drawing>
      </w:r>
    </w:p>
    <w:p>
      <w:pPr>
        <w:spacing w:after="0" w:line="348" w:lineRule="exact"/>
        <w:rPr>
          <w:sz w:val="20"/>
          <w:szCs w:val="20"/>
          <w:color w:val="auto"/>
        </w:rPr>
      </w:pPr>
    </w:p>
    <w:p>
      <w:pPr>
        <w:ind w:left="220"/>
        <w:spacing w:after="0"/>
        <w:rPr>
          <w:sz w:val="20"/>
          <w:szCs w:val="20"/>
          <w:color w:val="auto"/>
        </w:rPr>
      </w:pPr>
      <w:r>
        <w:rPr>
          <w:rFonts w:ascii="Arial" w:cs="Arial" w:eastAsia="Arial" w:hAnsi="Arial"/>
          <w:sz w:val="22"/>
          <w:szCs w:val="22"/>
          <w:color w:val="007DB6"/>
        </w:rPr>
        <w:t>Executive</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color w:val="474C55"/>
        </w:rPr>
        <w:t>Membership: Mr. Daniels, Mr. Drummond, Mr. Harton (Chair), Ms. Mann, Mr. Richlovsky, Mr. Shaver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474C55"/>
        </w:rPr>
        <w:t>2024 Meetings: 4</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474C55"/>
        </w:rPr>
        <w:t>Key Responsibilities:</w:t>
      </w:r>
    </w:p>
    <w:p>
      <w:pPr>
        <w:spacing w:after="0" w:line="117" w:lineRule="exact"/>
        <w:rPr>
          <w:sz w:val="20"/>
          <w:szCs w:val="20"/>
          <w:color w:val="auto"/>
        </w:rPr>
      </w:pPr>
    </w:p>
    <w:p>
      <w:pPr>
        <w:ind w:left="820" w:hanging="307"/>
        <w:spacing w:after="0" w:line="261" w:lineRule="auto"/>
        <w:tabs>
          <w:tab w:leader="none" w:pos="807" w:val="left"/>
        </w:tabs>
        <w:numPr>
          <w:ilvl w:val="0"/>
          <w:numId w:val="15"/>
        </w:numPr>
        <w:rPr>
          <w:rFonts w:ascii="Arial" w:cs="Arial" w:eastAsia="Arial" w:hAnsi="Arial"/>
          <w:sz w:val="17"/>
          <w:szCs w:val="17"/>
          <w:color w:val="474C55"/>
        </w:rPr>
      </w:pPr>
      <w:r>
        <w:rPr>
          <w:rFonts w:ascii="Arial" w:cs="Arial" w:eastAsia="Arial" w:hAnsi="Arial"/>
          <w:sz w:val="17"/>
          <w:szCs w:val="17"/>
          <w:color w:val="474C55"/>
        </w:rPr>
        <w:t>To the extent permitted by applicable law, has the responsibility to exercise, during the intervals between meetings of the Board, any and all of the powers and authority of the Board in United Community’s management and affairs</w:t>
      </w:r>
    </w:p>
    <w:p>
      <w:pPr>
        <w:spacing w:after="0" w:line="25" w:lineRule="exact"/>
        <w:rPr>
          <w:rFonts w:ascii="Arial" w:cs="Arial" w:eastAsia="Arial" w:hAnsi="Arial"/>
          <w:sz w:val="17"/>
          <w:szCs w:val="17"/>
          <w:color w:val="474C55"/>
        </w:rPr>
      </w:pPr>
    </w:p>
    <w:p>
      <w:pPr>
        <w:ind w:left="820" w:right="320" w:hanging="307"/>
        <w:spacing w:after="0" w:line="261" w:lineRule="auto"/>
        <w:tabs>
          <w:tab w:leader="none" w:pos="809" w:val="left"/>
        </w:tabs>
        <w:numPr>
          <w:ilvl w:val="0"/>
          <w:numId w:val="15"/>
        </w:numPr>
        <w:rPr>
          <w:rFonts w:ascii="Arial" w:cs="Arial" w:eastAsia="Arial" w:hAnsi="Arial"/>
          <w:sz w:val="17"/>
          <w:szCs w:val="17"/>
          <w:color w:val="474C55"/>
        </w:rPr>
      </w:pPr>
      <w:r>
        <w:rPr>
          <w:rFonts w:ascii="Arial" w:cs="Arial" w:eastAsia="Arial" w:hAnsi="Arial"/>
          <w:sz w:val="17"/>
          <w:szCs w:val="17"/>
          <w:color w:val="474C55"/>
        </w:rPr>
        <w:t>From time to time, our CEO or executive team consult the Executive Committee regarding strategic or other matters where input of Board members may be valuable outside of regularly scheduled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142480" cy="23596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2480" cy="2359660"/>
                    </a:xfrm>
                    <a:prstGeom prst="rect">
                      <a:avLst/>
                    </a:prstGeom>
                    <a:noFill/>
                  </pic:spPr>
                </pic:pic>
              </a:graphicData>
            </a:graphic>
          </wp:anchor>
        </w:drawing>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22"/>
          <w:szCs w:val="22"/>
          <w:color w:val="007DB6"/>
        </w:rPr>
        <w:t>Nominating and Corporate Governance</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7"/>
          <w:szCs w:val="17"/>
          <w:color w:val="474C55"/>
        </w:rPr>
        <w:t>Membership: Ms. Bazante, Dr. Clements, Ms. Davis, Mr. Drummond (Chair), Mr. Richlovsky</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color w:val="474C55"/>
        </w:rPr>
        <w:t>2024 Meetings: 4</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color w:val="474C55"/>
        </w:rPr>
        <w:t>Key responsibilities:</w:t>
      </w:r>
    </w:p>
    <w:p>
      <w:pPr>
        <w:spacing w:after="0" w:line="67" w:lineRule="exact"/>
        <w:rPr>
          <w:sz w:val="20"/>
          <w:szCs w:val="20"/>
          <w:color w:val="auto"/>
        </w:rPr>
      </w:pPr>
    </w:p>
    <w:p>
      <w:pPr>
        <w:ind w:left="800" w:hanging="299"/>
        <w:spacing w:after="0"/>
        <w:tabs>
          <w:tab w:leader="none" w:pos="800" w:val="left"/>
        </w:tabs>
        <w:numPr>
          <w:ilvl w:val="0"/>
          <w:numId w:val="16"/>
        </w:numPr>
        <w:rPr>
          <w:rFonts w:ascii="Arial" w:cs="Arial" w:eastAsia="Arial" w:hAnsi="Arial"/>
          <w:sz w:val="17"/>
          <w:szCs w:val="17"/>
          <w:color w:val="474C55"/>
        </w:rPr>
      </w:pPr>
      <w:r>
        <w:rPr>
          <w:rFonts w:ascii="Arial" w:cs="Arial" w:eastAsia="Arial" w:hAnsi="Arial"/>
          <w:sz w:val="17"/>
          <w:szCs w:val="17"/>
          <w:color w:val="474C55"/>
        </w:rPr>
        <w:t>Reviews and recommends, as appropriate, changes to the size, composition, and operation of the Board and its committees</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6"/>
        </w:numPr>
        <w:rPr>
          <w:rFonts w:ascii="Arial" w:cs="Arial" w:eastAsia="Arial" w:hAnsi="Arial"/>
          <w:sz w:val="17"/>
          <w:szCs w:val="17"/>
          <w:color w:val="474C55"/>
        </w:rPr>
      </w:pPr>
      <w:r>
        <w:rPr>
          <w:rFonts w:ascii="Arial" w:cs="Arial" w:eastAsia="Arial" w:hAnsi="Arial"/>
          <w:sz w:val="17"/>
          <w:szCs w:val="17"/>
          <w:color w:val="474C55"/>
        </w:rPr>
        <w:t>Develops and recommends criteria for selecting new directors</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6"/>
        </w:numPr>
        <w:rPr>
          <w:rFonts w:ascii="Arial" w:cs="Arial" w:eastAsia="Arial" w:hAnsi="Arial"/>
          <w:sz w:val="17"/>
          <w:szCs w:val="17"/>
          <w:color w:val="474C55"/>
        </w:rPr>
      </w:pPr>
      <w:r>
        <w:rPr>
          <w:rFonts w:ascii="Arial" w:cs="Arial" w:eastAsia="Arial" w:hAnsi="Arial"/>
          <w:sz w:val="17"/>
          <w:szCs w:val="17"/>
          <w:color w:val="474C55"/>
        </w:rPr>
        <w:t>Identifies, screens, and recommends to our Board individuals qualified to serve on the Board</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6"/>
        </w:numPr>
        <w:rPr>
          <w:rFonts w:ascii="Arial" w:cs="Arial" w:eastAsia="Arial" w:hAnsi="Arial"/>
          <w:sz w:val="17"/>
          <w:szCs w:val="17"/>
          <w:color w:val="474C55"/>
        </w:rPr>
      </w:pPr>
      <w:r>
        <w:rPr>
          <w:rFonts w:ascii="Arial" w:cs="Arial" w:eastAsia="Arial" w:hAnsi="Arial"/>
          <w:sz w:val="17"/>
          <w:szCs w:val="17"/>
          <w:color w:val="474C55"/>
        </w:rPr>
        <w:t>Recommends Board committee structure and membership, including the recommendation of a Lead Director</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6"/>
        </w:numPr>
        <w:rPr>
          <w:rFonts w:ascii="Arial" w:cs="Arial" w:eastAsia="Arial" w:hAnsi="Arial"/>
          <w:sz w:val="17"/>
          <w:szCs w:val="17"/>
          <w:color w:val="474C55"/>
        </w:rPr>
      </w:pPr>
      <w:r>
        <w:rPr>
          <w:rFonts w:ascii="Arial" w:cs="Arial" w:eastAsia="Arial" w:hAnsi="Arial"/>
          <w:sz w:val="17"/>
          <w:szCs w:val="17"/>
          <w:color w:val="474C55"/>
        </w:rPr>
        <w:t>Assists the Board with succession planning</w:t>
      </w:r>
    </w:p>
    <w:p>
      <w:pPr>
        <w:spacing w:after="0" w:line="67" w:lineRule="exact"/>
        <w:rPr>
          <w:rFonts w:ascii="Arial" w:cs="Arial" w:eastAsia="Arial" w:hAnsi="Arial"/>
          <w:sz w:val="17"/>
          <w:szCs w:val="17"/>
          <w:color w:val="474C55"/>
        </w:rPr>
      </w:pPr>
    </w:p>
    <w:p>
      <w:pPr>
        <w:ind w:left="800" w:right="460" w:hanging="299"/>
        <w:spacing w:after="0" w:line="261" w:lineRule="auto"/>
        <w:tabs>
          <w:tab w:leader="none" w:pos="790" w:val="left"/>
        </w:tabs>
        <w:numPr>
          <w:ilvl w:val="0"/>
          <w:numId w:val="16"/>
        </w:numPr>
        <w:rPr>
          <w:rFonts w:ascii="Arial" w:cs="Arial" w:eastAsia="Arial" w:hAnsi="Arial"/>
          <w:sz w:val="17"/>
          <w:szCs w:val="17"/>
          <w:color w:val="474C55"/>
        </w:rPr>
      </w:pPr>
      <w:r>
        <w:rPr>
          <w:rFonts w:ascii="Arial" w:cs="Arial" w:eastAsia="Arial" w:hAnsi="Arial"/>
          <w:sz w:val="17"/>
          <w:szCs w:val="17"/>
          <w:color w:val="474C55"/>
        </w:rPr>
        <w:t>Develops, recommends, and annually assesses corporate governance policies, practices, and training requirements and guidelines and makes recommendations for changes to the Board</w:t>
      </w:r>
    </w:p>
    <w:p>
      <w:pPr>
        <w:spacing w:after="0" w:line="25" w:lineRule="exact"/>
        <w:rPr>
          <w:rFonts w:ascii="Arial" w:cs="Arial" w:eastAsia="Arial" w:hAnsi="Arial"/>
          <w:sz w:val="17"/>
          <w:szCs w:val="17"/>
          <w:color w:val="474C55"/>
        </w:rPr>
      </w:pPr>
    </w:p>
    <w:p>
      <w:pPr>
        <w:ind w:left="800" w:hanging="299"/>
        <w:spacing w:after="0"/>
        <w:tabs>
          <w:tab w:leader="none" w:pos="800" w:val="left"/>
        </w:tabs>
        <w:numPr>
          <w:ilvl w:val="0"/>
          <w:numId w:val="16"/>
        </w:numPr>
        <w:rPr>
          <w:rFonts w:ascii="Arial" w:cs="Arial" w:eastAsia="Arial" w:hAnsi="Arial"/>
          <w:sz w:val="17"/>
          <w:szCs w:val="17"/>
          <w:color w:val="474C55"/>
        </w:rPr>
      </w:pPr>
      <w:r>
        <w:rPr>
          <w:rFonts w:ascii="Arial" w:cs="Arial" w:eastAsia="Arial" w:hAnsi="Arial"/>
          <w:sz w:val="17"/>
          <w:szCs w:val="17"/>
          <w:color w:val="474C55"/>
        </w:rPr>
        <w:t>Oversees the process governing annual Board, committee, and Board self-assessments</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6"/>
        </w:numPr>
        <w:rPr>
          <w:rFonts w:ascii="Arial" w:cs="Arial" w:eastAsia="Arial" w:hAnsi="Arial"/>
          <w:sz w:val="17"/>
          <w:szCs w:val="17"/>
          <w:color w:val="474C55"/>
        </w:rPr>
      </w:pPr>
      <w:r>
        <w:rPr>
          <w:rFonts w:ascii="Arial" w:cs="Arial" w:eastAsia="Arial" w:hAnsi="Arial"/>
          <w:sz w:val="17"/>
          <w:szCs w:val="17"/>
          <w:color w:val="474C55"/>
        </w:rPr>
        <w:t>Oversees share ownership guidelines for Board members</w:t>
      </w:r>
    </w:p>
    <w:p>
      <w:pPr>
        <w:spacing w:after="0" w:line="200" w:lineRule="exact"/>
        <w:rPr>
          <w:sz w:val="20"/>
          <w:szCs w:val="20"/>
          <w:color w:val="auto"/>
        </w:rPr>
      </w:pPr>
    </w:p>
    <w:p>
      <w:pPr>
        <w:spacing w:after="0" w:line="355"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26" w:name="page27"/>
    <w:bookmarkEnd w:id="26"/>
    <w:p>
      <w:pPr>
        <w:ind w:left="220"/>
        <w:spacing w:after="0"/>
        <w:rPr>
          <w:sz w:val="20"/>
          <w:szCs w:val="20"/>
          <w:color w:val="auto"/>
        </w:rPr>
      </w:pPr>
      <w:r>
        <w:rPr>
          <w:rFonts w:ascii="Arial" w:cs="Arial" w:eastAsia="Arial" w:hAnsi="Arial"/>
          <w:sz w:val="22"/>
          <w:szCs w:val="22"/>
          <w:color w:val="007DB6"/>
        </w:rPr>
        <w:drawing>
          <wp:anchor simplePos="0" relativeHeight="251657728" behindDoc="1" locked="0" layoutInCell="0" allowOverlap="1">
            <wp:simplePos x="0" y="0"/>
            <wp:positionH relativeFrom="page">
              <wp:posOffset>203200</wp:posOffset>
            </wp:positionH>
            <wp:positionV relativeFrom="page">
              <wp:posOffset>525780</wp:posOffset>
            </wp:positionV>
            <wp:extent cx="7142480" cy="39960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2480" cy="3996055"/>
                    </a:xfrm>
                    <a:prstGeom prst="rect">
                      <a:avLst/>
                    </a:prstGeom>
                    <a:noFill/>
                  </pic:spPr>
                </pic:pic>
              </a:graphicData>
            </a:graphic>
          </wp:anchor>
        </w:drawing>
        <w:t>Risk</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color w:val="474C55"/>
        </w:rPr>
        <w:t>Membership: Mr. Bell, Mr. Daniels (Chair), Ms. Davis, Mr. Drummond, Mr. James, Mr. Wilkins</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7"/>
          <w:szCs w:val="17"/>
          <w:color w:val="474C55"/>
        </w:rPr>
        <w:t>2024 Meetings: 4</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7"/>
          <w:szCs w:val="17"/>
          <w:color w:val="474C55"/>
        </w:rPr>
        <w:t>Key responsibilities: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color w:val="474C55"/>
        </w:rPr>
        <w:t>•      Assists the Board in its general oversight of the Company’s risk management processes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color w:val="474C55"/>
        </w:rPr>
        <w:t>•      Responsible for an integrated effort to identify, assess, and manage or mitigate material risks facing the Company</w:t>
      </w:r>
    </w:p>
    <w:p>
      <w:pPr>
        <w:spacing w:after="0" w:line="67" w:lineRule="exact"/>
        <w:rPr>
          <w:sz w:val="20"/>
          <w:szCs w:val="20"/>
          <w:color w:val="auto"/>
        </w:rPr>
      </w:pPr>
    </w:p>
    <w:p>
      <w:pPr>
        <w:ind w:left="520" w:right="20"/>
        <w:spacing w:after="0" w:line="322" w:lineRule="auto"/>
        <w:rPr>
          <w:sz w:val="20"/>
          <w:szCs w:val="20"/>
          <w:color w:val="auto"/>
        </w:rPr>
      </w:pPr>
      <w:r>
        <w:rPr>
          <w:rFonts w:ascii="Arial" w:cs="Arial" w:eastAsia="Arial" w:hAnsi="Arial"/>
          <w:sz w:val="17"/>
          <w:szCs w:val="17"/>
          <w:color w:val="474C55"/>
        </w:rPr>
        <w:t>•      Monitors and reviews United Community’s enterprise risk management processes, strategies, policies, and practices to identify emerging risks •      Evaluates the adequacy of United Community’s risk management functions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474C55"/>
        </w:rPr>
        <w:t>•      Makes recommendations to management and the Board in order to effectively manage risks</w:t>
      </w:r>
    </w:p>
    <w:p>
      <w:pPr>
        <w:spacing w:after="0" w:line="381" w:lineRule="exact"/>
        <w:rPr>
          <w:sz w:val="20"/>
          <w:szCs w:val="20"/>
          <w:color w:val="auto"/>
        </w:rPr>
      </w:pPr>
    </w:p>
    <w:p>
      <w:pPr>
        <w:ind w:left="200"/>
        <w:spacing w:after="0"/>
        <w:rPr>
          <w:sz w:val="20"/>
          <w:szCs w:val="20"/>
          <w:color w:val="auto"/>
        </w:rPr>
      </w:pPr>
      <w:r>
        <w:rPr>
          <w:rFonts w:ascii="Arial" w:cs="Arial" w:eastAsia="Arial" w:hAnsi="Arial"/>
          <w:sz w:val="22"/>
          <w:szCs w:val="22"/>
          <w:color w:val="007DB6"/>
        </w:rPr>
        <w:t>Talent and Compensation</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7"/>
          <w:szCs w:val="17"/>
          <w:color w:val="474C55"/>
        </w:rPr>
        <w:t>Membership: Ms. Bazante, Dr. Clements, Ms. Mann (Chair), Mr. Shaver, Mr. Wallis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color w:val="474C55"/>
        </w:rPr>
        <w:t>2024 Meetings: 6</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color w:val="474C55"/>
        </w:rPr>
        <w:t>Key Responsibilities:</w:t>
      </w:r>
    </w:p>
    <w:p>
      <w:pPr>
        <w:spacing w:after="0" w:line="67" w:lineRule="exact"/>
        <w:rPr>
          <w:sz w:val="20"/>
          <w:szCs w:val="20"/>
          <w:color w:val="auto"/>
        </w:rPr>
      </w:pPr>
    </w:p>
    <w:p>
      <w:pPr>
        <w:ind w:left="800" w:hanging="299"/>
        <w:spacing w:after="0"/>
        <w:tabs>
          <w:tab w:leader="none" w:pos="800" w:val="left"/>
        </w:tabs>
        <w:numPr>
          <w:ilvl w:val="0"/>
          <w:numId w:val="17"/>
        </w:numPr>
        <w:rPr>
          <w:rFonts w:ascii="Arial" w:cs="Arial" w:eastAsia="Arial" w:hAnsi="Arial"/>
          <w:sz w:val="17"/>
          <w:szCs w:val="17"/>
          <w:color w:val="474C55"/>
        </w:rPr>
      </w:pPr>
      <w:r>
        <w:rPr>
          <w:rFonts w:ascii="Arial" w:cs="Arial" w:eastAsia="Arial" w:hAnsi="Arial"/>
          <w:sz w:val="17"/>
          <w:szCs w:val="17"/>
          <w:color w:val="474C55"/>
        </w:rPr>
        <w:t>Reviews and approves corporate goals and objectives relevant to compensation of the Company’s executive officers</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7"/>
        </w:numPr>
        <w:rPr>
          <w:rFonts w:ascii="Arial" w:cs="Arial" w:eastAsia="Arial" w:hAnsi="Arial"/>
          <w:sz w:val="17"/>
          <w:szCs w:val="17"/>
          <w:color w:val="474C55"/>
        </w:rPr>
      </w:pPr>
      <w:r>
        <w:rPr>
          <w:rFonts w:ascii="Arial" w:cs="Arial" w:eastAsia="Arial" w:hAnsi="Arial"/>
          <w:sz w:val="17"/>
          <w:szCs w:val="17"/>
          <w:color w:val="474C55"/>
        </w:rPr>
        <w:t>Determines executive officer compensation and recommends director compensation for Board approval</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7"/>
        </w:numPr>
        <w:rPr>
          <w:rFonts w:ascii="Arial" w:cs="Arial" w:eastAsia="Arial" w:hAnsi="Arial"/>
          <w:sz w:val="17"/>
          <w:szCs w:val="17"/>
          <w:color w:val="474C55"/>
        </w:rPr>
      </w:pPr>
      <w:r>
        <w:rPr>
          <w:rFonts w:ascii="Arial" w:cs="Arial" w:eastAsia="Arial" w:hAnsi="Arial"/>
          <w:sz w:val="17"/>
          <w:szCs w:val="17"/>
          <w:color w:val="474C55"/>
        </w:rPr>
        <w:t>Oversees overall compensation philosophy and principles</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7"/>
        </w:numPr>
        <w:rPr>
          <w:rFonts w:ascii="Arial" w:cs="Arial" w:eastAsia="Arial" w:hAnsi="Arial"/>
          <w:sz w:val="17"/>
          <w:szCs w:val="17"/>
          <w:color w:val="474C55"/>
        </w:rPr>
      </w:pPr>
      <w:r>
        <w:rPr>
          <w:rFonts w:ascii="Arial" w:cs="Arial" w:eastAsia="Arial" w:hAnsi="Arial"/>
          <w:sz w:val="17"/>
          <w:szCs w:val="17"/>
          <w:color w:val="474C55"/>
        </w:rPr>
        <w:t>Establishes short-term and long-term incentive compensation programs for executive officers and approves all equity awards</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7"/>
        </w:numPr>
        <w:rPr>
          <w:rFonts w:ascii="Arial" w:cs="Arial" w:eastAsia="Arial" w:hAnsi="Arial"/>
          <w:sz w:val="17"/>
          <w:szCs w:val="17"/>
          <w:color w:val="474C55"/>
        </w:rPr>
      </w:pPr>
      <w:r>
        <w:rPr>
          <w:rFonts w:ascii="Arial" w:cs="Arial" w:eastAsia="Arial" w:hAnsi="Arial"/>
          <w:sz w:val="17"/>
          <w:szCs w:val="17"/>
          <w:color w:val="474C55"/>
        </w:rPr>
        <w:t>Oversees share ownership guidelines for executive officers</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7"/>
        </w:numPr>
        <w:rPr>
          <w:rFonts w:ascii="Arial" w:cs="Arial" w:eastAsia="Arial" w:hAnsi="Arial"/>
          <w:sz w:val="17"/>
          <w:szCs w:val="17"/>
          <w:color w:val="474C55"/>
        </w:rPr>
      </w:pPr>
      <w:r>
        <w:rPr>
          <w:rFonts w:ascii="Arial" w:cs="Arial" w:eastAsia="Arial" w:hAnsi="Arial"/>
          <w:sz w:val="17"/>
          <w:szCs w:val="17"/>
          <w:color w:val="474C55"/>
        </w:rPr>
        <w:t>Oversees the performance evaluation process for executive officers</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7"/>
        </w:numPr>
        <w:rPr>
          <w:rFonts w:ascii="Arial" w:cs="Arial" w:eastAsia="Arial" w:hAnsi="Arial"/>
          <w:sz w:val="17"/>
          <w:szCs w:val="17"/>
          <w:color w:val="474C55"/>
        </w:rPr>
      </w:pPr>
      <w:r>
        <w:rPr>
          <w:rFonts w:ascii="Arial" w:cs="Arial" w:eastAsia="Arial" w:hAnsi="Arial"/>
          <w:sz w:val="17"/>
          <w:szCs w:val="17"/>
          <w:color w:val="474C55"/>
        </w:rPr>
        <w:t>Selects and determines fees and scope of work of its compensation consultant</w:t>
      </w:r>
    </w:p>
    <w:p>
      <w:pPr>
        <w:spacing w:after="0" w:line="67" w:lineRule="exact"/>
        <w:rPr>
          <w:rFonts w:ascii="Arial" w:cs="Arial" w:eastAsia="Arial" w:hAnsi="Arial"/>
          <w:sz w:val="17"/>
          <w:szCs w:val="17"/>
          <w:color w:val="474C55"/>
        </w:rPr>
      </w:pPr>
    </w:p>
    <w:p>
      <w:pPr>
        <w:ind w:left="800" w:hanging="299"/>
        <w:spacing w:after="0"/>
        <w:tabs>
          <w:tab w:leader="none" w:pos="800" w:val="left"/>
        </w:tabs>
        <w:numPr>
          <w:ilvl w:val="0"/>
          <w:numId w:val="17"/>
        </w:numPr>
        <w:rPr>
          <w:rFonts w:ascii="Arial" w:cs="Arial" w:eastAsia="Arial" w:hAnsi="Arial"/>
          <w:sz w:val="17"/>
          <w:szCs w:val="17"/>
          <w:color w:val="474C55"/>
        </w:rPr>
      </w:pPr>
      <w:r>
        <w:rPr>
          <w:rFonts w:ascii="Arial" w:cs="Arial" w:eastAsia="Arial" w:hAnsi="Arial"/>
          <w:sz w:val="17"/>
          <w:szCs w:val="17"/>
          <w:color w:val="474C55"/>
        </w:rPr>
        <w:t>Oversees and evaluates the independence of its compensation consultant and other advisors</w:t>
      </w: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b w:val="1"/>
          <w:bCs w:val="1"/>
          <w:color w:val="007DB6"/>
        </w:rPr>
        <w:t>Board and Committee Meeting Attendance</w:t>
      </w:r>
    </w:p>
    <w:p>
      <w:pPr>
        <w:spacing w:after="0" w:line="198" w:lineRule="exact"/>
        <w:rPr>
          <w:sz w:val="20"/>
          <w:szCs w:val="20"/>
          <w:color w:val="auto"/>
        </w:rPr>
      </w:pPr>
    </w:p>
    <w:p>
      <w:pPr>
        <w:jc w:val="both"/>
        <w:ind w:right="660"/>
        <w:spacing w:after="0"/>
        <w:rPr>
          <w:sz w:val="20"/>
          <w:szCs w:val="20"/>
          <w:color w:val="auto"/>
        </w:rPr>
      </w:pPr>
      <w:r>
        <w:rPr>
          <w:rFonts w:ascii="Arial" w:cs="Arial" w:eastAsia="Arial" w:hAnsi="Arial"/>
          <w:sz w:val="17"/>
          <w:szCs w:val="17"/>
          <w:color w:val="474C55"/>
        </w:rPr>
        <w:t>Directors are expected to attend our annual meeting of shareholders, Board meetings, and meetings of Board committees on which they serve. Attendance may be by telephone or video conference. During 2024, our Board met seven times. The Company’s independent directors meet in executive session in conjunction with each regular Board meeting. Mr. Richlovsky, as Lead Director, presides over all executive sessions of the independent directors.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474C55"/>
        </w:rPr>
        <w:t>During 2024, each of our incumbent directors attended at least 75% of the aggregate meetings of our Board and the committees on which they served.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474C55"/>
        </w:rPr>
        <w:t>In addition, each of our directors serving at the time attended our 2024 Annual Meeting of Shareholders.</w:t>
      </w:r>
    </w:p>
    <w:p>
      <w:pPr>
        <w:spacing w:after="0" w:line="164" w:lineRule="exact"/>
        <w:rPr>
          <w:sz w:val="20"/>
          <w:szCs w:val="20"/>
          <w:color w:val="auto"/>
        </w:rPr>
      </w:pPr>
    </w:p>
    <w:p>
      <w:pPr>
        <w:ind w:right="500"/>
        <w:spacing w:after="0" w:line="246" w:lineRule="auto"/>
        <w:rPr>
          <w:sz w:val="20"/>
          <w:szCs w:val="20"/>
          <w:color w:val="auto"/>
        </w:rPr>
      </w:pPr>
      <w:r>
        <w:rPr>
          <w:rFonts w:ascii="Arial" w:cs="Arial" w:eastAsia="Arial" w:hAnsi="Arial"/>
          <w:sz w:val="17"/>
          <w:szCs w:val="17"/>
          <w:color w:val="474C55"/>
        </w:rPr>
        <w:t>In addition to our regular meetings of the Board and Board committees, directors attend a Board retreat annually. Participants in the Board retreat engage in discussion of the Company’s strategic imperatives and benefit from outside speakers who present on emerging topics relevant to the Company and the banking industry.</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27" w:name="page28"/>
    <w:bookmarkEnd w:id="27"/>
    <w:p>
      <w:pPr>
        <w:spacing w:after="0"/>
        <w:rPr>
          <w:sz w:val="20"/>
          <w:szCs w:val="20"/>
          <w:color w:val="auto"/>
        </w:rPr>
      </w:pPr>
      <w:r>
        <w:rPr>
          <w:rFonts w:ascii="Arial" w:cs="Arial" w:eastAsia="Arial" w:hAnsi="Arial"/>
          <w:sz w:val="25"/>
          <w:szCs w:val="25"/>
          <w:b w:val="1"/>
          <w:bCs w:val="1"/>
          <w:color w:val="017AB5"/>
        </w:rPr>
        <w:t>United Community Growth Roadmap</w:t>
      </w:r>
    </w:p>
    <w:p>
      <w:pPr>
        <w:spacing w:after="0" w:line="198" w:lineRule="exact"/>
        <w:rPr>
          <w:sz w:val="20"/>
          <w:szCs w:val="20"/>
          <w:color w:val="auto"/>
        </w:rPr>
      </w:pPr>
    </w:p>
    <w:p>
      <w:pPr>
        <w:ind w:right="360"/>
        <w:spacing w:after="0" w:line="261" w:lineRule="auto"/>
        <w:rPr>
          <w:sz w:val="20"/>
          <w:szCs w:val="20"/>
          <w:color w:val="auto"/>
        </w:rPr>
      </w:pPr>
      <w:r>
        <w:rPr>
          <w:rFonts w:ascii="Arial" w:cs="Arial" w:eastAsia="Arial" w:hAnsi="Arial"/>
          <w:sz w:val="17"/>
          <w:szCs w:val="17"/>
          <w:color w:val="444A54"/>
        </w:rPr>
        <w:t>Our Board sets the strategic direction of the Company and sets the cultural “tone at the top.” Our vision, purpose, and values drive our strategy and serve as the foundation of our strong culture.</w:t>
      </w:r>
    </w:p>
    <w:p>
      <w:pPr>
        <w:spacing w:after="0" w:line="13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007DB6"/>
        </w:rPr>
        <w:t>Vision</w:t>
      </w:r>
      <w:r>
        <w:rPr>
          <w:sz w:val="20"/>
          <w:szCs w:val="20"/>
          <w:color w:val="auto"/>
        </w:rPr>
        <w:tab/>
      </w:r>
      <w:r>
        <w:rPr>
          <w:rFonts w:ascii="Arial" w:cs="Arial" w:eastAsia="Arial" w:hAnsi="Arial"/>
          <w:sz w:val="17"/>
          <w:szCs w:val="17"/>
          <w:color w:val="474C55"/>
        </w:rPr>
        <w:t xml:space="preserve">We want to be a </w:t>
      </w:r>
      <w:r>
        <w:rPr>
          <w:rFonts w:ascii="Arial" w:cs="Arial" w:eastAsia="Arial" w:hAnsi="Arial"/>
          <w:sz w:val="17"/>
          <w:szCs w:val="17"/>
          <w:b w:val="1"/>
          <w:bCs w:val="1"/>
          <w:color w:val="474C55"/>
        </w:rPr>
        <w:t>legendary bank</w:t>
      </w:r>
      <w:r>
        <w:rPr>
          <w:rFonts w:ascii="Arial" w:cs="Arial" w:eastAsia="Arial" w:hAnsi="Arial"/>
          <w:sz w:val="17"/>
          <w:szCs w:val="17"/>
          <w:color w:val="474C55"/>
        </w:rPr>
        <w:t>.</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7"/>
          <w:szCs w:val="17"/>
          <w:color w:val="474C55"/>
        </w:rPr>
        <w:t>Built on service, driven by performance.</w:t>
      </w:r>
    </w:p>
    <w:p>
      <w:pPr>
        <w:spacing w:after="0" w:line="16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007DB6"/>
        </w:rPr>
        <w:t>Purpose</w:t>
      </w:r>
      <w:r>
        <w:rPr>
          <w:sz w:val="20"/>
          <w:szCs w:val="20"/>
          <w:color w:val="auto"/>
        </w:rPr>
        <w:tab/>
      </w:r>
      <w:r>
        <w:rPr>
          <w:rFonts w:ascii="Arial" w:cs="Arial" w:eastAsia="Arial" w:hAnsi="Arial"/>
          <w:sz w:val="17"/>
          <w:szCs w:val="17"/>
          <w:color w:val="474C55"/>
        </w:rPr>
        <w:t xml:space="preserve">We build </w:t>
      </w:r>
      <w:r>
        <w:rPr>
          <w:rFonts w:ascii="Arial" w:cs="Arial" w:eastAsia="Arial" w:hAnsi="Arial"/>
          <w:sz w:val="17"/>
          <w:szCs w:val="17"/>
          <w:b w:val="1"/>
          <w:bCs w:val="1"/>
          <w:color w:val="474C55"/>
        </w:rPr>
        <w:t>communities</w:t>
      </w:r>
      <w:r>
        <w:rPr>
          <w:rFonts w:ascii="Arial" w:cs="Arial" w:eastAsia="Arial" w:hAnsi="Arial"/>
          <w:sz w:val="17"/>
          <w:szCs w:val="17"/>
          <w:color w:val="474C55"/>
        </w:rPr>
        <w:t>.</w:t>
      </w:r>
    </w:p>
    <w:p>
      <w:pPr>
        <w:spacing w:after="0" w:line="8" w:lineRule="exact"/>
        <w:rPr>
          <w:sz w:val="20"/>
          <w:szCs w:val="20"/>
          <w:color w:val="auto"/>
        </w:rPr>
      </w:pPr>
    </w:p>
    <w:p>
      <w:pPr>
        <w:ind w:left="1020" w:right="80"/>
        <w:spacing w:after="0" w:line="272" w:lineRule="auto"/>
        <w:rPr>
          <w:sz w:val="20"/>
          <w:szCs w:val="20"/>
          <w:color w:val="auto"/>
        </w:rPr>
      </w:pPr>
      <w:r>
        <w:rPr>
          <w:rFonts w:ascii="Arial" w:cs="Arial" w:eastAsia="Arial" w:hAnsi="Arial"/>
          <w:sz w:val="16"/>
          <w:szCs w:val="16"/>
          <w:color w:val="474C55"/>
        </w:rPr>
        <w:t>We help customers realize their financial goals, expand their businesses, and plan for their futures. We know that financial health leads to happier lives. We use our skills to improve the financial health and well-being of our customers and ultimately our communities.</w:t>
      </w:r>
    </w:p>
    <w:p>
      <w:pPr>
        <w:spacing w:after="0" w:line="13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007DB6"/>
        </w:rPr>
        <w:t>Values</w:t>
      </w:r>
      <w:r>
        <w:rPr>
          <w:sz w:val="20"/>
          <w:szCs w:val="20"/>
          <w:color w:val="auto"/>
        </w:rPr>
        <w:tab/>
      </w:r>
      <w:r>
        <w:rPr>
          <w:rFonts w:ascii="Arial" w:cs="Arial" w:eastAsia="Arial" w:hAnsi="Arial"/>
          <w:sz w:val="17"/>
          <w:szCs w:val="17"/>
          <w:b w:val="1"/>
          <w:bCs w:val="1"/>
          <w:color w:val="474C55"/>
        </w:rPr>
        <w:t>Team</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7"/>
          <w:szCs w:val="17"/>
          <w:color w:val="474C55"/>
        </w:rPr>
        <w:t>We play to win together as a team.</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474C55"/>
        </w:rPr>
        <w:t>Truth</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7"/>
          <w:szCs w:val="17"/>
          <w:color w:val="474C55"/>
        </w:rPr>
        <w:t>We see things as they are, not as we want them to be.</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474C55"/>
        </w:rPr>
        <w:t>Trust</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7"/>
          <w:szCs w:val="17"/>
          <w:color w:val="474C55"/>
        </w:rPr>
        <w:t>We trust in people.</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474C55"/>
        </w:rPr>
        <w:t>Caring</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7"/>
          <w:szCs w:val="17"/>
          <w:color w:val="474C55"/>
        </w:rPr>
        <w:t>Golden Rule of Banking</w:t>
      </w:r>
    </w:p>
    <w:p>
      <w:pPr>
        <w:spacing w:after="0" w:line="164" w:lineRule="exact"/>
        <w:rPr>
          <w:sz w:val="20"/>
          <w:szCs w:val="20"/>
          <w:color w:val="auto"/>
        </w:rPr>
      </w:pPr>
    </w:p>
    <w:p>
      <w:pPr>
        <w:ind w:right="500"/>
        <w:spacing w:after="0"/>
        <w:rPr>
          <w:sz w:val="20"/>
          <w:szCs w:val="20"/>
          <w:color w:val="auto"/>
        </w:rPr>
      </w:pPr>
      <w:r>
        <w:rPr>
          <w:rFonts w:ascii="Arial" w:cs="Arial" w:eastAsia="Arial" w:hAnsi="Arial"/>
          <w:sz w:val="17"/>
          <w:szCs w:val="17"/>
          <w:color w:val="444A54"/>
        </w:rPr>
        <w:t>Our vision, purpose, values, and strategic priorities, as approved by the Board, are incorporated into a “Growth Roadmap.” The Growth Roadmap serves as a guide to the Board, our leadership, and our employees throughout the Company to show what United Community stands for and the culture we embody. The Growth Roadmap is routinely emphasized and reinforced in Company-wide communications, team meetings, and other interactions among employees.</w:t>
      </w:r>
    </w:p>
    <w:p>
      <w:pPr>
        <w:spacing w:after="0" w:line="151" w:lineRule="exact"/>
        <w:rPr>
          <w:sz w:val="20"/>
          <w:szCs w:val="20"/>
          <w:color w:val="auto"/>
        </w:rPr>
      </w:pPr>
    </w:p>
    <w:p>
      <w:pPr>
        <w:spacing w:after="0"/>
        <w:rPr>
          <w:sz w:val="20"/>
          <w:szCs w:val="20"/>
          <w:color w:val="auto"/>
        </w:rPr>
      </w:pPr>
      <w:r>
        <w:rPr>
          <w:rFonts w:ascii="Arial" w:cs="Arial" w:eastAsia="Arial" w:hAnsi="Arial"/>
          <w:sz w:val="23"/>
          <w:szCs w:val="23"/>
          <w:b w:val="1"/>
          <w:bCs w:val="1"/>
          <w:color w:val="017AB5"/>
        </w:rPr>
        <w:t>Board Oversight of Risk</w:t>
      </w:r>
    </w:p>
    <w:p>
      <w:pPr>
        <w:spacing w:after="0" w:line="204"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444A54"/>
        </w:rPr>
        <w:t>The Board oversees the Company’s risk management. The Company developed a risk management structure to facilitate careful oversight of risk. The Board provides credible challenge and holds management accountable for maintaining an effective risk management program and for adhering to risk management expectations.</w:t>
      </w:r>
    </w:p>
    <w:p>
      <w:pPr>
        <w:spacing w:after="0" w:line="150" w:lineRule="exact"/>
        <w:rPr>
          <w:sz w:val="20"/>
          <w:szCs w:val="20"/>
          <w:color w:val="auto"/>
        </w:rPr>
      </w:pPr>
    </w:p>
    <w:p>
      <w:pPr>
        <w:ind w:right="300"/>
        <w:spacing w:after="0"/>
        <w:rPr>
          <w:sz w:val="20"/>
          <w:szCs w:val="20"/>
          <w:color w:val="auto"/>
        </w:rPr>
      </w:pPr>
      <w:r>
        <w:rPr>
          <w:rFonts w:ascii="Arial" w:cs="Arial" w:eastAsia="Arial" w:hAnsi="Arial"/>
          <w:sz w:val="17"/>
          <w:szCs w:val="17"/>
          <w:color w:val="444A54"/>
        </w:rPr>
        <w:t>The Board (or the appropriate committee in the case of risks that are under the purview of a particular committee) receives and discusses reports prepared by United Community’s executive management, including the Chief Risk Officer, on areas of material risk to United Community. The Board uses these reports to understand the risk identification, risk management, and risk mitigation strategies being used by United Community and to oversee the implementation of the strategies.</w:t>
      </w:r>
    </w:p>
    <w:p>
      <w:pPr>
        <w:spacing w:after="0" w:line="156"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444A54"/>
        </w:rPr>
        <w:t>To further support the risk management function, United Community also has a Risk Committee comprised solely of independent directors. The Risk Committee assists the Board in its general oversight of the Company’s risk management processes and is responsible for an integrated effort to identify, assess, and manage or mitigate material risks facing the Company. The Risk Committee’s primary functions include monitoring and reviewing United Community’s enterprise risk management processes, strategies, policies, and practices to identify emerging risks, evaluate the adequacy of United Community’s risk management functions, and make recommendations to management and the Board to effectively manage risks.</w:t>
      </w:r>
    </w:p>
    <w:p>
      <w:pPr>
        <w:spacing w:after="0" w:line="145" w:lineRule="exact"/>
        <w:rPr>
          <w:sz w:val="20"/>
          <w:szCs w:val="20"/>
          <w:color w:val="auto"/>
        </w:rPr>
      </w:pPr>
    </w:p>
    <w:p>
      <w:pPr>
        <w:jc w:val="both"/>
        <w:ind w:right="540"/>
        <w:spacing w:after="0" w:line="246" w:lineRule="auto"/>
        <w:rPr>
          <w:sz w:val="20"/>
          <w:szCs w:val="20"/>
          <w:color w:val="auto"/>
        </w:rPr>
      </w:pPr>
      <w:r>
        <w:rPr>
          <w:rFonts w:ascii="Arial" w:cs="Arial" w:eastAsia="Arial" w:hAnsi="Arial"/>
          <w:sz w:val="17"/>
          <w:szCs w:val="17"/>
          <w:color w:val="444A54"/>
        </w:rPr>
        <w:t>United Community is committed to maintaining appropriate practices with respect to the security, availability, and confidentiality of the information entrusted to it by its customers and other stakeholders. In furtherance of that commitment, United Community continually works to strengthen its information technology infrastructure and enhance its cybersecurity and information security controls.</w:t>
      </w:r>
    </w:p>
    <w:p>
      <w:pPr>
        <w:spacing w:after="0" w:line="144" w:lineRule="exact"/>
        <w:rPr>
          <w:sz w:val="20"/>
          <w:szCs w:val="20"/>
          <w:color w:val="auto"/>
        </w:rPr>
      </w:pPr>
    </w:p>
    <w:p>
      <w:pPr>
        <w:spacing w:after="0"/>
        <w:rPr>
          <w:sz w:val="20"/>
          <w:szCs w:val="20"/>
          <w:color w:val="auto"/>
        </w:rPr>
      </w:pPr>
      <w:r>
        <w:rPr>
          <w:rFonts w:ascii="Arial" w:cs="Arial" w:eastAsia="Arial" w:hAnsi="Arial"/>
          <w:sz w:val="23"/>
          <w:szCs w:val="23"/>
          <w:b w:val="1"/>
          <w:bCs w:val="1"/>
          <w:color w:val="017AB5"/>
        </w:rPr>
        <w:t>Information Security and Cyber Awareness</w:t>
      </w:r>
    </w:p>
    <w:p>
      <w:pPr>
        <w:spacing w:after="0" w:line="204"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444A54"/>
        </w:rPr>
        <w:t>As part of its oversight responsibilities over Company risks and controls, the Risk Committee of the Board oversees United Community’s efforts to respond to increasingly challenging cyber and information security risks. At each quarterly meeting of the Risk Committee, United Community’s Chief Information Officer reports to the Risk Committee of the Board regarding security testing, training, audits, key cybersecurity metrics, and United Community’s efforts to identify, prepare for, prevent, and respond to critical threats. The Risk Committee receives regular updates on the maturity of United Community’s information security program, penetration testing results, infrastructure assessments, threat environment, security operations, operational events,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28" w:name="page29"/>
    <w:bookmarkEnd w:id="28"/>
    <w:p>
      <w:pPr>
        <w:ind w:right="800"/>
        <w:spacing w:after="0" w:line="261" w:lineRule="auto"/>
        <w:rPr>
          <w:sz w:val="20"/>
          <w:szCs w:val="20"/>
          <w:color w:val="auto"/>
        </w:rPr>
      </w:pPr>
      <w:r>
        <w:rPr>
          <w:rFonts w:ascii="Arial" w:cs="Arial" w:eastAsia="Arial" w:hAnsi="Arial"/>
          <w:sz w:val="17"/>
          <w:szCs w:val="17"/>
          <w:color w:val="444A54"/>
        </w:rPr>
        <w:t>vendor and supply chain security, and application/data security. On an annual basis, United Community’s Chief Information Officer presents a Cybersecurity Program Update to the Risk Committee of the Board.</w:t>
      </w:r>
    </w:p>
    <w:p>
      <w:pPr>
        <w:spacing w:after="0" w:line="138" w:lineRule="exact"/>
        <w:rPr>
          <w:sz w:val="20"/>
          <w:szCs w:val="20"/>
          <w:color w:val="auto"/>
        </w:rPr>
      </w:pPr>
    </w:p>
    <w:p>
      <w:pPr>
        <w:ind w:right="260"/>
        <w:spacing w:after="0"/>
        <w:rPr>
          <w:sz w:val="20"/>
          <w:szCs w:val="20"/>
          <w:color w:val="auto"/>
        </w:rPr>
      </w:pPr>
      <w:r>
        <w:rPr>
          <w:rFonts w:ascii="Arial" w:cs="Arial" w:eastAsia="Arial" w:hAnsi="Arial"/>
          <w:sz w:val="17"/>
          <w:szCs w:val="17"/>
          <w:color w:val="444A54"/>
        </w:rPr>
        <w:t>All employees are engaged in protecting and securing data. Employees receive annual training on cybersecurity risks, including training that raises awareness of phishing scams, as well as annual training on security, privacy, and policy awareness. We also routinely conduct exercises to raise information security awareness. In addition to enterprise-wide cybersecurity training for all employees, the Company also annually conducts targeted cybersecurity training for all IT personnel and application development personnel.</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Audit Committee Financial Expert</w:t>
      </w:r>
    </w:p>
    <w:p>
      <w:pPr>
        <w:spacing w:after="0" w:line="198"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444A54"/>
        </w:rPr>
        <w:t>Our Board determined that each of Messrs. James, Richlovsky, and Shaver is an “Audit Committee financial expert” as that term is defined in the regulations promulgated under the Exchange Act. Additionally, the Board determined that all members of the Audit Committee are able to read and understand fundamental financial statements within the meaning of NYSE’s Audit Committee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Share Ownership Guidelines, Insider Trading and Anti-Hedging Policy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444A54"/>
        </w:rPr>
        <w:t>The Board adopted share ownership guidelines for directors and executive officers.</w:t>
      </w:r>
    </w:p>
    <w:p>
      <w:pPr>
        <w:spacing w:after="0" w:line="180"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444A54"/>
        </w:rPr>
        <w:t>Each nonemployee director is expected to maintain a meaningful ownership of shares of the Company’s common stock, which the Company considers to be common stock having a value at least equal to three times the annual base cash retainer payable for service on the Company’s Board. Such ownership is expected to be acquired within five years of election to the Board. Each nonemployee director is expected to retain ownership of 100% of all shares granted by the Company after such shares vest until the nonemployee director reaches the target.</w:t>
      </w:r>
    </w:p>
    <w:p>
      <w:pPr>
        <w:spacing w:after="0" w:line="14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444A54"/>
        </w:rPr>
        <w:t>Each employee at the level of Executive Vice President and above is expected to maintain a meaningful ownership of shares of the Company’s common stock, which the Company considers to be a number of shares of our common stock having a value at least equal to a multiple, as set forth below, of the officer’s annual base salary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97790</wp:posOffset>
            </wp:positionV>
            <wp:extent cx="8255" cy="151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15113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shd w:val="clear" w:color="auto" w:fill="027DB6"/>
          </w:tcPr>
          <w:p>
            <w:pPr>
              <w:ind w:left="100"/>
              <w:spacing w:after="0"/>
              <w:rPr>
                <w:sz w:val="20"/>
                <w:szCs w:val="20"/>
                <w:color w:val="auto"/>
              </w:rPr>
            </w:pPr>
            <w:r>
              <w:rPr>
                <w:rFonts w:ascii="Arial" w:cs="Arial" w:eastAsia="Arial" w:hAnsi="Arial"/>
                <w:sz w:val="17"/>
                <w:szCs w:val="17"/>
                <w:color w:val="FFFFFF"/>
              </w:rPr>
              <w:t>Officer Level</w:t>
            </w:r>
          </w:p>
        </w:tc>
        <w:tc>
          <w:tcPr>
            <w:tcW w:w="3220" w:type="dxa"/>
            <w:vAlign w:val="bottom"/>
            <w:shd w:val="clear" w:color="auto" w:fill="027DB6"/>
          </w:tcPr>
          <w:p>
            <w:pPr>
              <w:ind w:left="500"/>
              <w:spacing w:after="0"/>
              <w:rPr>
                <w:sz w:val="20"/>
                <w:szCs w:val="20"/>
                <w:color w:val="auto"/>
              </w:rPr>
            </w:pPr>
            <w:r>
              <w:rPr>
                <w:rFonts w:ascii="Arial" w:cs="Arial" w:eastAsia="Arial" w:hAnsi="Arial"/>
                <w:sz w:val="17"/>
                <w:szCs w:val="17"/>
                <w:color w:val="FFFFFF"/>
              </w:rPr>
              <w:t>Multiple of Base Salary</w:t>
            </w:r>
          </w:p>
        </w:tc>
      </w:tr>
      <w:tr>
        <w:trPr>
          <w:trHeight w:val="233"/>
        </w:trPr>
        <w:tc>
          <w:tcPr>
            <w:tcW w:w="2400" w:type="dxa"/>
            <w:vAlign w:val="bottom"/>
          </w:tcPr>
          <w:p>
            <w:pPr>
              <w:ind w:left="100"/>
              <w:spacing w:after="0"/>
              <w:rPr>
                <w:sz w:val="20"/>
                <w:szCs w:val="20"/>
                <w:color w:val="auto"/>
              </w:rPr>
            </w:pPr>
            <w:r>
              <w:rPr>
                <w:rFonts w:ascii="Arial" w:cs="Arial" w:eastAsia="Arial" w:hAnsi="Arial"/>
                <w:sz w:val="17"/>
                <w:szCs w:val="17"/>
                <w:color w:val="474C55"/>
              </w:rPr>
              <w:t>CEO</w:t>
            </w:r>
          </w:p>
        </w:tc>
        <w:tc>
          <w:tcPr>
            <w:tcW w:w="3220" w:type="dxa"/>
            <w:vAlign w:val="bottom"/>
          </w:tcPr>
          <w:p>
            <w:pPr>
              <w:ind w:left="500"/>
              <w:spacing w:after="0"/>
              <w:rPr>
                <w:sz w:val="20"/>
                <w:szCs w:val="20"/>
                <w:color w:val="auto"/>
              </w:rPr>
            </w:pPr>
            <w:r>
              <w:rPr>
                <w:rFonts w:ascii="Arial" w:cs="Arial" w:eastAsia="Arial" w:hAnsi="Arial"/>
                <w:sz w:val="17"/>
                <w:szCs w:val="17"/>
                <w:color w:val="474C55"/>
              </w:rPr>
              <w:t>3X</w:t>
            </w:r>
          </w:p>
        </w:tc>
      </w:tr>
      <w:tr>
        <w:trPr>
          <w:trHeight w:val="242"/>
        </w:trPr>
        <w:tc>
          <w:tcPr>
            <w:tcW w:w="2400" w:type="dxa"/>
            <w:vAlign w:val="bottom"/>
            <w:shd w:val="clear" w:color="auto" w:fill="E5E6E6"/>
          </w:tcPr>
          <w:p>
            <w:pPr>
              <w:ind w:left="100"/>
              <w:spacing w:after="0"/>
              <w:rPr>
                <w:sz w:val="20"/>
                <w:szCs w:val="20"/>
                <w:color w:val="auto"/>
              </w:rPr>
            </w:pPr>
            <w:r>
              <w:rPr>
                <w:rFonts w:ascii="Arial" w:cs="Arial" w:eastAsia="Arial" w:hAnsi="Arial"/>
                <w:sz w:val="17"/>
                <w:szCs w:val="17"/>
                <w:color w:val="474C55"/>
              </w:rPr>
              <w:t>Other Executive Officers</w:t>
            </w:r>
          </w:p>
        </w:tc>
        <w:tc>
          <w:tcPr>
            <w:tcW w:w="3220" w:type="dxa"/>
            <w:vAlign w:val="bottom"/>
            <w:shd w:val="clear" w:color="auto" w:fill="E5E6E6"/>
          </w:tcPr>
          <w:p>
            <w:pPr>
              <w:ind w:left="500"/>
              <w:spacing w:after="0"/>
              <w:rPr>
                <w:sz w:val="20"/>
                <w:szCs w:val="20"/>
                <w:color w:val="auto"/>
              </w:rPr>
            </w:pPr>
            <w:r>
              <w:rPr>
                <w:rFonts w:ascii="Arial" w:cs="Arial" w:eastAsia="Arial" w:hAnsi="Arial"/>
                <w:sz w:val="17"/>
                <w:szCs w:val="17"/>
                <w:color w:val="474C55"/>
              </w:rPr>
              <w:t>2X</w:t>
            </w:r>
          </w:p>
        </w:tc>
      </w:tr>
    </w:tbl>
    <w:p>
      <w:pPr>
        <w:spacing w:after="0" w:line="171"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444A54"/>
        </w:rPr>
        <w:t>Such ownership is expected to be acquired within five years of such person’s hire or promotion date. Each executive officer is expected to retain ownership of 100% of all net after-tax shares granted by the Company after such shares vest until the executive officer reaches the target.</w:t>
      </w:r>
    </w:p>
    <w:p>
      <w:pPr>
        <w:spacing w:after="0" w:line="114"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444A54"/>
        </w:rPr>
        <w:t>Our insider trading policy, which governs trading in our securities by our directors, officers and employees, is designed to promote compliance with insider trading laws, rules, and regulations, and applicable exchange listing standards. It also prohibits Board members and employees (including our executive officers) from pledging United Community securities as collateral, holding United Community securities in a margin account, or hedging against any decrease in the market value of equity securities issued by United Community and held by them, such as entering into or trading prepaid variable forward contracts, equity swaps, collars, puts, calls, options, exchange funds, or other derivative instruments related to United Community stock.</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Code of Business Conduct and Ethics</w:t>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17"/>
          <w:szCs w:val="17"/>
          <w:color w:val="444A54"/>
        </w:rPr>
        <w:t>United Community adopted a Code of Business Conduct and Ethics designed to promote ethical conduct which applies to all employees of United Community, including our executive and senior management and Board and United Community’s Chief Executive Officer, Chief Financial Officer, and Chief Accounting Officer. United Community’s Code of Business Conduct and Ethics is available on our website (</w:t>
      </w:r>
      <w:r>
        <w:rPr>
          <w:rFonts w:ascii="Arial" w:cs="Arial" w:eastAsia="Arial" w:hAnsi="Arial"/>
          <w:sz w:val="17"/>
          <w:szCs w:val="17"/>
          <w:color w:val="000000"/>
        </w:rPr>
        <w:t>www.ucbi.com</w:t>
      </w:r>
      <w:r>
        <w:rPr>
          <w:rFonts w:ascii="Arial" w:cs="Arial" w:eastAsia="Arial" w:hAnsi="Arial"/>
          <w:sz w:val="17"/>
          <w:szCs w:val="17"/>
          <w:color w:val="444A54"/>
        </w:rPr>
        <w:t>), where we would also post any amendments or waivers to the Code of Business Conduct and Ethics.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00"/>
          </w:cols>
          <w:pgMar w:left="320" w:top="811" w:right="379" w:bottom="1440" w:gutter="0" w:footer="0" w:header="0"/>
        </w:sectPr>
      </w:pPr>
    </w:p>
    <w:bookmarkStart w:id="29" w:name="page30"/>
    <w:bookmarkEnd w:id="29"/>
    <w:p>
      <w:pPr>
        <w:spacing w:after="0"/>
        <w:rPr>
          <w:sz w:val="20"/>
          <w:szCs w:val="20"/>
          <w:color w:val="auto"/>
        </w:rPr>
      </w:pPr>
      <w:r>
        <w:rPr>
          <w:rFonts w:ascii="Arial" w:cs="Arial" w:eastAsia="Arial" w:hAnsi="Arial"/>
          <w:sz w:val="25"/>
          <w:szCs w:val="25"/>
          <w:b w:val="1"/>
          <w:bCs w:val="1"/>
          <w:color w:val="017AB5"/>
        </w:rPr>
        <w:t>Communications with Board of Directors</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7"/>
          <w:szCs w:val="17"/>
          <w:color w:val="444A54"/>
        </w:rPr>
        <w:t>Shareholders wishing to communicate with the Board should send any communication in writing to the Corporate Secretary, United Community Banks, Inc., 200 East Camperdown Way, Greenville, South Carolina 29601. Any such communication must state the number of shares beneficially owned by the shareholder making the communication. The communication will be forwarded to the full Board or to any individual director or directors to whom the communication is directed unless the communication is determined to be illegal or otherwise inappropriate.</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Corporate Governance Information</w:t>
      </w:r>
    </w:p>
    <w:p>
      <w:pPr>
        <w:spacing w:after="0" w:line="198" w:lineRule="exact"/>
        <w:rPr>
          <w:sz w:val="20"/>
          <w:szCs w:val="20"/>
          <w:color w:val="auto"/>
        </w:rPr>
      </w:pPr>
    </w:p>
    <w:p>
      <w:pPr>
        <w:ind w:right="100"/>
        <w:spacing w:after="0"/>
        <w:rPr>
          <w:sz w:val="20"/>
          <w:szCs w:val="20"/>
          <w:color w:val="auto"/>
        </w:rPr>
      </w:pPr>
      <w:r>
        <w:rPr>
          <w:rFonts w:ascii="Arial" w:cs="Arial" w:eastAsia="Arial" w:hAnsi="Arial"/>
          <w:sz w:val="17"/>
          <w:szCs w:val="17"/>
          <w:color w:val="444A54"/>
        </w:rPr>
        <w:t>You can find information regarding our corporate governance practices on the Investor Relations &gt; Corporate Governance section of our website (</w:t>
      </w:r>
      <w:r>
        <w:rPr>
          <w:rFonts w:ascii="Arial" w:cs="Arial" w:eastAsia="Arial" w:hAnsi="Arial"/>
          <w:sz w:val="17"/>
          <w:szCs w:val="17"/>
          <w:color w:val="000000"/>
        </w:rPr>
        <w:t>www.ucbi.com</w:t>
      </w:r>
      <w:r>
        <w:rPr>
          <w:rFonts w:ascii="Arial" w:cs="Arial" w:eastAsia="Arial" w:hAnsi="Arial"/>
          <w:sz w:val="17"/>
          <w:szCs w:val="17"/>
          <w:color w:val="444A54"/>
        </w:rPr>
        <w:t>), including our Code of Business Conduct and Ethics, Corporate Governance Guidelines, and the charter of each of our standing committees. This information is available in print to any shareholder who sends a written request to: Investor Relations, United Community Banks, Inc., 200 East Camperdown Way, Greenville, South Carolina 29601.</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00"/>
          </w:cols>
          <w:pgMar w:left="320" w:top="988" w:right="379" w:bottom="1440" w:gutter="0" w:footer="0" w:header="0"/>
        </w:sectPr>
      </w:pPr>
    </w:p>
    <w:bookmarkStart w:id="30" w:name="page31"/>
    <w:bookmarkEnd w:id="30"/>
    <w:p>
      <w:pPr>
        <w:spacing w:after="0"/>
        <w:rPr>
          <w:sz w:val="20"/>
          <w:szCs w:val="20"/>
          <w:color w:val="auto"/>
        </w:rPr>
      </w:pPr>
      <w:r>
        <w:rPr>
          <w:rFonts w:ascii="Arial" w:cs="Arial" w:eastAsia="Arial" w:hAnsi="Arial"/>
          <w:sz w:val="33"/>
          <w:szCs w:val="33"/>
          <w:b w:val="1"/>
          <w:bCs w:val="1"/>
          <w:color w:val="194C85"/>
        </w:rPr>
        <w:t>Transactions with Management and Others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Policy with Respect to Approval of Related-Party Transactions</w:t>
      </w:r>
    </w:p>
    <w:p>
      <w:pPr>
        <w:spacing w:after="0" w:line="198"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444A54"/>
        </w:rPr>
        <w:t>United Community has a written related-party transaction policy that governs the review, approval, and ratification of any transaction that would be required to be disclosed by United Community pursuant to SEC requirements. United Community’s Board (or the Audit Committee of the Board) must approve all such transactions under the policy.</w:t>
      </w:r>
    </w:p>
    <w:p>
      <w:pPr>
        <w:spacing w:after="0" w:line="150"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444A54"/>
        </w:rPr>
        <w:t>Before the Company may enter into a related-party transaction or an amendment thereof, the Board (or a committee of the Board) must consider all of the available relevant facts and circumstances, including, if applicable, benefits to United Community,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any committee shall participate in any review, consideration, or approval of any related-party transaction with respect to which such member or any of his or her immediate family members is a related-party.</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2024 Related-Party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444A54"/>
        </w:rPr>
        <w:t>There were no related-party transactions in 2024, except as described in Corporate Governance: Director Independence.</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1" w:name="page32"/>
    <w:bookmarkEnd w:id="31"/>
    <w:p>
      <w:pPr>
        <w:spacing w:after="0"/>
        <w:rPr>
          <w:sz w:val="20"/>
          <w:szCs w:val="20"/>
          <w:color w:val="auto"/>
        </w:rPr>
      </w:pPr>
      <w:r>
        <w:rPr>
          <w:rFonts w:ascii="Arial" w:cs="Arial" w:eastAsia="Arial" w:hAnsi="Arial"/>
          <w:sz w:val="33"/>
          <w:szCs w:val="33"/>
          <w:b w:val="1"/>
          <w:bCs w:val="1"/>
          <w:color w:val="194C85"/>
        </w:rPr>
        <w:t>Director Compensation</w:t>
      </w:r>
    </w:p>
    <w:p>
      <w:pPr>
        <w:spacing w:after="0" w:line="215"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444A54"/>
        </w:rPr>
        <w:t>The Talent and Compensation Committee reviews and recommends to the Board the compensation of the Company’s nonemployee directors. In performing this role, the Talent and Compensation Committee regularly meets with and receives analysis and information (including peer data) from Aon’s Human Capital Solutions practice, a division of Aon plc (“Aon”), its independent compensation consultant. The Board and the Talent and Compensation Committee believe that director compensation should attract and retain qualified directors and compensate them for the significant time commitment and substantial contributions they are expected to make in their capacities as directors and that the compensation should align the directors’ interests with the long-term interests of the Company’s shareholders. The compensation program for the Company’s nonemployee directors is a combination of cash and equity and is assessed and reviewed relative to peers at least annually.</w:t>
      </w:r>
    </w:p>
    <w:p>
      <w:pPr>
        <w:spacing w:after="0" w:line="156"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444A54"/>
        </w:rPr>
        <w:t>Directors of the Company and the Bank who are employees of the Company and/or the Bank receive no additional compensation for being a director of the Company or the Bank or for serving on a committee of the Board. Additionally, directors do not receive separate compensation for serving on the Bank’s Board.</w:t>
      </w:r>
    </w:p>
    <w:p>
      <w:pPr>
        <w:spacing w:after="0" w:line="150"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444A54"/>
        </w:rPr>
        <w:t>On an annual basis, the Talent and Compensation Committee selects, in conjunction with Aon, a benchmark group of publicly-traded financial institutions to use in assessing the compensation of United Community’s executives and nonemployee directors. The peer group is used by our Talent and Compensation Committee to ensure that United Community’s compensation programs offer competitive compensation potential and reflect best practices in compensation program design. See Executive Compensation: Compensation Discussion and Analysis for additional information regarding our compensation philosophy and objectives and the role of our Talent and Compensation Committee as well as our independent compensation consultant.</w:t>
      </w:r>
    </w:p>
    <w:p>
      <w:pPr>
        <w:spacing w:after="0" w:line="156" w:lineRule="exact"/>
        <w:rPr>
          <w:sz w:val="20"/>
          <w:szCs w:val="20"/>
          <w:color w:val="auto"/>
        </w:rPr>
      </w:pPr>
    </w:p>
    <w:p>
      <w:pPr>
        <w:spacing w:after="0" w:line="246" w:lineRule="auto"/>
        <w:rPr>
          <w:sz w:val="20"/>
          <w:szCs w:val="20"/>
          <w:color w:val="auto"/>
        </w:rPr>
      </w:pPr>
      <w:r>
        <w:rPr>
          <w:rFonts w:ascii="Arial" w:cs="Arial" w:eastAsia="Arial" w:hAnsi="Arial"/>
          <w:sz w:val="17"/>
          <w:szCs w:val="17"/>
          <w:color w:val="444A54"/>
        </w:rPr>
        <w:t>During the third quarter of 2023, the Talent and Compensation Committee reviewed a director compensation analysis prepared by Aon of the Company’s director compensation compared to director compensation for 2022 for the benchmark group of publicly-traded financial institutions used in assessing the compensation of United Community’s executives and nonemployee directors.</w:t>
      </w:r>
    </w:p>
    <w:p>
      <w:pPr>
        <w:spacing w:after="0" w:line="15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444A54"/>
        </w:rPr>
        <w:t>See Executive Compensation: Compensation Discussion and Analysis: 2024 Executive Compensation Process for additional information regarding the benchmark group. The Talent and Compensation Committee’s review resulted in its recommending to the Board the same compensation structure and amounts for 2024 Board compensation as had been in place for 2023. The chairs of each committee receive the member fee in addition to the fee for being the chair. The Lead Director receives the directorship fee in addition to the fee for being Lead Director. The following table summarizes the components of annual director compensation effective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110490</wp:posOffset>
            </wp:positionV>
            <wp:extent cx="8255" cy="2222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22225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80" w:type="dxa"/>
            <w:vAlign w:val="bottom"/>
            <w:shd w:val="clear" w:color="auto" w:fill="017AB5"/>
          </w:tcPr>
          <w:p>
            <w:pPr>
              <w:spacing w:after="0"/>
              <w:rPr>
                <w:sz w:val="14"/>
                <w:szCs w:val="14"/>
                <w:color w:val="auto"/>
              </w:rPr>
            </w:pPr>
          </w:p>
        </w:tc>
        <w:tc>
          <w:tcPr>
            <w:tcW w:w="1940" w:type="dxa"/>
            <w:vAlign w:val="bottom"/>
            <w:shd w:val="clear" w:color="auto" w:fill="017AB5"/>
          </w:tcPr>
          <w:p>
            <w:pPr>
              <w:jc w:val="right"/>
              <w:ind w:right="377"/>
              <w:spacing w:after="0"/>
              <w:rPr>
                <w:sz w:val="20"/>
                <w:szCs w:val="20"/>
                <w:color w:val="auto"/>
              </w:rPr>
            </w:pPr>
            <w:r>
              <w:rPr>
                <w:rFonts w:ascii="Arial" w:cs="Arial" w:eastAsia="Arial" w:hAnsi="Arial"/>
                <w:sz w:val="13"/>
                <w:szCs w:val="13"/>
                <w:color w:val="FFFFFF"/>
              </w:rPr>
              <w:t>Effective as of</w:t>
            </w:r>
          </w:p>
        </w:tc>
      </w:tr>
      <w:tr>
        <w:trPr>
          <w:trHeight w:val="168"/>
        </w:trPr>
        <w:tc>
          <w:tcPr>
            <w:tcW w:w="3680" w:type="dxa"/>
            <w:vAlign w:val="bottom"/>
            <w:tcBorders>
              <w:bottom w:val="single" w:sz="8" w:color="017AB5"/>
            </w:tcBorders>
            <w:shd w:val="clear" w:color="auto" w:fill="017AB5"/>
          </w:tcPr>
          <w:p>
            <w:pPr>
              <w:spacing w:after="0"/>
              <w:rPr>
                <w:sz w:val="14"/>
                <w:szCs w:val="14"/>
                <w:color w:val="auto"/>
              </w:rPr>
            </w:pPr>
          </w:p>
        </w:tc>
        <w:tc>
          <w:tcPr>
            <w:tcW w:w="1940" w:type="dxa"/>
            <w:vAlign w:val="bottom"/>
            <w:tcBorders>
              <w:bottom w:val="single" w:sz="8" w:color="017AB5"/>
            </w:tcBorders>
            <w:shd w:val="clear" w:color="auto" w:fill="017AB5"/>
          </w:tcPr>
          <w:p>
            <w:pPr>
              <w:jc w:val="right"/>
              <w:ind w:right="317"/>
              <w:spacing w:after="0"/>
              <w:rPr>
                <w:sz w:val="20"/>
                <w:szCs w:val="20"/>
                <w:color w:val="auto"/>
              </w:rPr>
            </w:pPr>
            <w:r>
              <w:rPr>
                <w:rFonts w:ascii="Arial" w:cs="Arial" w:eastAsia="Arial" w:hAnsi="Arial"/>
                <w:sz w:val="13"/>
                <w:szCs w:val="13"/>
                <w:color w:val="FFFFFF"/>
              </w:rPr>
              <w:t>January 1, 2024</w:t>
            </w:r>
          </w:p>
        </w:tc>
      </w:tr>
      <w:tr>
        <w:trPr>
          <w:trHeight w:val="193"/>
        </w:trPr>
        <w:tc>
          <w:tcPr>
            <w:tcW w:w="3680" w:type="dxa"/>
            <w:vAlign w:val="bottom"/>
            <w:tcBorders>
              <w:bottom w:val="single" w:sz="8" w:color="E5E7E7"/>
            </w:tcBorders>
            <w:shd w:val="clear" w:color="auto" w:fill="E5E7E7"/>
          </w:tcPr>
          <w:p>
            <w:pPr>
              <w:ind w:left="80"/>
              <w:spacing w:after="0"/>
              <w:rPr>
                <w:sz w:val="20"/>
                <w:szCs w:val="20"/>
                <w:color w:val="auto"/>
              </w:rPr>
            </w:pPr>
            <w:r>
              <w:rPr>
                <w:rFonts w:ascii="Arial" w:cs="Arial" w:eastAsia="Arial" w:hAnsi="Arial"/>
                <w:sz w:val="13"/>
                <w:szCs w:val="13"/>
                <w:color w:val="444A54"/>
              </w:rPr>
              <w:t>Cash Compensation - Board Membership</w:t>
            </w:r>
          </w:p>
        </w:tc>
        <w:tc>
          <w:tcPr>
            <w:tcW w:w="1940" w:type="dxa"/>
            <w:vAlign w:val="bottom"/>
            <w:tcBorders>
              <w:bottom w:val="single" w:sz="8" w:color="E5E7E7"/>
            </w:tcBorders>
            <w:shd w:val="clear" w:color="auto" w:fill="E5E7E7"/>
          </w:tcPr>
          <w:p>
            <w:pPr>
              <w:spacing w:after="0"/>
              <w:rPr>
                <w:sz w:val="16"/>
                <w:szCs w:val="16"/>
                <w:color w:val="auto"/>
              </w:rPr>
            </w:pPr>
          </w:p>
        </w:tc>
      </w:tr>
      <w:tr>
        <w:trPr>
          <w:trHeight w:val="190"/>
        </w:trPr>
        <w:tc>
          <w:tcPr>
            <w:tcW w:w="3680" w:type="dxa"/>
            <w:vAlign w:val="bottom"/>
          </w:tcPr>
          <w:p>
            <w:pPr>
              <w:ind w:left="140"/>
              <w:spacing w:after="0"/>
              <w:rPr>
                <w:sz w:val="20"/>
                <w:szCs w:val="20"/>
                <w:color w:val="auto"/>
              </w:rPr>
            </w:pPr>
            <w:r>
              <w:rPr>
                <w:rFonts w:ascii="Arial" w:cs="Arial" w:eastAsia="Arial" w:hAnsi="Arial"/>
                <w:sz w:val="13"/>
                <w:szCs w:val="13"/>
                <w:color w:val="444A54"/>
              </w:rPr>
              <w:t>Directorship</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$ 50,000</w:t>
            </w:r>
          </w:p>
        </w:tc>
      </w:tr>
      <w:tr>
        <w:trPr>
          <w:trHeight w:val="23"/>
        </w:trPr>
        <w:tc>
          <w:tcPr>
            <w:tcW w:w="3680" w:type="dxa"/>
            <w:vAlign w:val="bottom"/>
            <w:tcBorders>
              <w:bottom w:val="single" w:sz="8" w:color="E2E3E4"/>
            </w:tcBorders>
          </w:tcPr>
          <w:p>
            <w:pPr>
              <w:spacing w:after="0" w:line="20" w:lineRule="exact"/>
              <w:rPr>
                <w:sz w:val="1"/>
                <w:szCs w:val="1"/>
                <w:color w:val="auto"/>
              </w:rPr>
            </w:pPr>
          </w:p>
        </w:tc>
        <w:tc>
          <w:tcPr>
            <w:tcW w:w="1940" w:type="dxa"/>
            <w:vAlign w:val="bottom"/>
            <w:tcBorders>
              <w:bottom w:val="single" w:sz="8" w:color="E2E3E4"/>
            </w:tcBorders>
          </w:tcPr>
          <w:p>
            <w:pPr>
              <w:spacing w:after="0" w:line="20" w:lineRule="exact"/>
              <w:rPr>
                <w:sz w:val="1"/>
                <w:szCs w:val="1"/>
                <w:color w:val="auto"/>
              </w:rPr>
            </w:pPr>
          </w:p>
        </w:tc>
      </w:tr>
      <w:tr>
        <w:trPr>
          <w:trHeight w:val="183"/>
        </w:trPr>
        <w:tc>
          <w:tcPr>
            <w:tcW w:w="3680" w:type="dxa"/>
            <w:vAlign w:val="bottom"/>
          </w:tcPr>
          <w:p>
            <w:pPr>
              <w:ind w:left="140"/>
              <w:spacing w:after="0"/>
              <w:rPr>
                <w:sz w:val="20"/>
                <w:szCs w:val="20"/>
                <w:color w:val="auto"/>
              </w:rPr>
            </w:pPr>
            <w:r>
              <w:rPr>
                <w:rFonts w:ascii="Arial" w:cs="Arial" w:eastAsia="Arial" w:hAnsi="Arial"/>
                <w:sz w:val="13"/>
                <w:szCs w:val="13"/>
                <w:color w:val="444A54"/>
              </w:rPr>
              <w:t>Lead Director</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25,000</w:t>
            </w:r>
          </w:p>
        </w:tc>
      </w:tr>
      <w:tr>
        <w:trPr>
          <w:trHeight w:val="23"/>
        </w:trPr>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3"/>
        </w:trPr>
        <w:tc>
          <w:tcPr>
            <w:tcW w:w="3680" w:type="dxa"/>
            <w:vAlign w:val="bottom"/>
            <w:tcBorders>
              <w:bottom w:val="single" w:sz="8" w:color="E5E7E7"/>
            </w:tcBorders>
            <w:shd w:val="clear" w:color="auto" w:fill="E5E7E7"/>
          </w:tcPr>
          <w:p>
            <w:pPr>
              <w:ind w:left="80"/>
              <w:spacing w:after="0"/>
              <w:rPr>
                <w:sz w:val="20"/>
                <w:szCs w:val="20"/>
                <w:color w:val="auto"/>
              </w:rPr>
            </w:pPr>
            <w:r>
              <w:rPr>
                <w:rFonts w:ascii="Arial" w:cs="Arial" w:eastAsia="Arial" w:hAnsi="Arial"/>
                <w:sz w:val="13"/>
                <w:szCs w:val="13"/>
                <w:color w:val="444A54"/>
              </w:rPr>
              <w:t>Cash Compensation - Board Committee Membership</w:t>
            </w:r>
          </w:p>
        </w:tc>
        <w:tc>
          <w:tcPr>
            <w:tcW w:w="1940" w:type="dxa"/>
            <w:vAlign w:val="bottom"/>
            <w:tcBorders>
              <w:bottom w:val="single" w:sz="8" w:color="E5E7E7"/>
            </w:tcBorders>
            <w:shd w:val="clear" w:color="auto" w:fill="E5E7E7"/>
          </w:tcPr>
          <w:p>
            <w:pPr>
              <w:spacing w:after="0"/>
              <w:rPr>
                <w:sz w:val="16"/>
                <w:szCs w:val="16"/>
                <w:color w:val="auto"/>
              </w:rPr>
            </w:pPr>
          </w:p>
        </w:tc>
      </w:tr>
      <w:tr>
        <w:trPr>
          <w:trHeight w:val="190"/>
        </w:trPr>
        <w:tc>
          <w:tcPr>
            <w:tcW w:w="3680" w:type="dxa"/>
            <w:vAlign w:val="bottom"/>
          </w:tcPr>
          <w:p>
            <w:pPr>
              <w:ind w:left="140"/>
              <w:spacing w:after="0"/>
              <w:rPr>
                <w:sz w:val="20"/>
                <w:szCs w:val="20"/>
                <w:color w:val="auto"/>
              </w:rPr>
            </w:pPr>
            <w:r>
              <w:rPr>
                <w:rFonts w:ascii="Arial" w:cs="Arial" w:eastAsia="Arial" w:hAnsi="Arial"/>
                <w:sz w:val="13"/>
                <w:szCs w:val="13"/>
                <w:color w:val="444A54"/>
              </w:rPr>
              <w:t>Audit - Chair</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$ 15,000</w:t>
            </w:r>
          </w:p>
        </w:tc>
      </w:tr>
      <w:tr>
        <w:trPr>
          <w:trHeight w:val="23"/>
        </w:trPr>
        <w:tc>
          <w:tcPr>
            <w:tcW w:w="3680" w:type="dxa"/>
            <w:vAlign w:val="bottom"/>
            <w:tcBorders>
              <w:bottom w:val="single" w:sz="8" w:color="E2E3E4"/>
            </w:tcBorders>
          </w:tcPr>
          <w:p>
            <w:pPr>
              <w:spacing w:after="0" w:line="20" w:lineRule="exact"/>
              <w:rPr>
                <w:sz w:val="1"/>
                <w:szCs w:val="1"/>
                <w:color w:val="auto"/>
              </w:rPr>
            </w:pPr>
          </w:p>
        </w:tc>
        <w:tc>
          <w:tcPr>
            <w:tcW w:w="1940" w:type="dxa"/>
            <w:vAlign w:val="bottom"/>
            <w:tcBorders>
              <w:bottom w:val="single" w:sz="8" w:color="E2E3E4"/>
            </w:tcBorders>
          </w:tcPr>
          <w:p>
            <w:pPr>
              <w:spacing w:after="0" w:line="20" w:lineRule="exact"/>
              <w:rPr>
                <w:sz w:val="1"/>
                <w:szCs w:val="1"/>
                <w:color w:val="auto"/>
              </w:rPr>
            </w:pPr>
          </w:p>
        </w:tc>
      </w:tr>
      <w:tr>
        <w:trPr>
          <w:trHeight w:val="183"/>
        </w:trPr>
        <w:tc>
          <w:tcPr>
            <w:tcW w:w="3680" w:type="dxa"/>
            <w:vAlign w:val="bottom"/>
          </w:tcPr>
          <w:p>
            <w:pPr>
              <w:ind w:left="140"/>
              <w:spacing w:after="0"/>
              <w:rPr>
                <w:sz w:val="20"/>
                <w:szCs w:val="20"/>
                <w:color w:val="auto"/>
              </w:rPr>
            </w:pPr>
            <w:r>
              <w:rPr>
                <w:rFonts w:ascii="Arial" w:cs="Arial" w:eastAsia="Arial" w:hAnsi="Arial"/>
                <w:sz w:val="13"/>
                <w:szCs w:val="13"/>
                <w:color w:val="444A54"/>
              </w:rPr>
              <w:t>Audit - Member</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10,000</w:t>
            </w:r>
          </w:p>
        </w:tc>
      </w:tr>
      <w:tr>
        <w:trPr>
          <w:trHeight w:val="23"/>
        </w:trPr>
        <w:tc>
          <w:tcPr>
            <w:tcW w:w="3680" w:type="dxa"/>
            <w:vAlign w:val="bottom"/>
            <w:tcBorders>
              <w:bottom w:val="single" w:sz="8" w:color="E2E3E4"/>
            </w:tcBorders>
          </w:tcPr>
          <w:p>
            <w:pPr>
              <w:spacing w:after="0" w:line="20" w:lineRule="exact"/>
              <w:rPr>
                <w:sz w:val="1"/>
                <w:szCs w:val="1"/>
                <w:color w:val="auto"/>
              </w:rPr>
            </w:pPr>
          </w:p>
        </w:tc>
        <w:tc>
          <w:tcPr>
            <w:tcW w:w="1940" w:type="dxa"/>
            <w:vAlign w:val="bottom"/>
            <w:tcBorders>
              <w:bottom w:val="single" w:sz="8" w:color="E2E3E4"/>
            </w:tcBorders>
          </w:tcPr>
          <w:p>
            <w:pPr>
              <w:spacing w:after="0" w:line="20" w:lineRule="exact"/>
              <w:rPr>
                <w:sz w:val="1"/>
                <w:szCs w:val="1"/>
                <w:color w:val="auto"/>
              </w:rPr>
            </w:pPr>
          </w:p>
        </w:tc>
      </w:tr>
      <w:tr>
        <w:trPr>
          <w:trHeight w:val="183"/>
        </w:trPr>
        <w:tc>
          <w:tcPr>
            <w:tcW w:w="3680" w:type="dxa"/>
            <w:vAlign w:val="bottom"/>
          </w:tcPr>
          <w:p>
            <w:pPr>
              <w:ind w:left="140"/>
              <w:spacing w:after="0"/>
              <w:rPr>
                <w:sz w:val="20"/>
                <w:szCs w:val="20"/>
                <w:color w:val="auto"/>
              </w:rPr>
            </w:pPr>
            <w:r>
              <w:rPr>
                <w:rFonts w:ascii="Arial" w:cs="Arial" w:eastAsia="Arial" w:hAnsi="Arial"/>
                <w:sz w:val="13"/>
                <w:szCs w:val="13"/>
                <w:color w:val="444A54"/>
              </w:rPr>
              <w:t>Risk - Chair</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12,500</w:t>
            </w:r>
          </w:p>
        </w:tc>
      </w:tr>
      <w:tr>
        <w:trPr>
          <w:trHeight w:val="23"/>
        </w:trPr>
        <w:tc>
          <w:tcPr>
            <w:tcW w:w="3680" w:type="dxa"/>
            <w:vAlign w:val="bottom"/>
            <w:tcBorders>
              <w:bottom w:val="single" w:sz="8" w:color="E2E3E4"/>
            </w:tcBorders>
          </w:tcPr>
          <w:p>
            <w:pPr>
              <w:spacing w:after="0" w:line="20" w:lineRule="exact"/>
              <w:rPr>
                <w:sz w:val="1"/>
                <w:szCs w:val="1"/>
                <w:color w:val="auto"/>
              </w:rPr>
            </w:pPr>
          </w:p>
        </w:tc>
        <w:tc>
          <w:tcPr>
            <w:tcW w:w="1940" w:type="dxa"/>
            <w:vAlign w:val="bottom"/>
            <w:tcBorders>
              <w:bottom w:val="single" w:sz="8" w:color="E2E3E4"/>
            </w:tcBorders>
          </w:tcPr>
          <w:p>
            <w:pPr>
              <w:spacing w:after="0" w:line="20" w:lineRule="exact"/>
              <w:rPr>
                <w:sz w:val="1"/>
                <w:szCs w:val="1"/>
                <w:color w:val="auto"/>
              </w:rPr>
            </w:pPr>
          </w:p>
        </w:tc>
      </w:tr>
      <w:tr>
        <w:trPr>
          <w:trHeight w:val="183"/>
        </w:trPr>
        <w:tc>
          <w:tcPr>
            <w:tcW w:w="3680" w:type="dxa"/>
            <w:vAlign w:val="bottom"/>
          </w:tcPr>
          <w:p>
            <w:pPr>
              <w:ind w:left="140"/>
              <w:spacing w:after="0"/>
              <w:rPr>
                <w:sz w:val="20"/>
                <w:szCs w:val="20"/>
                <w:color w:val="auto"/>
              </w:rPr>
            </w:pPr>
            <w:r>
              <w:rPr>
                <w:rFonts w:ascii="Arial" w:cs="Arial" w:eastAsia="Arial" w:hAnsi="Arial"/>
                <w:sz w:val="13"/>
                <w:szCs w:val="13"/>
                <w:color w:val="444A54"/>
              </w:rPr>
              <w:t>Risk - Member</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10,000</w:t>
            </w:r>
          </w:p>
        </w:tc>
      </w:tr>
      <w:tr>
        <w:trPr>
          <w:trHeight w:val="23"/>
        </w:trPr>
        <w:tc>
          <w:tcPr>
            <w:tcW w:w="3680" w:type="dxa"/>
            <w:vAlign w:val="bottom"/>
            <w:tcBorders>
              <w:bottom w:val="single" w:sz="8" w:color="E2E3E4"/>
            </w:tcBorders>
          </w:tcPr>
          <w:p>
            <w:pPr>
              <w:spacing w:after="0" w:line="20" w:lineRule="exact"/>
              <w:rPr>
                <w:sz w:val="1"/>
                <w:szCs w:val="1"/>
                <w:color w:val="auto"/>
              </w:rPr>
            </w:pPr>
          </w:p>
        </w:tc>
        <w:tc>
          <w:tcPr>
            <w:tcW w:w="1940" w:type="dxa"/>
            <w:vAlign w:val="bottom"/>
            <w:tcBorders>
              <w:bottom w:val="single" w:sz="8" w:color="E2E3E4"/>
            </w:tcBorders>
          </w:tcPr>
          <w:p>
            <w:pPr>
              <w:spacing w:after="0" w:line="20" w:lineRule="exact"/>
              <w:rPr>
                <w:sz w:val="1"/>
                <w:szCs w:val="1"/>
                <w:color w:val="auto"/>
              </w:rPr>
            </w:pPr>
          </w:p>
        </w:tc>
      </w:tr>
      <w:tr>
        <w:trPr>
          <w:trHeight w:val="183"/>
        </w:trPr>
        <w:tc>
          <w:tcPr>
            <w:tcW w:w="3680" w:type="dxa"/>
            <w:vAlign w:val="bottom"/>
          </w:tcPr>
          <w:p>
            <w:pPr>
              <w:ind w:left="140"/>
              <w:spacing w:after="0"/>
              <w:rPr>
                <w:sz w:val="20"/>
                <w:szCs w:val="20"/>
                <w:color w:val="auto"/>
              </w:rPr>
            </w:pPr>
            <w:r>
              <w:rPr>
                <w:rFonts w:ascii="Arial" w:cs="Arial" w:eastAsia="Arial" w:hAnsi="Arial"/>
                <w:sz w:val="13"/>
                <w:szCs w:val="13"/>
                <w:color w:val="444A54"/>
              </w:rPr>
              <w:t>Nominating and Corporate Governance - Chair</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10,000</w:t>
            </w:r>
          </w:p>
        </w:tc>
      </w:tr>
      <w:tr>
        <w:trPr>
          <w:trHeight w:val="23"/>
        </w:trPr>
        <w:tc>
          <w:tcPr>
            <w:tcW w:w="3680" w:type="dxa"/>
            <w:vAlign w:val="bottom"/>
            <w:tcBorders>
              <w:bottom w:val="single" w:sz="8" w:color="E2E3E4"/>
            </w:tcBorders>
          </w:tcPr>
          <w:p>
            <w:pPr>
              <w:spacing w:after="0" w:line="20" w:lineRule="exact"/>
              <w:rPr>
                <w:sz w:val="1"/>
                <w:szCs w:val="1"/>
                <w:color w:val="auto"/>
              </w:rPr>
            </w:pPr>
          </w:p>
        </w:tc>
        <w:tc>
          <w:tcPr>
            <w:tcW w:w="1940" w:type="dxa"/>
            <w:vAlign w:val="bottom"/>
            <w:tcBorders>
              <w:bottom w:val="single" w:sz="8" w:color="E2E3E4"/>
            </w:tcBorders>
          </w:tcPr>
          <w:p>
            <w:pPr>
              <w:spacing w:after="0" w:line="20" w:lineRule="exact"/>
              <w:rPr>
                <w:sz w:val="1"/>
                <w:szCs w:val="1"/>
                <w:color w:val="auto"/>
              </w:rPr>
            </w:pPr>
          </w:p>
        </w:tc>
      </w:tr>
      <w:tr>
        <w:trPr>
          <w:trHeight w:val="183"/>
        </w:trPr>
        <w:tc>
          <w:tcPr>
            <w:tcW w:w="3680" w:type="dxa"/>
            <w:vAlign w:val="bottom"/>
          </w:tcPr>
          <w:p>
            <w:pPr>
              <w:ind w:left="140"/>
              <w:spacing w:after="0"/>
              <w:rPr>
                <w:sz w:val="20"/>
                <w:szCs w:val="20"/>
                <w:color w:val="auto"/>
              </w:rPr>
            </w:pPr>
            <w:r>
              <w:rPr>
                <w:rFonts w:ascii="Arial" w:cs="Arial" w:eastAsia="Arial" w:hAnsi="Arial"/>
                <w:sz w:val="13"/>
                <w:szCs w:val="13"/>
                <w:color w:val="444A54"/>
              </w:rPr>
              <w:t>Nominating and Corporate Governance - Member</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7,500</w:t>
            </w:r>
          </w:p>
        </w:tc>
      </w:tr>
      <w:tr>
        <w:trPr>
          <w:trHeight w:val="23"/>
        </w:trPr>
        <w:tc>
          <w:tcPr>
            <w:tcW w:w="3680" w:type="dxa"/>
            <w:vAlign w:val="bottom"/>
            <w:tcBorders>
              <w:bottom w:val="single" w:sz="8" w:color="E2E3E4"/>
            </w:tcBorders>
          </w:tcPr>
          <w:p>
            <w:pPr>
              <w:spacing w:after="0" w:line="20" w:lineRule="exact"/>
              <w:rPr>
                <w:sz w:val="1"/>
                <w:szCs w:val="1"/>
                <w:color w:val="auto"/>
              </w:rPr>
            </w:pPr>
          </w:p>
        </w:tc>
        <w:tc>
          <w:tcPr>
            <w:tcW w:w="1940" w:type="dxa"/>
            <w:vAlign w:val="bottom"/>
            <w:tcBorders>
              <w:bottom w:val="single" w:sz="8" w:color="E2E3E4"/>
            </w:tcBorders>
          </w:tcPr>
          <w:p>
            <w:pPr>
              <w:spacing w:after="0" w:line="20" w:lineRule="exact"/>
              <w:rPr>
                <w:sz w:val="1"/>
                <w:szCs w:val="1"/>
                <w:color w:val="auto"/>
              </w:rPr>
            </w:pPr>
          </w:p>
        </w:tc>
      </w:tr>
      <w:tr>
        <w:trPr>
          <w:trHeight w:val="183"/>
        </w:trPr>
        <w:tc>
          <w:tcPr>
            <w:tcW w:w="3680" w:type="dxa"/>
            <w:vAlign w:val="bottom"/>
          </w:tcPr>
          <w:p>
            <w:pPr>
              <w:ind w:left="140"/>
              <w:spacing w:after="0"/>
              <w:rPr>
                <w:sz w:val="20"/>
                <w:szCs w:val="20"/>
                <w:color w:val="auto"/>
              </w:rPr>
            </w:pPr>
            <w:r>
              <w:rPr>
                <w:rFonts w:ascii="Arial" w:cs="Arial" w:eastAsia="Arial" w:hAnsi="Arial"/>
                <w:sz w:val="13"/>
                <w:szCs w:val="13"/>
                <w:color w:val="444A54"/>
              </w:rPr>
              <w:t>Talent and Compensation - Chair</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10,000</w:t>
            </w:r>
          </w:p>
        </w:tc>
      </w:tr>
      <w:tr>
        <w:trPr>
          <w:trHeight w:val="23"/>
        </w:trPr>
        <w:tc>
          <w:tcPr>
            <w:tcW w:w="3680" w:type="dxa"/>
            <w:vAlign w:val="bottom"/>
            <w:tcBorders>
              <w:bottom w:val="single" w:sz="8" w:color="E2E3E4"/>
            </w:tcBorders>
          </w:tcPr>
          <w:p>
            <w:pPr>
              <w:spacing w:after="0" w:line="20" w:lineRule="exact"/>
              <w:rPr>
                <w:sz w:val="1"/>
                <w:szCs w:val="1"/>
                <w:color w:val="auto"/>
              </w:rPr>
            </w:pPr>
          </w:p>
        </w:tc>
        <w:tc>
          <w:tcPr>
            <w:tcW w:w="1940" w:type="dxa"/>
            <w:vAlign w:val="bottom"/>
            <w:tcBorders>
              <w:bottom w:val="single" w:sz="8" w:color="E2E3E4"/>
            </w:tcBorders>
          </w:tcPr>
          <w:p>
            <w:pPr>
              <w:spacing w:after="0" w:line="20" w:lineRule="exact"/>
              <w:rPr>
                <w:sz w:val="1"/>
                <w:szCs w:val="1"/>
                <w:color w:val="auto"/>
              </w:rPr>
            </w:pPr>
          </w:p>
        </w:tc>
      </w:tr>
      <w:tr>
        <w:trPr>
          <w:trHeight w:val="183"/>
        </w:trPr>
        <w:tc>
          <w:tcPr>
            <w:tcW w:w="3680" w:type="dxa"/>
            <w:vAlign w:val="bottom"/>
          </w:tcPr>
          <w:p>
            <w:pPr>
              <w:ind w:left="140"/>
              <w:spacing w:after="0"/>
              <w:rPr>
                <w:sz w:val="20"/>
                <w:szCs w:val="20"/>
                <w:color w:val="auto"/>
              </w:rPr>
            </w:pPr>
            <w:r>
              <w:rPr>
                <w:rFonts w:ascii="Arial" w:cs="Arial" w:eastAsia="Arial" w:hAnsi="Arial"/>
                <w:sz w:val="13"/>
                <w:szCs w:val="13"/>
                <w:color w:val="444A54"/>
              </w:rPr>
              <w:t>Talent and Compensation - Member</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7,500</w:t>
            </w:r>
          </w:p>
        </w:tc>
      </w:tr>
      <w:tr>
        <w:trPr>
          <w:trHeight w:val="23"/>
        </w:trPr>
        <w:tc>
          <w:tcPr>
            <w:tcW w:w="3680" w:type="dxa"/>
            <w:vAlign w:val="bottom"/>
            <w:tcBorders>
              <w:bottom w:val="single" w:sz="8" w:color="E2E3E4"/>
            </w:tcBorders>
          </w:tcPr>
          <w:p>
            <w:pPr>
              <w:spacing w:after="0" w:line="20" w:lineRule="exact"/>
              <w:rPr>
                <w:sz w:val="1"/>
                <w:szCs w:val="1"/>
                <w:color w:val="auto"/>
              </w:rPr>
            </w:pPr>
          </w:p>
        </w:tc>
        <w:tc>
          <w:tcPr>
            <w:tcW w:w="1940" w:type="dxa"/>
            <w:vAlign w:val="bottom"/>
            <w:tcBorders>
              <w:bottom w:val="single" w:sz="8" w:color="E2E3E4"/>
            </w:tcBorders>
          </w:tcPr>
          <w:p>
            <w:pPr>
              <w:spacing w:after="0" w:line="20" w:lineRule="exact"/>
              <w:rPr>
                <w:sz w:val="1"/>
                <w:szCs w:val="1"/>
                <w:color w:val="auto"/>
              </w:rPr>
            </w:pPr>
          </w:p>
        </w:tc>
      </w:tr>
      <w:tr>
        <w:trPr>
          <w:trHeight w:val="183"/>
        </w:trPr>
        <w:tc>
          <w:tcPr>
            <w:tcW w:w="3680" w:type="dxa"/>
            <w:vAlign w:val="bottom"/>
          </w:tcPr>
          <w:p>
            <w:pPr>
              <w:ind w:left="140"/>
              <w:spacing w:after="0"/>
              <w:rPr>
                <w:sz w:val="20"/>
                <w:szCs w:val="20"/>
                <w:color w:val="auto"/>
              </w:rPr>
            </w:pPr>
            <w:r>
              <w:rPr>
                <w:rFonts w:ascii="Arial" w:cs="Arial" w:eastAsia="Arial" w:hAnsi="Arial"/>
                <w:sz w:val="13"/>
                <w:szCs w:val="13"/>
                <w:color w:val="444A54"/>
              </w:rPr>
              <w:t>Executive - Member</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7,500</w:t>
            </w:r>
          </w:p>
        </w:tc>
      </w:tr>
      <w:tr>
        <w:trPr>
          <w:trHeight w:val="23"/>
        </w:trPr>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3"/>
        </w:trPr>
        <w:tc>
          <w:tcPr>
            <w:tcW w:w="3680" w:type="dxa"/>
            <w:vAlign w:val="bottom"/>
            <w:tcBorders>
              <w:bottom w:val="single" w:sz="8" w:color="E5E7E7"/>
            </w:tcBorders>
            <w:shd w:val="clear" w:color="auto" w:fill="E5E7E7"/>
          </w:tcPr>
          <w:p>
            <w:pPr>
              <w:ind w:left="80"/>
              <w:spacing w:after="0"/>
              <w:rPr>
                <w:sz w:val="20"/>
                <w:szCs w:val="20"/>
                <w:color w:val="auto"/>
              </w:rPr>
            </w:pPr>
            <w:r>
              <w:rPr>
                <w:rFonts w:ascii="Arial" w:cs="Arial" w:eastAsia="Arial" w:hAnsi="Arial"/>
                <w:sz w:val="13"/>
                <w:szCs w:val="13"/>
                <w:color w:val="444A54"/>
              </w:rPr>
              <w:t>Equity Compensation - Board Membership</w:t>
            </w:r>
          </w:p>
        </w:tc>
        <w:tc>
          <w:tcPr>
            <w:tcW w:w="1940" w:type="dxa"/>
            <w:vAlign w:val="bottom"/>
            <w:tcBorders>
              <w:bottom w:val="single" w:sz="8" w:color="E5E7E7"/>
            </w:tcBorders>
            <w:shd w:val="clear" w:color="auto" w:fill="E5E7E7"/>
          </w:tcPr>
          <w:p>
            <w:pPr>
              <w:spacing w:after="0"/>
              <w:rPr>
                <w:sz w:val="16"/>
                <w:szCs w:val="16"/>
                <w:color w:val="auto"/>
              </w:rPr>
            </w:pPr>
          </w:p>
        </w:tc>
      </w:tr>
      <w:tr>
        <w:trPr>
          <w:trHeight w:val="190"/>
        </w:trPr>
        <w:tc>
          <w:tcPr>
            <w:tcW w:w="3680" w:type="dxa"/>
            <w:vAlign w:val="bottom"/>
          </w:tcPr>
          <w:p>
            <w:pPr>
              <w:ind w:left="140"/>
              <w:spacing w:after="0"/>
              <w:rPr>
                <w:sz w:val="20"/>
                <w:szCs w:val="20"/>
                <w:color w:val="auto"/>
              </w:rPr>
            </w:pPr>
            <w:r>
              <w:rPr>
                <w:rFonts w:ascii="Arial" w:cs="Arial" w:eastAsia="Arial" w:hAnsi="Arial"/>
                <w:sz w:val="13"/>
                <w:szCs w:val="13"/>
                <w:color w:val="444A54"/>
              </w:rPr>
              <w:t>Directorship</w:t>
            </w:r>
          </w:p>
        </w:tc>
        <w:tc>
          <w:tcPr>
            <w:tcW w:w="1940" w:type="dxa"/>
            <w:vAlign w:val="bottom"/>
          </w:tcPr>
          <w:p>
            <w:pPr>
              <w:jc w:val="right"/>
              <w:ind w:right="17"/>
              <w:spacing w:after="0"/>
              <w:rPr>
                <w:sz w:val="20"/>
                <w:szCs w:val="20"/>
                <w:color w:val="auto"/>
              </w:rPr>
            </w:pPr>
            <w:r>
              <w:rPr>
                <w:rFonts w:ascii="Arial" w:cs="Arial" w:eastAsia="Arial" w:hAnsi="Arial"/>
                <w:sz w:val="13"/>
                <w:szCs w:val="13"/>
                <w:color w:val="444A54"/>
              </w:rPr>
              <w:t>$ 65,000</w:t>
            </w:r>
          </w:p>
        </w:tc>
      </w:tr>
      <w:tr>
        <w:trPr>
          <w:trHeight w:val="23"/>
        </w:trPr>
        <w:tc>
          <w:tcPr>
            <w:tcW w:w="3680" w:type="dxa"/>
            <w:vAlign w:val="bottom"/>
            <w:tcBorders>
              <w:bottom w:val="single" w:sz="8" w:color="E2E3E4"/>
            </w:tcBorders>
          </w:tcPr>
          <w:p>
            <w:pPr>
              <w:spacing w:after="0" w:line="20" w:lineRule="exact"/>
              <w:rPr>
                <w:sz w:val="1"/>
                <w:szCs w:val="1"/>
                <w:color w:val="auto"/>
              </w:rPr>
            </w:pPr>
          </w:p>
        </w:tc>
        <w:tc>
          <w:tcPr>
            <w:tcW w:w="1940" w:type="dxa"/>
            <w:vAlign w:val="bottom"/>
            <w:tcBorders>
              <w:bottom w:val="single" w:sz="8" w:color="E2E3E4"/>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444A54"/>
        </w:rPr>
        <w:t>During the third quarter of 2024, the Talent and Compensation Committee reviewed a director compensation analysis prepared by Aon of the Company’s director compensation compared to director compensation for 2023 for the benchmark group of publicly-traded financial institutions used in assessing the compensation of United Community’s executives and nonemployee directors. In this analysis, Aon and the Talent and Compensation Committee made no changes to the peer group used in its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ind w:right="40"/>
        <w:spacing w:after="0" w:line="237" w:lineRule="auto"/>
        <w:rPr>
          <w:sz w:val="20"/>
          <w:szCs w:val="20"/>
          <w:color w:val="auto"/>
        </w:rPr>
      </w:pPr>
      <w:r>
        <w:rPr>
          <w:rFonts w:ascii="Arial" w:cs="Arial" w:eastAsia="Arial" w:hAnsi="Arial"/>
          <w:sz w:val="17"/>
          <w:szCs w:val="17"/>
          <w:color w:val="444A54"/>
        </w:rPr>
        <w:t>assessment of and review of director compensation performed in 2023. The Talent and Compensation Committee’s review resulted in its recommending to the Board changes to the compensation amounts for Board compensation effective September 1, 2024 to preserve the positioning of the directors’ compensation closer to the 50th percentile of the peer group. The chairs of each committee receive the member fee in addition to the fee for being the chair. The Lead Director receives the directorship fee in addition to the fee for being Lead Director. The following table summarizes the components of annual director compensation effective September 1, 2024. The increase in director equity compensation was approved to be effective for equity compensation awards granted after September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109220</wp:posOffset>
            </wp:positionV>
            <wp:extent cx="8255" cy="2222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22225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40" w:type="dxa"/>
            <w:vAlign w:val="bottom"/>
            <w:shd w:val="clear" w:color="auto" w:fill="007DB6"/>
          </w:tcPr>
          <w:p>
            <w:pPr>
              <w:spacing w:after="0"/>
              <w:rPr>
                <w:sz w:val="14"/>
                <w:szCs w:val="14"/>
                <w:color w:val="auto"/>
              </w:rPr>
            </w:pPr>
          </w:p>
        </w:tc>
        <w:tc>
          <w:tcPr>
            <w:tcW w:w="1980" w:type="dxa"/>
            <w:vAlign w:val="bottom"/>
            <w:shd w:val="clear" w:color="auto" w:fill="007DB6"/>
          </w:tcPr>
          <w:p>
            <w:pPr>
              <w:jc w:val="right"/>
              <w:ind w:right="377"/>
              <w:spacing w:after="0"/>
              <w:rPr>
                <w:sz w:val="20"/>
                <w:szCs w:val="20"/>
                <w:color w:val="auto"/>
              </w:rPr>
            </w:pPr>
            <w:r>
              <w:rPr>
                <w:rFonts w:ascii="Arial" w:cs="Arial" w:eastAsia="Arial" w:hAnsi="Arial"/>
                <w:sz w:val="13"/>
                <w:szCs w:val="13"/>
                <w:color w:val="FFFFFF"/>
              </w:rPr>
              <w:t>Effective as of</w:t>
            </w:r>
          </w:p>
        </w:tc>
      </w:tr>
      <w:tr>
        <w:trPr>
          <w:trHeight w:val="168"/>
        </w:trPr>
        <w:tc>
          <w:tcPr>
            <w:tcW w:w="3640" w:type="dxa"/>
            <w:vAlign w:val="bottom"/>
            <w:tcBorders>
              <w:bottom w:val="single" w:sz="8" w:color="007DB6"/>
            </w:tcBorders>
            <w:shd w:val="clear" w:color="auto" w:fill="007DB6"/>
          </w:tcPr>
          <w:p>
            <w:pPr>
              <w:spacing w:after="0"/>
              <w:rPr>
                <w:sz w:val="14"/>
                <w:szCs w:val="14"/>
                <w:color w:val="auto"/>
              </w:rPr>
            </w:pPr>
          </w:p>
        </w:tc>
        <w:tc>
          <w:tcPr>
            <w:tcW w:w="1980" w:type="dxa"/>
            <w:vAlign w:val="bottom"/>
            <w:tcBorders>
              <w:bottom w:val="single" w:sz="8" w:color="007DB6"/>
            </w:tcBorders>
            <w:shd w:val="clear" w:color="auto" w:fill="007DB6"/>
          </w:tcPr>
          <w:p>
            <w:pPr>
              <w:jc w:val="right"/>
              <w:ind w:right="237"/>
              <w:spacing w:after="0"/>
              <w:rPr>
                <w:sz w:val="20"/>
                <w:szCs w:val="20"/>
                <w:color w:val="auto"/>
              </w:rPr>
            </w:pPr>
            <w:r>
              <w:rPr>
                <w:rFonts w:ascii="Arial" w:cs="Arial" w:eastAsia="Arial" w:hAnsi="Arial"/>
                <w:sz w:val="13"/>
                <w:szCs w:val="13"/>
                <w:color w:val="FFFFFF"/>
              </w:rPr>
              <w:t>September 1, 2024</w:t>
            </w:r>
          </w:p>
        </w:tc>
      </w:tr>
      <w:tr>
        <w:trPr>
          <w:trHeight w:val="193"/>
        </w:trPr>
        <w:tc>
          <w:tcPr>
            <w:tcW w:w="3640" w:type="dxa"/>
            <w:vAlign w:val="bottom"/>
            <w:tcBorders>
              <w:bottom w:val="single" w:sz="8" w:color="E5E7E7"/>
            </w:tcBorders>
            <w:shd w:val="clear" w:color="auto" w:fill="E5E7E7"/>
          </w:tcPr>
          <w:p>
            <w:pPr>
              <w:ind w:left="80"/>
              <w:spacing w:after="0"/>
              <w:rPr>
                <w:sz w:val="20"/>
                <w:szCs w:val="20"/>
                <w:color w:val="auto"/>
              </w:rPr>
            </w:pPr>
            <w:r>
              <w:rPr>
                <w:rFonts w:ascii="Arial" w:cs="Arial" w:eastAsia="Arial" w:hAnsi="Arial"/>
                <w:sz w:val="13"/>
                <w:szCs w:val="13"/>
                <w:color w:val="444A54"/>
              </w:rPr>
              <w:t>Cash Compensation - Board Membership</w:t>
            </w:r>
          </w:p>
        </w:tc>
        <w:tc>
          <w:tcPr>
            <w:tcW w:w="1980" w:type="dxa"/>
            <w:vAlign w:val="bottom"/>
            <w:tcBorders>
              <w:bottom w:val="single" w:sz="8" w:color="E5E7E7"/>
            </w:tcBorders>
            <w:shd w:val="clear" w:color="auto" w:fill="E5E7E7"/>
          </w:tcPr>
          <w:p>
            <w:pPr>
              <w:spacing w:after="0"/>
              <w:rPr>
                <w:sz w:val="16"/>
                <w:szCs w:val="16"/>
                <w:color w:val="auto"/>
              </w:rPr>
            </w:pPr>
          </w:p>
        </w:tc>
      </w:tr>
      <w:tr>
        <w:trPr>
          <w:trHeight w:val="190"/>
        </w:trPr>
        <w:tc>
          <w:tcPr>
            <w:tcW w:w="3640" w:type="dxa"/>
            <w:vAlign w:val="bottom"/>
          </w:tcPr>
          <w:p>
            <w:pPr>
              <w:ind w:left="140"/>
              <w:spacing w:after="0"/>
              <w:rPr>
                <w:sz w:val="20"/>
                <w:szCs w:val="20"/>
                <w:color w:val="auto"/>
              </w:rPr>
            </w:pPr>
            <w:r>
              <w:rPr>
                <w:rFonts w:ascii="Arial" w:cs="Arial" w:eastAsia="Arial" w:hAnsi="Arial"/>
                <w:sz w:val="13"/>
                <w:szCs w:val="13"/>
                <w:color w:val="444A54"/>
              </w:rPr>
              <w:t>Directorship</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$ 60,000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r>
        <w:trPr>
          <w:trHeight w:val="183"/>
        </w:trPr>
        <w:tc>
          <w:tcPr>
            <w:tcW w:w="3640" w:type="dxa"/>
            <w:vAlign w:val="bottom"/>
          </w:tcPr>
          <w:p>
            <w:pPr>
              <w:ind w:left="140"/>
              <w:spacing w:after="0"/>
              <w:rPr>
                <w:sz w:val="20"/>
                <w:szCs w:val="20"/>
                <w:color w:val="auto"/>
              </w:rPr>
            </w:pPr>
            <w:r>
              <w:rPr>
                <w:rFonts w:ascii="Arial" w:cs="Arial" w:eastAsia="Arial" w:hAnsi="Arial"/>
                <w:sz w:val="13"/>
                <w:szCs w:val="13"/>
                <w:color w:val="444A54"/>
              </w:rPr>
              <w:t>Lead Director</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35,000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r>
        <w:trPr>
          <w:trHeight w:val="185"/>
        </w:trPr>
        <w:tc>
          <w:tcPr>
            <w:tcW w:w="3640" w:type="dxa"/>
            <w:vAlign w:val="bottom"/>
            <w:tcBorders>
              <w:bottom w:val="single" w:sz="8" w:color="E5E7E7"/>
            </w:tcBorders>
            <w:shd w:val="clear" w:color="auto" w:fill="E5E7E7"/>
          </w:tcPr>
          <w:p>
            <w:pPr>
              <w:ind w:left="80"/>
              <w:spacing w:after="0"/>
              <w:rPr>
                <w:sz w:val="20"/>
                <w:szCs w:val="20"/>
                <w:color w:val="auto"/>
              </w:rPr>
            </w:pPr>
            <w:r>
              <w:rPr>
                <w:rFonts w:ascii="Arial" w:cs="Arial" w:eastAsia="Arial" w:hAnsi="Arial"/>
                <w:sz w:val="13"/>
                <w:szCs w:val="13"/>
                <w:color w:val="444A54"/>
              </w:rPr>
              <w:t>Cash Compensation - Board Committee Membership</w:t>
            </w:r>
          </w:p>
        </w:tc>
        <w:tc>
          <w:tcPr>
            <w:tcW w:w="1980" w:type="dxa"/>
            <w:vAlign w:val="bottom"/>
            <w:tcBorders>
              <w:bottom w:val="single" w:sz="8" w:color="E5E7E7"/>
            </w:tcBorders>
            <w:shd w:val="clear" w:color="auto" w:fill="E5E7E7"/>
          </w:tcPr>
          <w:p>
            <w:pPr>
              <w:spacing w:after="0"/>
              <w:rPr>
                <w:sz w:val="16"/>
                <w:szCs w:val="16"/>
                <w:color w:val="auto"/>
              </w:rPr>
            </w:pPr>
          </w:p>
        </w:tc>
      </w:tr>
      <w:tr>
        <w:trPr>
          <w:trHeight w:val="190"/>
        </w:trPr>
        <w:tc>
          <w:tcPr>
            <w:tcW w:w="3640" w:type="dxa"/>
            <w:vAlign w:val="bottom"/>
          </w:tcPr>
          <w:p>
            <w:pPr>
              <w:ind w:left="140"/>
              <w:spacing w:after="0"/>
              <w:rPr>
                <w:sz w:val="20"/>
                <w:szCs w:val="20"/>
                <w:color w:val="auto"/>
              </w:rPr>
            </w:pPr>
            <w:r>
              <w:rPr>
                <w:rFonts w:ascii="Arial" w:cs="Arial" w:eastAsia="Arial" w:hAnsi="Arial"/>
                <w:sz w:val="13"/>
                <w:szCs w:val="13"/>
                <w:color w:val="444A54"/>
              </w:rPr>
              <w:t>Audit - Chair</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$ 20,000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r>
        <w:trPr>
          <w:trHeight w:val="183"/>
        </w:trPr>
        <w:tc>
          <w:tcPr>
            <w:tcW w:w="3640" w:type="dxa"/>
            <w:vAlign w:val="bottom"/>
          </w:tcPr>
          <w:p>
            <w:pPr>
              <w:ind w:left="140"/>
              <w:spacing w:after="0"/>
              <w:rPr>
                <w:sz w:val="20"/>
                <w:szCs w:val="20"/>
                <w:color w:val="auto"/>
              </w:rPr>
            </w:pPr>
            <w:r>
              <w:rPr>
                <w:rFonts w:ascii="Arial" w:cs="Arial" w:eastAsia="Arial" w:hAnsi="Arial"/>
                <w:sz w:val="13"/>
                <w:szCs w:val="13"/>
                <w:color w:val="444A54"/>
              </w:rPr>
              <w:t>Audit - Member</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12,500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r>
        <w:trPr>
          <w:trHeight w:val="183"/>
        </w:trPr>
        <w:tc>
          <w:tcPr>
            <w:tcW w:w="3640" w:type="dxa"/>
            <w:vAlign w:val="bottom"/>
          </w:tcPr>
          <w:p>
            <w:pPr>
              <w:ind w:left="140"/>
              <w:spacing w:after="0"/>
              <w:rPr>
                <w:sz w:val="20"/>
                <w:szCs w:val="20"/>
                <w:color w:val="auto"/>
              </w:rPr>
            </w:pPr>
            <w:r>
              <w:rPr>
                <w:rFonts w:ascii="Arial" w:cs="Arial" w:eastAsia="Arial" w:hAnsi="Arial"/>
                <w:sz w:val="13"/>
                <w:szCs w:val="13"/>
                <w:color w:val="444A54"/>
              </w:rPr>
              <w:t>Risk - Chair</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20,000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r>
        <w:trPr>
          <w:trHeight w:val="183"/>
        </w:trPr>
        <w:tc>
          <w:tcPr>
            <w:tcW w:w="3640" w:type="dxa"/>
            <w:vAlign w:val="bottom"/>
          </w:tcPr>
          <w:p>
            <w:pPr>
              <w:ind w:left="140"/>
              <w:spacing w:after="0"/>
              <w:rPr>
                <w:sz w:val="20"/>
                <w:szCs w:val="20"/>
                <w:color w:val="auto"/>
              </w:rPr>
            </w:pPr>
            <w:r>
              <w:rPr>
                <w:rFonts w:ascii="Arial" w:cs="Arial" w:eastAsia="Arial" w:hAnsi="Arial"/>
                <w:sz w:val="13"/>
                <w:szCs w:val="13"/>
                <w:color w:val="444A54"/>
              </w:rPr>
              <w:t>Risk - Member</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12,500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r>
        <w:trPr>
          <w:trHeight w:val="183"/>
        </w:trPr>
        <w:tc>
          <w:tcPr>
            <w:tcW w:w="3640" w:type="dxa"/>
            <w:vAlign w:val="bottom"/>
          </w:tcPr>
          <w:p>
            <w:pPr>
              <w:ind w:left="140"/>
              <w:spacing w:after="0"/>
              <w:rPr>
                <w:sz w:val="20"/>
                <w:szCs w:val="20"/>
                <w:color w:val="auto"/>
              </w:rPr>
            </w:pPr>
            <w:r>
              <w:rPr>
                <w:rFonts w:ascii="Arial" w:cs="Arial" w:eastAsia="Arial" w:hAnsi="Arial"/>
                <w:sz w:val="13"/>
                <w:szCs w:val="13"/>
                <w:color w:val="444A54"/>
              </w:rPr>
              <w:t>Nominating and Corporate Governance - Chair</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15,000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r>
        <w:trPr>
          <w:trHeight w:val="183"/>
        </w:trPr>
        <w:tc>
          <w:tcPr>
            <w:tcW w:w="3640" w:type="dxa"/>
            <w:vAlign w:val="bottom"/>
          </w:tcPr>
          <w:p>
            <w:pPr>
              <w:ind w:left="140"/>
              <w:spacing w:after="0"/>
              <w:rPr>
                <w:sz w:val="20"/>
                <w:szCs w:val="20"/>
                <w:color w:val="auto"/>
              </w:rPr>
            </w:pPr>
            <w:r>
              <w:rPr>
                <w:rFonts w:ascii="Arial" w:cs="Arial" w:eastAsia="Arial" w:hAnsi="Arial"/>
                <w:sz w:val="13"/>
                <w:szCs w:val="13"/>
                <w:color w:val="444A54"/>
              </w:rPr>
              <w:t>Nominating and Corporate Governance - Member</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8,750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r>
        <w:trPr>
          <w:trHeight w:val="183"/>
        </w:trPr>
        <w:tc>
          <w:tcPr>
            <w:tcW w:w="3640" w:type="dxa"/>
            <w:vAlign w:val="bottom"/>
          </w:tcPr>
          <w:p>
            <w:pPr>
              <w:ind w:left="140"/>
              <w:spacing w:after="0"/>
              <w:rPr>
                <w:sz w:val="20"/>
                <w:szCs w:val="20"/>
                <w:color w:val="auto"/>
              </w:rPr>
            </w:pPr>
            <w:r>
              <w:rPr>
                <w:rFonts w:ascii="Arial" w:cs="Arial" w:eastAsia="Arial" w:hAnsi="Arial"/>
                <w:sz w:val="13"/>
                <w:szCs w:val="13"/>
                <w:color w:val="444A54"/>
              </w:rPr>
              <w:t>Talent and Compensation - Chair</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15,000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r>
        <w:trPr>
          <w:trHeight w:val="183"/>
        </w:trPr>
        <w:tc>
          <w:tcPr>
            <w:tcW w:w="3640" w:type="dxa"/>
            <w:vAlign w:val="bottom"/>
          </w:tcPr>
          <w:p>
            <w:pPr>
              <w:ind w:left="140"/>
              <w:spacing w:after="0"/>
              <w:rPr>
                <w:sz w:val="20"/>
                <w:szCs w:val="20"/>
                <w:color w:val="auto"/>
              </w:rPr>
            </w:pPr>
            <w:r>
              <w:rPr>
                <w:rFonts w:ascii="Arial" w:cs="Arial" w:eastAsia="Arial" w:hAnsi="Arial"/>
                <w:sz w:val="13"/>
                <w:szCs w:val="13"/>
                <w:color w:val="444A54"/>
              </w:rPr>
              <w:t>Talent and Compensation - Member</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8,750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r>
        <w:trPr>
          <w:trHeight w:val="183"/>
        </w:trPr>
        <w:tc>
          <w:tcPr>
            <w:tcW w:w="3640" w:type="dxa"/>
            <w:vAlign w:val="bottom"/>
          </w:tcPr>
          <w:p>
            <w:pPr>
              <w:ind w:left="140"/>
              <w:spacing w:after="0"/>
              <w:rPr>
                <w:sz w:val="20"/>
                <w:szCs w:val="20"/>
                <w:color w:val="auto"/>
              </w:rPr>
            </w:pPr>
            <w:r>
              <w:rPr>
                <w:rFonts w:ascii="Arial" w:cs="Arial" w:eastAsia="Arial" w:hAnsi="Arial"/>
                <w:sz w:val="13"/>
                <w:szCs w:val="13"/>
                <w:color w:val="444A54"/>
              </w:rPr>
              <w:t>Executive - Member</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8,750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r>
        <w:trPr>
          <w:trHeight w:val="185"/>
        </w:trPr>
        <w:tc>
          <w:tcPr>
            <w:tcW w:w="3640" w:type="dxa"/>
            <w:vAlign w:val="bottom"/>
            <w:tcBorders>
              <w:bottom w:val="single" w:sz="8" w:color="E5E7E7"/>
            </w:tcBorders>
            <w:shd w:val="clear" w:color="auto" w:fill="E5E7E7"/>
          </w:tcPr>
          <w:p>
            <w:pPr>
              <w:ind w:left="80"/>
              <w:spacing w:after="0"/>
              <w:rPr>
                <w:sz w:val="20"/>
                <w:szCs w:val="20"/>
                <w:color w:val="auto"/>
              </w:rPr>
            </w:pPr>
            <w:r>
              <w:rPr>
                <w:rFonts w:ascii="Arial" w:cs="Arial" w:eastAsia="Arial" w:hAnsi="Arial"/>
                <w:sz w:val="13"/>
                <w:szCs w:val="13"/>
                <w:color w:val="444A54"/>
              </w:rPr>
              <w:t>Equity Compensation - Board Membership</w:t>
            </w:r>
          </w:p>
        </w:tc>
        <w:tc>
          <w:tcPr>
            <w:tcW w:w="1980" w:type="dxa"/>
            <w:vAlign w:val="bottom"/>
            <w:tcBorders>
              <w:bottom w:val="single" w:sz="8" w:color="E5E7E7"/>
            </w:tcBorders>
            <w:shd w:val="clear" w:color="auto" w:fill="E5E7E7"/>
          </w:tcPr>
          <w:p>
            <w:pPr>
              <w:spacing w:after="0"/>
              <w:rPr>
                <w:sz w:val="16"/>
                <w:szCs w:val="16"/>
                <w:color w:val="auto"/>
              </w:rPr>
            </w:pPr>
          </w:p>
        </w:tc>
      </w:tr>
      <w:tr>
        <w:trPr>
          <w:trHeight w:val="190"/>
        </w:trPr>
        <w:tc>
          <w:tcPr>
            <w:tcW w:w="3640" w:type="dxa"/>
            <w:vAlign w:val="bottom"/>
          </w:tcPr>
          <w:p>
            <w:pPr>
              <w:ind w:left="140"/>
              <w:spacing w:after="0"/>
              <w:rPr>
                <w:sz w:val="20"/>
                <w:szCs w:val="20"/>
                <w:color w:val="auto"/>
              </w:rPr>
            </w:pPr>
            <w:r>
              <w:rPr>
                <w:rFonts w:ascii="Arial" w:cs="Arial" w:eastAsia="Arial" w:hAnsi="Arial"/>
                <w:sz w:val="13"/>
                <w:szCs w:val="13"/>
                <w:color w:val="444A54"/>
              </w:rPr>
              <w:t>Directorship</w:t>
            </w:r>
          </w:p>
        </w:tc>
        <w:tc>
          <w:tcPr>
            <w:tcW w:w="1980" w:type="dxa"/>
            <w:vAlign w:val="bottom"/>
          </w:tcPr>
          <w:p>
            <w:pPr>
              <w:jc w:val="right"/>
              <w:ind w:right="17"/>
              <w:spacing w:after="0"/>
              <w:rPr>
                <w:sz w:val="20"/>
                <w:szCs w:val="20"/>
                <w:color w:val="auto"/>
              </w:rPr>
            </w:pPr>
            <w:r>
              <w:rPr>
                <w:rFonts w:ascii="Arial" w:cs="Arial" w:eastAsia="Arial" w:hAnsi="Arial"/>
                <w:sz w:val="13"/>
                <w:szCs w:val="13"/>
                <w:color w:val="444A54"/>
              </w:rPr>
              <w:t>$ 75,000</w:t>
            </w:r>
          </w:p>
        </w:tc>
      </w:tr>
      <w:tr>
        <w:trPr>
          <w:trHeight w:val="23"/>
        </w:trPr>
        <w:tc>
          <w:tcPr>
            <w:tcW w:w="3640" w:type="dxa"/>
            <w:vAlign w:val="bottom"/>
            <w:tcBorders>
              <w:bottom w:val="single" w:sz="8" w:color="E2E3E4"/>
            </w:tcBorders>
          </w:tcPr>
          <w:p>
            <w:pPr>
              <w:spacing w:after="0" w:line="20" w:lineRule="exact"/>
              <w:rPr>
                <w:sz w:val="1"/>
                <w:szCs w:val="1"/>
                <w:color w:val="auto"/>
              </w:rPr>
            </w:pPr>
          </w:p>
        </w:tc>
        <w:tc>
          <w:tcPr>
            <w:tcW w:w="1980" w:type="dxa"/>
            <w:vAlign w:val="bottom"/>
            <w:tcBorders>
              <w:bottom w:val="single" w:sz="8" w:color="E2E3E4"/>
            </w:tcBorders>
          </w:tcPr>
          <w:p>
            <w:pPr>
              <w:spacing w:after="0" w:line="20" w:lineRule="exact"/>
              <w:rPr>
                <w:sz w:val="1"/>
                <w:szCs w:val="1"/>
                <w:color w:val="auto"/>
              </w:rPr>
            </w:pPr>
          </w:p>
        </w:tc>
      </w:tr>
    </w:tbl>
    <w:p>
      <w:pPr>
        <w:spacing w:after="0" w:line="171"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444A54"/>
        </w:rPr>
        <w:t>The following table summarizes the compensation earned by or paid to each person who served as a nonemployee member of our Board of Directors during all or any part of 2024. Certain columns specified for this table by Item 402(k) of Regulation S-K have been omitted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105410</wp:posOffset>
            </wp:positionV>
            <wp:extent cx="8255" cy="2463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246380"/>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105410</wp:posOffset>
            </wp:positionV>
            <wp:extent cx="8255" cy="2463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24638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105410</wp:posOffset>
            </wp:positionV>
            <wp:extent cx="8255" cy="2463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24638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vMerge w:val="restart"/>
            <w:shd w:val="clear" w:color="auto" w:fill="017AB5"/>
          </w:tcPr>
          <w:p>
            <w:pPr>
              <w:ind w:left="60"/>
              <w:spacing w:after="0"/>
              <w:rPr>
                <w:sz w:val="20"/>
                <w:szCs w:val="20"/>
                <w:color w:val="auto"/>
              </w:rPr>
            </w:pPr>
            <w:r>
              <w:rPr>
                <w:rFonts w:ascii="Arial" w:cs="Arial" w:eastAsia="Arial" w:hAnsi="Arial"/>
                <w:sz w:val="13"/>
                <w:szCs w:val="13"/>
                <w:color w:val="FFFFFF"/>
              </w:rPr>
              <w:t>Name</w:t>
            </w:r>
          </w:p>
        </w:tc>
        <w:tc>
          <w:tcPr>
            <w:tcW w:w="2500" w:type="dxa"/>
            <w:vAlign w:val="bottom"/>
            <w:shd w:val="clear" w:color="auto" w:fill="017AB5"/>
          </w:tcPr>
          <w:p>
            <w:pPr>
              <w:jc w:val="right"/>
              <w:ind w:right="257"/>
              <w:spacing w:after="0"/>
              <w:rPr>
                <w:sz w:val="20"/>
                <w:szCs w:val="20"/>
                <w:color w:val="auto"/>
              </w:rPr>
            </w:pPr>
            <w:r>
              <w:rPr>
                <w:rFonts w:ascii="Arial" w:cs="Arial" w:eastAsia="Arial" w:hAnsi="Arial"/>
                <w:sz w:val="13"/>
                <w:szCs w:val="13"/>
                <w:color w:val="FFFFFF"/>
              </w:rPr>
              <w:t>Fees Earned or Paid</w:t>
            </w:r>
          </w:p>
        </w:tc>
        <w:tc>
          <w:tcPr>
            <w:tcW w:w="1140" w:type="dxa"/>
            <w:vAlign w:val="bottom"/>
            <w:vMerge w:val="restart"/>
            <w:shd w:val="clear" w:color="auto" w:fill="017AB5"/>
          </w:tcPr>
          <w:p>
            <w:pPr>
              <w:ind w:left="180"/>
              <w:spacing w:after="0"/>
              <w:rPr>
                <w:sz w:val="20"/>
                <w:szCs w:val="20"/>
                <w:color w:val="auto"/>
              </w:rPr>
            </w:pPr>
            <w:r>
              <w:rPr>
                <w:rFonts w:ascii="Arial" w:cs="Arial" w:eastAsia="Arial" w:hAnsi="Arial"/>
                <w:sz w:val="13"/>
                <w:szCs w:val="13"/>
                <w:color w:val="FFFFFF"/>
                <w:w w:val="94"/>
              </w:rPr>
              <w:t>Stock Awards ($)</w:t>
            </w:r>
          </w:p>
        </w:tc>
        <w:tc>
          <w:tcPr>
            <w:tcW w:w="560" w:type="dxa"/>
            <w:vAlign w:val="bottom"/>
            <w:vMerge w:val="restart"/>
            <w:shd w:val="clear" w:color="auto" w:fill="017AB5"/>
          </w:tcPr>
          <w:p>
            <w:pPr>
              <w:jc w:val="right"/>
              <w:ind w:right="494"/>
              <w:spacing w:after="0"/>
              <w:rPr>
                <w:sz w:val="20"/>
                <w:szCs w:val="20"/>
                <w:color w:val="auto"/>
              </w:rPr>
            </w:pPr>
            <w:r>
              <w:rPr>
                <w:rFonts w:ascii="Arial" w:cs="Arial" w:eastAsia="Arial" w:hAnsi="Arial"/>
                <w:sz w:val="5"/>
                <w:szCs w:val="5"/>
                <w:color w:val="FFFFFF"/>
                <w:w w:val="70"/>
              </w:rPr>
              <w:t>2</w:t>
            </w:r>
          </w:p>
        </w:tc>
        <w:tc>
          <w:tcPr>
            <w:tcW w:w="760" w:type="dxa"/>
            <w:vAlign w:val="bottom"/>
            <w:vMerge w:val="restart"/>
            <w:shd w:val="clear" w:color="auto" w:fill="017AB5"/>
          </w:tcPr>
          <w:p>
            <w:pPr>
              <w:ind w:left="300"/>
              <w:spacing w:after="0"/>
              <w:rPr>
                <w:sz w:val="20"/>
                <w:szCs w:val="20"/>
                <w:color w:val="auto"/>
              </w:rPr>
            </w:pPr>
            <w:r>
              <w:rPr>
                <w:rFonts w:ascii="Arial" w:cs="Arial" w:eastAsia="Arial" w:hAnsi="Arial"/>
                <w:sz w:val="13"/>
                <w:szCs w:val="13"/>
                <w:color w:val="FFFFFF"/>
                <w:w w:val="90"/>
              </w:rPr>
              <w:t>Total ($)</w:t>
            </w:r>
          </w:p>
        </w:tc>
        <w:tc>
          <w:tcPr>
            <w:tcW w:w="560" w:type="dxa"/>
            <w:vAlign w:val="bottom"/>
            <w:vMerge w:val="restart"/>
            <w:shd w:val="clear" w:color="auto" w:fill="017AB5"/>
          </w:tcPr>
          <w:p>
            <w:pPr>
              <w:jc w:val="right"/>
              <w:ind w:right="460"/>
              <w:spacing w:after="0"/>
              <w:rPr>
                <w:sz w:val="20"/>
                <w:szCs w:val="20"/>
                <w:color w:val="auto"/>
              </w:rPr>
            </w:pPr>
            <w:r>
              <w:rPr>
                <w:rFonts w:ascii="Arial" w:cs="Arial" w:eastAsia="Arial" w:hAnsi="Arial"/>
                <w:sz w:val="5"/>
                <w:szCs w:val="5"/>
                <w:color w:val="FFFFFF"/>
                <w:w w:val="70"/>
              </w:rPr>
              <w:t>3</w:t>
            </w:r>
          </w:p>
        </w:tc>
        <w:tc>
          <w:tcPr>
            <w:tcW w:w="0" w:type="dxa"/>
            <w:vAlign w:val="bottom"/>
          </w:tcPr>
          <w:p>
            <w:pPr>
              <w:spacing w:after="0"/>
              <w:rPr>
                <w:sz w:val="1"/>
                <w:szCs w:val="1"/>
                <w:color w:val="auto"/>
              </w:rPr>
            </w:pPr>
          </w:p>
        </w:tc>
      </w:tr>
      <w:tr>
        <w:trPr>
          <w:trHeight w:val="107"/>
        </w:trPr>
        <w:tc>
          <w:tcPr>
            <w:tcW w:w="2340" w:type="dxa"/>
            <w:vAlign w:val="bottom"/>
            <w:vMerge w:val="continue"/>
            <w:shd w:val="clear" w:color="auto" w:fill="017AB5"/>
          </w:tcPr>
          <w:p>
            <w:pPr>
              <w:spacing w:after="0"/>
              <w:rPr>
                <w:sz w:val="9"/>
                <w:szCs w:val="9"/>
                <w:color w:val="auto"/>
              </w:rPr>
            </w:pPr>
          </w:p>
        </w:tc>
        <w:tc>
          <w:tcPr>
            <w:tcW w:w="2500" w:type="dxa"/>
            <w:vAlign w:val="bottom"/>
            <w:vMerge w:val="restart"/>
            <w:shd w:val="clear" w:color="auto" w:fill="017AB5"/>
          </w:tcPr>
          <w:p>
            <w:pPr>
              <w:jc w:val="right"/>
              <w:ind w:right="497"/>
              <w:spacing w:after="0" w:line="217" w:lineRule="exact"/>
              <w:rPr>
                <w:sz w:val="20"/>
                <w:szCs w:val="20"/>
                <w:color w:val="auto"/>
              </w:rPr>
            </w:pPr>
            <w:r>
              <w:rPr>
                <w:rFonts w:ascii="Arial" w:cs="Arial" w:eastAsia="Arial" w:hAnsi="Arial"/>
                <w:sz w:val="13"/>
                <w:szCs w:val="13"/>
                <w:color w:val="FFFFFF"/>
              </w:rPr>
              <w:t>in Cash ($)</w:t>
            </w:r>
            <w:r>
              <w:rPr>
                <w:rFonts w:ascii="Arial" w:cs="Arial" w:eastAsia="Arial" w:hAnsi="Arial"/>
                <w:sz w:val="20"/>
                <w:szCs w:val="20"/>
                <w:color w:val="FFFFFF"/>
                <w:vertAlign w:val="superscript"/>
              </w:rPr>
              <w:t>1</w:t>
            </w:r>
          </w:p>
        </w:tc>
        <w:tc>
          <w:tcPr>
            <w:tcW w:w="1140" w:type="dxa"/>
            <w:vAlign w:val="bottom"/>
            <w:vMerge w:val="continue"/>
            <w:shd w:val="clear" w:color="auto" w:fill="017AB5"/>
          </w:tcPr>
          <w:p>
            <w:pPr>
              <w:spacing w:after="0"/>
              <w:rPr>
                <w:sz w:val="9"/>
                <w:szCs w:val="9"/>
                <w:color w:val="auto"/>
              </w:rPr>
            </w:pPr>
          </w:p>
        </w:tc>
        <w:tc>
          <w:tcPr>
            <w:tcW w:w="560" w:type="dxa"/>
            <w:vAlign w:val="bottom"/>
            <w:vMerge w:val="continue"/>
            <w:shd w:val="clear" w:color="auto" w:fill="017AB5"/>
          </w:tcPr>
          <w:p>
            <w:pPr>
              <w:spacing w:after="0"/>
              <w:rPr>
                <w:sz w:val="9"/>
                <w:szCs w:val="9"/>
                <w:color w:val="auto"/>
              </w:rPr>
            </w:pPr>
          </w:p>
        </w:tc>
        <w:tc>
          <w:tcPr>
            <w:tcW w:w="760" w:type="dxa"/>
            <w:vAlign w:val="bottom"/>
            <w:vMerge w:val="continue"/>
            <w:shd w:val="clear" w:color="auto" w:fill="017AB5"/>
          </w:tcPr>
          <w:p>
            <w:pPr>
              <w:spacing w:after="0"/>
              <w:rPr>
                <w:sz w:val="9"/>
                <w:szCs w:val="9"/>
                <w:color w:val="auto"/>
              </w:rPr>
            </w:pPr>
          </w:p>
        </w:tc>
        <w:tc>
          <w:tcPr>
            <w:tcW w:w="560" w:type="dxa"/>
            <w:vAlign w:val="bottom"/>
            <w:vMerge w:val="continue"/>
            <w:shd w:val="clear" w:color="auto" w:fill="017AB5"/>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340" w:type="dxa"/>
            <w:vAlign w:val="bottom"/>
            <w:shd w:val="clear" w:color="auto" w:fill="017AB5"/>
          </w:tcPr>
          <w:p>
            <w:pPr>
              <w:spacing w:after="0"/>
              <w:rPr>
                <w:sz w:val="9"/>
                <w:szCs w:val="9"/>
                <w:color w:val="auto"/>
              </w:rPr>
            </w:pPr>
          </w:p>
        </w:tc>
        <w:tc>
          <w:tcPr>
            <w:tcW w:w="2500" w:type="dxa"/>
            <w:vAlign w:val="bottom"/>
            <w:vMerge w:val="continue"/>
            <w:shd w:val="clear" w:color="auto" w:fill="017AB5"/>
          </w:tcPr>
          <w:p>
            <w:pPr>
              <w:spacing w:after="0"/>
              <w:rPr>
                <w:sz w:val="9"/>
                <w:szCs w:val="9"/>
                <w:color w:val="auto"/>
              </w:rPr>
            </w:pPr>
          </w:p>
        </w:tc>
        <w:tc>
          <w:tcPr>
            <w:tcW w:w="1140" w:type="dxa"/>
            <w:vAlign w:val="bottom"/>
            <w:vMerge w:val="continue"/>
            <w:shd w:val="clear" w:color="auto" w:fill="017AB5"/>
          </w:tcPr>
          <w:p>
            <w:pPr>
              <w:spacing w:after="0"/>
              <w:rPr>
                <w:sz w:val="9"/>
                <w:szCs w:val="9"/>
                <w:color w:val="auto"/>
              </w:rPr>
            </w:pPr>
          </w:p>
        </w:tc>
        <w:tc>
          <w:tcPr>
            <w:tcW w:w="560" w:type="dxa"/>
            <w:vAlign w:val="bottom"/>
            <w:shd w:val="clear" w:color="auto" w:fill="017AB5"/>
          </w:tcPr>
          <w:p>
            <w:pPr>
              <w:spacing w:after="0"/>
              <w:rPr>
                <w:sz w:val="9"/>
                <w:szCs w:val="9"/>
                <w:color w:val="auto"/>
              </w:rPr>
            </w:pPr>
          </w:p>
        </w:tc>
        <w:tc>
          <w:tcPr>
            <w:tcW w:w="760" w:type="dxa"/>
            <w:vAlign w:val="bottom"/>
            <w:vMerge w:val="continue"/>
            <w:shd w:val="clear" w:color="auto" w:fill="017AB5"/>
          </w:tcPr>
          <w:p>
            <w:pPr>
              <w:spacing w:after="0"/>
              <w:rPr>
                <w:sz w:val="9"/>
                <w:szCs w:val="9"/>
                <w:color w:val="auto"/>
              </w:rPr>
            </w:pPr>
          </w:p>
        </w:tc>
        <w:tc>
          <w:tcPr>
            <w:tcW w:w="560" w:type="dxa"/>
            <w:vAlign w:val="bottom"/>
            <w:shd w:val="clear" w:color="auto" w:fill="017AB5"/>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340" w:type="dxa"/>
            <w:vAlign w:val="bottom"/>
          </w:tcPr>
          <w:p>
            <w:pPr>
              <w:ind w:left="60"/>
              <w:spacing w:after="0"/>
              <w:rPr>
                <w:sz w:val="20"/>
                <w:szCs w:val="20"/>
                <w:color w:val="auto"/>
              </w:rPr>
            </w:pPr>
            <w:r>
              <w:rPr>
                <w:rFonts w:ascii="Arial" w:cs="Arial" w:eastAsia="Arial" w:hAnsi="Arial"/>
                <w:sz w:val="13"/>
                <w:szCs w:val="13"/>
                <w:color w:val="444A54"/>
              </w:rPr>
              <w:t>Jennifer M. Bazante</w:t>
            </w:r>
          </w:p>
        </w:tc>
        <w:tc>
          <w:tcPr>
            <w:tcW w:w="2500" w:type="dxa"/>
            <w:vAlign w:val="bottom"/>
          </w:tcPr>
          <w:p>
            <w:pPr>
              <w:jc w:val="right"/>
              <w:ind w:right="117"/>
              <w:spacing w:after="0"/>
              <w:rPr>
                <w:sz w:val="20"/>
                <w:szCs w:val="20"/>
                <w:color w:val="auto"/>
              </w:rPr>
            </w:pPr>
            <w:r>
              <w:rPr>
                <w:rFonts w:ascii="Arial" w:cs="Arial" w:eastAsia="Arial" w:hAnsi="Arial"/>
                <w:sz w:val="13"/>
                <w:szCs w:val="13"/>
                <w:color w:val="444A54"/>
              </w:rPr>
              <w:t>$ 69,166</w:t>
            </w:r>
          </w:p>
        </w:tc>
        <w:tc>
          <w:tcPr>
            <w:tcW w:w="1700" w:type="dxa"/>
            <w:vAlign w:val="bottom"/>
            <w:gridSpan w:val="2"/>
          </w:tcPr>
          <w:p>
            <w:pPr>
              <w:jc w:val="right"/>
              <w:ind w:right="274"/>
              <w:spacing w:after="0"/>
              <w:rPr>
                <w:sz w:val="20"/>
                <w:szCs w:val="20"/>
                <w:color w:val="auto"/>
              </w:rPr>
            </w:pPr>
            <w:r>
              <w:rPr>
                <w:rFonts w:ascii="Arial" w:cs="Arial" w:eastAsia="Arial" w:hAnsi="Arial"/>
                <w:sz w:val="13"/>
                <w:szCs w:val="13"/>
                <w:color w:val="444A54"/>
              </w:rPr>
              <w:t>$ 65,006</w:t>
            </w:r>
          </w:p>
        </w:tc>
        <w:tc>
          <w:tcPr>
            <w:tcW w:w="1320" w:type="dxa"/>
            <w:vAlign w:val="bottom"/>
            <w:gridSpan w:val="2"/>
          </w:tcPr>
          <w:p>
            <w:pPr>
              <w:jc w:val="right"/>
              <w:spacing w:after="0"/>
              <w:rPr>
                <w:sz w:val="20"/>
                <w:szCs w:val="20"/>
                <w:color w:val="auto"/>
              </w:rPr>
            </w:pPr>
            <w:r>
              <w:rPr>
                <w:rFonts w:ascii="Arial" w:cs="Arial" w:eastAsia="Arial" w:hAnsi="Arial"/>
                <w:sz w:val="13"/>
                <w:szCs w:val="13"/>
                <w:color w:val="444A54"/>
              </w:rPr>
              <w:t>$ 134,172</w:t>
            </w:r>
          </w:p>
        </w:tc>
        <w:tc>
          <w:tcPr>
            <w:tcW w:w="0" w:type="dxa"/>
            <w:vAlign w:val="bottom"/>
          </w:tcPr>
          <w:p>
            <w:pPr>
              <w:spacing w:after="0"/>
              <w:rPr>
                <w:sz w:val="1"/>
                <w:szCs w:val="1"/>
                <w:color w:val="auto"/>
              </w:rPr>
            </w:pPr>
          </w:p>
        </w:tc>
      </w:tr>
      <w:tr>
        <w:trPr>
          <w:trHeight w:val="23"/>
        </w:trPr>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40" w:type="dxa"/>
            <w:vAlign w:val="bottom"/>
            <w:tcBorders>
              <w:bottom w:val="single" w:sz="8" w:color="E5E6E6"/>
            </w:tcBorders>
            <w:shd w:val="clear" w:color="auto" w:fill="E5E6E6"/>
          </w:tcPr>
          <w:p>
            <w:pPr>
              <w:ind w:left="60"/>
              <w:spacing w:after="0"/>
              <w:rPr>
                <w:sz w:val="20"/>
                <w:szCs w:val="20"/>
                <w:color w:val="auto"/>
              </w:rPr>
            </w:pPr>
            <w:r>
              <w:rPr>
                <w:rFonts w:ascii="Arial" w:cs="Arial" w:eastAsia="Arial" w:hAnsi="Arial"/>
                <w:sz w:val="13"/>
                <w:szCs w:val="13"/>
                <w:color w:val="444A54"/>
              </w:rPr>
              <w:t>George B. Bell</w:t>
            </w:r>
          </w:p>
        </w:tc>
        <w:tc>
          <w:tcPr>
            <w:tcW w:w="2500" w:type="dxa"/>
            <w:vAlign w:val="bottom"/>
            <w:tcBorders>
              <w:bottom w:val="single" w:sz="8" w:color="E5E6E6"/>
            </w:tcBorders>
            <w:shd w:val="clear" w:color="auto" w:fill="E5E6E6"/>
          </w:tcPr>
          <w:p>
            <w:pPr>
              <w:jc w:val="right"/>
              <w:ind w:right="117"/>
              <w:spacing w:after="0"/>
              <w:rPr>
                <w:sz w:val="20"/>
                <w:szCs w:val="20"/>
                <w:color w:val="auto"/>
              </w:rPr>
            </w:pPr>
            <w:r>
              <w:rPr>
                <w:rFonts w:ascii="Arial" w:cs="Arial" w:eastAsia="Arial" w:hAnsi="Arial"/>
                <w:sz w:val="13"/>
                <w:szCs w:val="13"/>
                <w:color w:val="444A54"/>
              </w:rPr>
              <w:t>75,001</w:t>
            </w:r>
          </w:p>
        </w:tc>
        <w:tc>
          <w:tcPr>
            <w:tcW w:w="1700" w:type="dxa"/>
            <w:vAlign w:val="bottom"/>
            <w:tcBorders>
              <w:bottom w:val="single" w:sz="8" w:color="E5E6E6"/>
            </w:tcBorders>
            <w:gridSpan w:val="2"/>
            <w:shd w:val="clear" w:color="auto" w:fill="E5E6E6"/>
          </w:tcPr>
          <w:p>
            <w:pPr>
              <w:jc w:val="right"/>
              <w:ind w:right="274"/>
              <w:spacing w:after="0"/>
              <w:rPr>
                <w:sz w:val="20"/>
                <w:szCs w:val="20"/>
                <w:color w:val="auto"/>
              </w:rPr>
            </w:pPr>
            <w:r>
              <w:rPr>
                <w:rFonts w:ascii="Arial" w:cs="Arial" w:eastAsia="Arial" w:hAnsi="Arial"/>
                <w:sz w:val="13"/>
                <w:szCs w:val="13"/>
                <w:color w:val="444A54"/>
              </w:rPr>
              <w:t>65,006</w:t>
            </w:r>
          </w:p>
        </w:tc>
        <w:tc>
          <w:tcPr>
            <w:tcW w:w="760" w:type="dxa"/>
            <w:vAlign w:val="bottom"/>
            <w:tcBorders>
              <w:bottom w:val="single" w:sz="8" w:color="E5E6E6"/>
            </w:tcBorders>
            <w:shd w:val="clear" w:color="auto" w:fill="E5E6E6"/>
          </w:tcPr>
          <w:p>
            <w:pPr>
              <w:spacing w:after="0"/>
              <w:rPr>
                <w:sz w:val="16"/>
                <w:szCs w:val="16"/>
                <w:color w:val="auto"/>
              </w:rPr>
            </w:pPr>
          </w:p>
        </w:tc>
        <w:tc>
          <w:tcPr>
            <w:tcW w:w="56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140,007</w:t>
            </w:r>
          </w:p>
        </w:tc>
        <w:tc>
          <w:tcPr>
            <w:tcW w:w="0" w:type="dxa"/>
            <w:vAlign w:val="bottom"/>
          </w:tcPr>
          <w:p>
            <w:pPr>
              <w:spacing w:after="0"/>
              <w:rPr>
                <w:sz w:val="1"/>
                <w:szCs w:val="1"/>
                <w:color w:val="auto"/>
              </w:rPr>
            </w:pPr>
          </w:p>
        </w:tc>
      </w:tr>
      <w:tr>
        <w:trPr>
          <w:trHeight w:val="190"/>
        </w:trPr>
        <w:tc>
          <w:tcPr>
            <w:tcW w:w="2340" w:type="dxa"/>
            <w:vAlign w:val="bottom"/>
          </w:tcPr>
          <w:p>
            <w:pPr>
              <w:ind w:left="60"/>
              <w:spacing w:after="0"/>
              <w:rPr>
                <w:sz w:val="20"/>
                <w:szCs w:val="20"/>
                <w:color w:val="auto"/>
              </w:rPr>
            </w:pPr>
            <w:r>
              <w:rPr>
                <w:rFonts w:ascii="Arial" w:cs="Arial" w:eastAsia="Arial" w:hAnsi="Arial"/>
                <w:sz w:val="13"/>
                <w:szCs w:val="13"/>
                <w:color w:val="444A54"/>
              </w:rPr>
              <w:t>James P. Clements</w:t>
            </w:r>
          </w:p>
        </w:tc>
        <w:tc>
          <w:tcPr>
            <w:tcW w:w="2500" w:type="dxa"/>
            <w:vAlign w:val="bottom"/>
          </w:tcPr>
          <w:p>
            <w:pPr>
              <w:jc w:val="right"/>
              <w:ind w:right="117"/>
              <w:spacing w:after="0"/>
              <w:rPr>
                <w:sz w:val="20"/>
                <w:szCs w:val="20"/>
                <w:color w:val="auto"/>
              </w:rPr>
            </w:pPr>
            <w:r>
              <w:rPr>
                <w:rFonts w:ascii="Arial" w:cs="Arial" w:eastAsia="Arial" w:hAnsi="Arial"/>
                <w:sz w:val="13"/>
                <w:szCs w:val="13"/>
                <w:color w:val="444A54"/>
              </w:rPr>
              <w:t>69,166</w:t>
            </w:r>
          </w:p>
        </w:tc>
        <w:tc>
          <w:tcPr>
            <w:tcW w:w="1700" w:type="dxa"/>
            <w:vAlign w:val="bottom"/>
            <w:gridSpan w:val="2"/>
          </w:tcPr>
          <w:p>
            <w:pPr>
              <w:jc w:val="right"/>
              <w:ind w:right="274"/>
              <w:spacing w:after="0"/>
              <w:rPr>
                <w:sz w:val="20"/>
                <w:szCs w:val="20"/>
                <w:color w:val="auto"/>
              </w:rPr>
            </w:pPr>
            <w:r>
              <w:rPr>
                <w:rFonts w:ascii="Arial" w:cs="Arial" w:eastAsia="Arial" w:hAnsi="Arial"/>
                <w:sz w:val="13"/>
                <w:szCs w:val="13"/>
                <w:color w:val="444A54"/>
              </w:rPr>
              <w:t>65,006</w:t>
            </w: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444A54"/>
              </w:rPr>
              <w:t>134,172</w:t>
            </w:r>
          </w:p>
        </w:tc>
        <w:tc>
          <w:tcPr>
            <w:tcW w:w="0" w:type="dxa"/>
            <w:vAlign w:val="bottom"/>
          </w:tcPr>
          <w:p>
            <w:pPr>
              <w:spacing w:after="0"/>
              <w:rPr>
                <w:sz w:val="1"/>
                <w:szCs w:val="1"/>
                <w:color w:val="auto"/>
              </w:rPr>
            </w:pPr>
          </w:p>
        </w:tc>
      </w:tr>
      <w:tr>
        <w:trPr>
          <w:trHeight w:val="23"/>
        </w:trPr>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40" w:type="dxa"/>
            <w:vAlign w:val="bottom"/>
            <w:tcBorders>
              <w:bottom w:val="single" w:sz="8" w:color="E5E6E6"/>
            </w:tcBorders>
            <w:shd w:val="clear" w:color="auto" w:fill="E5E6E6"/>
          </w:tcPr>
          <w:p>
            <w:pPr>
              <w:ind w:left="60"/>
              <w:spacing w:after="0"/>
              <w:rPr>
                <w:sz w:val="20"/>
                <w:szCs w:val="20"/>
                <w:color w:val="auto"/>
              </w:rPr>
            </w:pPr>
            <w:r>
              <w:rPr>
                <w:rFonts w:ascii="Arial" w:cs="Arial" w:eastAsia="Arial" w:hAnsi="Arial"/>
                <w:sz w:val="13"/>
                <w:szCs w:val="13"/>
                <w:color w:val="444A54"/>
              </w:rPr>
              <w:t>Kenneth L. Daniels</w:t>
            </w:r>
          </w:p>
        </w:tc>
        <w:tc>
          <w:tcPr>
            <w:tcW w:w="2500" w:type="dxa"/>
            <w:vAlign w:val="bottom"/>
            <w:tcBorders>
              <w:bottom w:val="single" w:sz="8" w:color="E5E6E6"/>
            </w:tcBorders>
            <w:shd w:val="clear" w:color="auto" w:fill="E5E6E6"/>
          </w:tcPr>
          <w:p>
            <w:pPr>
              <w:jc w:val="right"/>
              <w:ind w:right="117"/>
              <w:spacing w:after="0"/>
              <w:rPr>
                <w:sz w:val="20"/>
                <w:szCs w:val="20"/>
                <w:color w:val="auto"/>
              </w:rPr>
            </w:pPr>
            <w:r>
              <w:rPr>
                <w:rFonts w:ascii="Arial" w:cs="Arial" w:eastAsia="Arial" w:hAnsi="Arial"/>
                <w:sz w:val="13"/>
                <w:szCs w:val="13"/>
                <w:color w:val="444A54"/>
              </w:rPr>
              <w:t>101,668</w:t>
            </w:r>
          </w:p>
        </w:tc>
        <w:tc>
          <w:tcPr>
            <w:tcW w:w="1700" w:type="dxa"/>
            <w:vAlign w:val="bottom"/>
            <w:tcBorders>
              <w:bottom w:val="single" w:sz="8" w:color="E5E6E6"/>
            </w:tcBorders>
            <w:gridSpan w:val="2"/>
            <w:shd w:val="clear" w:color="auto" w:fill="E5E6E6"/>
          </w:tcPr>
          <w:p>
            <w:pPr>
              <w:jc w:val="right"/>
              <w:ind w:right="274"/>
              <w:spacing w:after="0"/>
              <w:rPr>
                <w:sz w:val="20"/>
                <w:szCs w:val="20"/>
                <w:color w:val="auto"/>
              </w:rPr>
            </w:pPr>
            <w:r>
              <w:rPr>
                <w:rFonts w:ascii="Arial" w:cs="Arial" w:eastAsia="Arial" w:hAnsi="Arial"/>
                <w:sz w:val="13"/>
                <w:szCs w:val="13"/>
                <w:color w:val="444A54"/>
              </w:rPr>
              <w:t>65,006</w:t>
            </w:r>
          </w:p>
        </w:tc>
        <w:tc>
          <w:tcPr>
            <w:tcW w:w="760" w:type="dxa"/>
            <w:vAlign w:val="bottom"/>
            <w:tcBorders>
              <w:bottom w:val="single" w:sz="8" w:color="E5E6E6"/>
            </w:tcBorders>
            <w:shd w:val="clear" w:color="auto" w:fill="E5E6E6"/>
          </w:tcPr>
          <w:p>
            <w:pPr>
              <w:spacing w:after="0"/>
              <w:rPr>
                <w:sz w:val="16"/>
                <w:szCs w:val="16"/>
                <w:color w:val="auto"/>
              </w:rPr>
            </w:pPr>
          </w:p>
        </w:tc>
        <w:tc>
          <w:tcPr>
            <w:tcW w:w="56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166,674</w:t>
            </w:r>
          </w:p>
        </w:tc>
        <w:tc>
          <w:tcPr>
            <w:tcW w:w="0" w:type="dxa"/>
            <w:vAlign w:val="bottom"/>
          </w:tcPr>
          <w:p>
            <w:pPr>
              <w:spacing w:after="0"/>
              <w:rPr>
                <w:sz w:val="1"/>
                <w:szCs w:val="1"/>
                <w:color w:val="auto"/>
              </w:rPr>
            </w:pPr>
          </w:p>
        </w:tc>
      </w:tr>
      <w:tr>
        <w:trPr>
          <w:trHeight w:val="250"/>
        </w:trPr>
        <w:tc>
          <w:tcPr>
            <w:tcW w:w="2340" w:type="dxa"/>
            <w:vAlign w:val="bottom"/>
          </w:tcPr>
          <w:p>
            <w:pPr>
              <w:ind w:left="60"/>
              <w:spacing w:after="0"/>
              <w:rPr>
                <w:sz w:val="20"/>
                <w:szCs w:val="20"/>
                <w:color w:val="auto"/>
              </w:rPr>
            </w:pPr>
            <w:r>
              <w:rPr>
                <w:rFonts w:ascii="Arial" w:cs="Arial" w:eastAsia="Arial" w:hAnsi="Arial"/>
                <w:sz w:val="13"/>
                <w:szCs w:val="13"/>
                <w:color w:val="444A54"/>
              </w:rPr>
              <w:t>Sally P. Davis</w:t>
            </w:r>
            <w:r>
              <w:rPr>
                <w:rFonts w:ascii="Arial" w:cs="Arial" w:eastAsia="Arial" w:hAnsi="Arial"/>
                <w:sz w:val="20"/>
                <w:szCs w:val="20"/>
                <w:color w:val="444A54"/>
                <w:vertAlign w:val="superscript"/>
              </w:rPr>
              <w:t>4</w:t>
            </w:r>
          </w:p>
        </w:tc>
        <w:tc>
          <w:tcPr>
            <w:tcW w:w="2500" w:type="dxa"/>
            <w:vAlign w:val="bottom"/>
          </w:tcPr>
          <w:p>
            <w:pPr>
              <w:jc w:val="right"/>
              <w:ind w:right="117"/>
              <w:spacing w:after="0"/>
              <w:rPr>
                <w:sz w:val="20"/>
                <w:szCs w:val="20"/>
                <w:color w:val="auto"/>
              </w:rPr>
            </w:pPr>
            <w:r>
              <w:rPr>
                <w:rFonts w:ascii="Arial" w:cs="Arial" w:eastAsia="Arial" w:hAnsi="Arial"/>
                <w:sz w:val="13"/>
                <w:szCs w:val="13"/>
                <w:color w:val="444A54"/>
              </w:rPr>
              <w:t>20,000</w:t>
            </w:r>
          </w:p>
        </w:tc>
        <w:tc>
          <w:tcPr>
            <w:tcW w:w="1700" w:type="dxa"/>
            <w:vAlign w:val="bottom"/>
            <w:gridSpan w:val="2"/>
          </w:tcPr>
          <w:p>
            <w:pPr>
              <w:jc w:val="right"/>
              <w:ind w:right="274"/>
              <w:spacing w:after="0"/>
              <w:rPr>
                <w:sz w:val="20"/>
                <w:szCs w:val="20"/>
                <w:color w:val="auto"/>
              </w:rPr>
            </w:pPr>
            <w:r>
              <w:rPr>
                <w:rFonts w:ascii="Arial" w:cs="Arial" w:eastAsia="Arial" w:hAnsi="Arial"/>
                <w:sz w:val="13"/>
                <w:szCs w:val="13"/>
                <w:color w:val="444A54"/>
              </w:rPr>
              <w:t>43,349</w:t>
            </w:r>
          </w:p>
        </w:tc>
        <w:tc>
          <w:tcPr>
            <w:tcW w:w="7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444A54"/>
              </w:rPr>
              <w:t>63,349</w:t>
            </w:r>
          </w:p>
        </w:tc>
        <w:tc>
          <w:tcPr>
            <w:tcW w:w="0" w:type="dxa"/>
            <w:vAlign w:val="bottom"/>
          </w:tcPr>
          <w:p>
            <w:pPr>
              <w:spacing w:after="0"/>
              <w:rPr>
                <w:sz w:val="1"/>
                <w:szCs w:val="1"/>
                <w:color w:val="auto"/>
              </w:rPr>
            </w:pPr>
          </w:p>
        </w:tc>
      </w:tr>
      <w:tr>
        <w:trPr>
          <w:trHeight w:val="193"/>
        </w:trPr>
        <w:tc>
          <w:tcPr>
            <w:tcW w:w="2340" w:type="dxa"/>
            <w:vAlign w:val="bottom"/>
            <w:tcBorders>
              <w:bottom w:val="single" w:sz="8" w:color="E5E6E6"/>
            </w:tcBorders>
            <w:shd w:val="clear" w:color="auto" w:fill="E5E6E6"/>
          </w:tcPr>
          <w:p>
            <w:pPr>
              <w:ind w:left="60"/>
              <w:spacing w:after="0"/>
              <w:rPr>
                <w:sz w:val="20"/>
                <w:szCs w:val="20"/>
                <w:color w:val="auto"/>
              </w:rPr>
            </w:pPr>
            <w:r>
              <w:rPr>
                <w:rFonts w:ascii="Arial" w:cs="Arial" w:eastAsia="Arial" w:hAnsi="Arial"/>
                <w:sz w:val="13"/>
                <w:szCs w:val="13"/>
                <w:color w:val="444A54"/>
              </w:rPr>
              <w:t>Lance F. Drummond</w:t>
            </w:r>
          </w:p>
        </w:tc>
        <w:tc>
          <w:tcPr>
            <w:tcW w:w="2500" w:type="dxa"/>
            <w:vAlign w:val="bottom"/>
            <w:tcBorders>
              <w:bottom w:val="single" w:sz="8" w:color="E5E6E6"/>
            </w:tcBorders>
            <w:shd w:val="clear" w:color="auto" w:fill="E5E6E6"/>
          </w:tcPr>
          <w:p>
            <w:pPr>
              <w:jc w:val="right"/>
              <w:ind w:right="117"/>
              <w:spacing w:after="0"/>
              <w:rPr>
                <w:sz w:val="20"/>
                <w:szCs w:val="20"/>
                <w:color w:val="auto"/>
              </w:rPr>
            </w:pPr>
            <w:r>
              <w:rPr>
                <w:rFonts w:ascii="Arial" w:cs="Arial" w:eastAsia="Arial" w:hAnsi="Arial"/>
                <w:sz w:val="13"/>
                <w:szCs w:val="13"/>
                <w:color w:val="444A54"/>
              </w:rPr>
              <w:t>91,667</w:t>
            </w:r>
          </w:p>
        </w:tc>
        <w:tc>
          <w:tcPr>
            <w:tcW w:w="1700" w:type="dxa"/>
            <w:vAlign w:val="bottom"/>
            <w:tcBorders>
              <w:bottom w:val="single" w:sz="8" w:color="E5E6E6"/>
            </w:tcBorders>
            <w:gridSpan w:val="2"/>
            <w:shd w:val="clear" w:color="auto" w:fill="E5E6E6"/>
          </w:tcPr>
          <w:p>
            <w:pPr>
              <w:jc w:val="right"/>
              <w:ind w:right="274"/>
              <w:spacing w:after="0"/>
              <w:rPr>
                <w:sz w:val="20"/>
                <w:szCs w:val="20"/>
                <w:color w:val="auto"/>
              </w:rPr>
            </w:pPr>
            <w:r>
              <w:rPr>
                <w:rFonts w:ascii="Arial" w:cs="Arial" w:eastAsia="Arial" w:hAnsi="Arial"/>
                <w:sz w:val="13"/>
                <w:szCs w:val="13"/>
                <w:color w:val="444A54"/>
              </w:rPr>
              <w:t>65,006</w:t>
            </w:r>
          </w:p>
        </w:tc>
        <w:tc>
          <w:tcPr>
            <w:tcW w:w="760" w:type="dxa"/>
            <w:vAlign w:val="bottom"/>
            <w:tcBorders>
              <w:bottom w:val="single" w:sz="8" w:color="E5E6E6"/>
            </w:tcBorders>
            <w:shd w:val="clear" w:color="auto" w:fill="E5E6E6"/>
          </w:tcPr>
          <w:p>
            <w:pPr>
              <w:spacing w:after="0"/>
              <w:rPr>
                <w:sz w:val="16"/>
                <w:szCs w:val="16"/>
                <w:color w:val="auto"/>
              </w:rPr>
            </w:pPr>
          </w:p>
        </w:tc>
        <w:tc>
          <w:tcPr>
            <w:tcW w:w="56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156,673</w:t>
            </w:r>
          </w:p>
        </w:tc>
        <w:tc>
          <w:tcPr>
            <w:tcW w:w="0" w:type="dxa"/>
            <w:vAlign w:val="bottom"/>
          </w:tcPr>
          <w:p>
            <w:pPr>
              <w:spacing w:after="0"/>
              <w:rPr>
                <w:sz w:val="1"/>
                <w:szCs w:val="1"/>
                <w:color w:val="auto"/>
              </w:rPr>
            </w:pPr>
          </w:p>
        </w:tc>
      </w:tr>
      <w:tr>
        <w:trPr>
          <w:trHeight w:val="190"/>
        </w:trPr>
        <w:tc>
          <w:tcPr>
            <w:tcW w:w="2340" w:type="dxa"/>
            <w:vAlign w:val="bottom"/>
          </w:tcPr>
          <w:p>
            <w:pPr>
              <w:ind w:left="60"/>
              <w:spacing w:after="0"/>
              <w:rPr>
                <w:sz w:val="20"/>
                <w:szCs w:val="20"/>
                <w:color w:val="auto"/>
              </w:rPr>
            </w:pPr>
            <w:r>
              <w:rPr>
                <w:rFonts w:ascii="Arial" w:cs="Arial" w:eastAsia="Arial" w:hAnsi="Arial"/>
                <w:sz w:val="13"/>
                <w:szCs w:val="13"/>
                <w:color w:val="444A54"/>
              </w:rPr>
              <w:t>John M. James</w:t>
            </w:r>
          </w:p>
        </w:tc>
        <w:tc>
          <w:tcPr>
            <w:tcW w:w="2500" w:type="dxa"/>
            <w:vAlign w:val="bottom"/>
          </w:tcPr>
          <w:p>
            <w:pPr>
              <w:jc w:val="right"/>
              <w:ind w:right="117"/>
              <w:spacing w:after="0"/>
              <w:rPr>
                <w:sz w:val="20"/>
                <w:szCs w:val="20"/>
                <w:color w:val="auto"/>
              </w:rPr>
            </w:pPr>
            <w:r>
              <w:rPr>
                <w:rFonts w:ascii="Arial" w:cs="Arial" w:eastAsia="Arial" w:hAnsi="Arial"/>
                <w:sz w:val="13"/>
                <w:szCs w:val="13"/>
                <w:color w:val="444A54"/>
              </w:rPr>
              <w:t>70,001</w:t>
            </w:r>
          </w:p>
        </w:tc>
        <w:tc>
          <w:tcPr>
            <w:tcW w:w="1700" w:type="dxa"/>
            <w:vAlign w:val="bottom"/>
            <w:gridSpan w:val="2"/>
          </w:tcPr>
          <w:p>
            <w:pPr>
              <w:jc w:val="right"/>
              <w:ind w:right="274"/>
              <w:spacing w:after="0"/>
              <w:rPr>
                <w:sz w:val="20"/>
                <w:szCs w:val="20"/>
                <w:color w:val="auto"/>
              </w:rPr>
            </w:pPr>
            <w:r>
              <w:rPr>
                <w:rFonts w:ascii="Arial" w:cs="Arial" w:eastAsia="Arial" w:hAnsi="Arial"/>
                <w:sz w:val="13"/>
                <w:szCs w:val="13"/>
                <w:color w:val="444A54"/>
              </w:rPr>
              <w:t>65,006</w:t>
            </w: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444A54"/>
              </w:rPr>
              <w:t>135,007</w:t>
            </w:r>
          </w:p>
        </w:tc>
        <w:tc>
          <w:tcPr>
            <w:tcW w:w="0" w:type="dxa"/>
            <w:vAlign w:val="bottom"/>
          </w:tcPr>
          <w:p>
            <w:pPr>
              <w:spacing w:after="0"/>
              <w:rPr>
                <w:sz w:val="1"/>
                <w:szCs w:val="1"/>
                <w:color w:val="auto"/>
              </w:rPr>
            </w:pPr>
          </w:p>
        </w:tc>
      </w:tr>
      <w:tr>
        <w:trPr>
          <w:trHeight w:val="23"/>
        </w:trPr>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40" w:type="dxa"/>
            <w:vAlign w:val="bottom"/>
            <w:tcBorders>
              <w:bottom w:val="single" w:sz="8" w:color="E5E6E6"/>
            </w:tcBorders>
            <w:shd w:val="clear" w:color="auto" w:fill="E5E6E6"/>
          </w:tcPr>
          <w:p>
            <w:pPr>
              <w:ind w:left="60"/>
              <w:spacing w:after="0"/>
              <w:rPr>
                <w:sz w:val="20"/>
                <w:szCs w:val="20"/>
                <w:color w:val="auto"/>
              </w:rPr>
            </w:pPr>
            <w:r>
              <w:rPr>
                <w:rFonts w:ascii="Arial" w:cs="Arial" w:eastAsia="Arial" w:hAnsi="Arial"/>
                <w:sz w:val="13"/>
                <w:szCs w:val="13"/>
                <w:color w:val="444A54"/>
              </w:rPr>
              <w:t>Jennifer K. Mann</w:t>
            </w:r>
          </w:p>
        </w:tc>
        <w:tc>
          <w:tcPr>
            <w:tcW w:w="2500" w:type="dxa"/>
            <w:vAlign w:val="bottom"/>
            <w:tcBorders>
              <w:bottom w:val="single" w:sz="8" w:color="E5E6E6"/>
            </w:tcBorders>
            <w:shd w:val="clear" w:color="auto" w:fill="E5E6E6"/>
          </w:tcPr>
          <w:p>
            <w:pPr>
              <w:jc w:val="right"/>
              <w:ind w:right="117"/>
              <w:spacing w:after="0"/>
              <w:rPr>
                <w:sz w:val="20"/>
                <w:szCs w:val="20"/>
                <w:color w:val="auto"/>
              </w:rPr>
            </w:pPr>
            <w:r>
              <w:rPr>
                <w:rFonts w:ascii="Arial" w:cs="Arial" w:eastAsia="Arial" w:hAnsi="Arial"/>
                <w:sz w:val="13"/>
                <w:szCs w:val="13"/>
                <w:color w:val="444A54"/>
              </w:rPr>
              <w:t>80,833</w:t>
            </w:r>
          </w:p>
        </w:tc>
        <w:tc>
          <w:tcPr>
            <w:tcW w:w="1700" w:type="dxa"/>
            <w:vAlign w:val="bottom"/>
            <w:tcBorders>
              <w:bottom w:val="single" w:sz="8" w:color="E5E6E6"/>
            </w:tcBorders>
            <w:gridSpan w:val="2"/>
            <w:shd w:val="clear" w:color="auto" w:fill="E5E6E6"/>
          </w:tcPr>
          <w:p>
            <w:pPr>
              <w:jc w:val="right"/>
              <w:ind w:right="274"/>
              <w:spacing w:after="0"/>
              <w:rPr>
                <w:sz w:val="20"/>
                <w:szCs w:val="20"/>
                <w:color w:val="auto"/>
              </w:rPr>
            </w:pPr>
            <w:r>
              <w:rPr>
                <w:rFonts w:ascii="Arial" w:cs="Arial" w:eastAsia="Arial" w:hAnsi="Arial"/>
                <w:sz w:val="13"/>
                <w:szCs w:val="13"/>
                <w:color w:val="444A54"/>
              </w:rPr>
              <w:t>65,006</w:t>
            </w:r>
          </w:p>
        </w:tc>
        <w:tc>
          <w:tcPr>
            <w:tcW w:w="760" w:type="dxa"/>
            <w:vAlign w:val="bottom"/>
            <w:tcBorders>
              <w:bottom w:val="single" w:sz="8" w:color="E5E6E6"/>
            </w:tcBorders>
            <w:shd w:val="clear" w:color="auto" w:fill="E5E6E6"/>
          </w:tcPr>
          <w:p>
            <w:pPr>
              <w:spacing w:after="0"/>
              <w:rPr>
                <w:sz w:val="16"/>
                <w:szCs w:val="16"/>
                <w:color w:val="auto"/>
              </w:rPr>
            </w:pPr>
          </w:p>
        </w:tc>
        <w:tc>
          <w:tcPr>
            <w:tcW w:w="56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145,839</w:t>
            </w:r>
          </w:p>
        </w:tc>
        <w:tc>
          <w:tcPr>
            <w:tcW w:w="0" w:type="dxa"/>
            <w:vAlign w:val="bottom"/>
          </w:tcPr>
          <w:p>
            <w:pPr>
              <w:spacing w:after="0"/>
              <w:rPr>
                <w:sz w:val="1"/>
                <w:szCs w:val="1"/>
                <w:color w:val="auto"/>
              </w:rPr>
            </w:pPr>
          </w:p>
        </w:tc>
      </w:tr>
      <w:tr>
        <w:trPr>
          <w:trHeight w:val="190"/>
        </w:trPr>
        <w:tc>
          <w:tcPr>
            <w:tcW w:w="2340" w:type="dxa"/>
            <w:vAlign w:val="bottom"/>
          </w:tcPr>
          <w:p>
            <w:pPr>
              <w:ind w:left="60"/>
              <w:spacing w:after="0"/>
              <w:rPr>
                <w:sz w:val="20"/>
                <w:szCs w:val="20"/>
                <w:color w:val="auto"/>
              </w:rPr>
            </w:pPr>
            <w:r>
              <w:rPr>
                <w:rFonts w:ascii="Arial" w:cs="Arial" w:eastAsia="Arial" w:hAnsi="Arial"/>
                <w:sz w:val="13"/>
                <w:szCs w:val="13"/>
                <w:color w:val="444A54"/>
              </w:rPr>
              <w:t>Thomas A. Richlovsky</w:t>
            </w:r>
          </w:p>
        </w:tc>
        <w:tc>
          <w:tcPr>
            <w:tcW w:w="2500" w:type="dxa"/>
            <w:vAlign w:val="bottom"/>
          </w:tcPr>
          <w:p>
            <w:pPr>
              <w:jc w:val="right"/>
              <w:ind w:right="117"/>
              <w:spacing w:after="0"/>
              <w:rPr>
                <w:sz w:val="20"/>
                <w:szCs w:val="20"/>
                <w:color w:val="auto"/>
              </w:rPr>
            </w:pPr>
            <w:r>
              <w:rPr>
                <w:rFonts w:ascii="Arial" w:cs="Arial" w:eastAsia="Arial" w:hAnsi="Arial"/>
                <w:sz w:val="13"/>
                <w:szCs w:val="13"/>
                <w:color w:val="444A54"/>
              </w:rPr>
              <w:t>113,334</w:t>
            </w:r>
          </w:p>
        </w:tc>
        <w:tc>
          <w:tcPr>
            <w:tcW w:w="1700" w:type="dxa"/>
            <w:vAlign w:val="bottom"/>
            <w:gridSpan w:val="2"/>
          </w:tcPr>
          <w:p>
            <w:pPr>
              <w:jc w:val="right"/>
              <w:ind w:right="274"/>
              <w:spacing w:after="0"/>
              <w:rPr>
                <w:sz w:val="20"/>
                <w:szCs w:val="20"/>
                <w:color w:val="auto"/>
              </w:rPr>
            </w:pPr>
            <w:r>
              <w:rPr>
                <w:rFonts w:ascii="Arial" w:cs="Arial" w:eastAsia="Arial" w:hAnsi="Arial"/>
                <w:sz w:val="13"/>
                <w:szCs w:val="13"/>
                <w:color w:val="444A54"/>
              </w:rPr>
              <w:t>65,006</w:t>
            </w: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444A54"/>
              </w:rPr>
              <w:t>178,340</w:t>
            </w:r>
          </w:p>
        </w:tc>
        <w:tc>
          <w:tcPr>
            <w:tcW w:w="0" w:type="dxa"/>
            <w:vAlign w:val="bottom"/>
          </w:tcPr>
          <w:p>
            <w:pPr>
              <w:spacing w:after="0"/>
              <w:rPr>
                <w:sz w:val="1"/>
                <w:szCs w:val="1"/>
                <w:color w:val="auto"/>
              </w:rPr>
            </w:pPr>
          </w:p>
        </w:tc>
      </w:tr>
      <w:tr>
        <w:trPr>
          <w:trHeight w:val="23"/>
        </w:trPr>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40" w:type="dxa"/>
            <w:vAlign w:val="bottom"/>
            <w:tcBorders>
              <w:bottom w:val="single" w:sz="8" w:color="E5E6E6"/>
            </w:tcBorders>
            <w:shd w:val="clear" w:color="auto" w:fill="E5E6E6"/>
          </w:tcPr>
          <w:p>
            <w:pPr>
              <w:ind w:left="60"/>
              <w:spacing w:after="0"/>
              <w:rPr>
                <w:sz w:val="20"/>
                <w:szCs w:val="20"/>
                <w:color w:val="auto"/>
              </w:rPr>
            </w:pPr>
            <w:r>
              <w:rPr>
                <w:rFonts w:ascii="Arial" w:cs="Arial" w:eastAsia="Arial" w:hAnsi="Arial"/>
                <w:sz w:val="13"/>
                <w:szCs w:val="13"/>
                <w:color w:val="444A54"/>
              </w:rPr>
              <w:t>David C. Shaver</w:t>
            </w:r>
          </w:p>
        </w:tc>
        <w:tc>
          <w:tcPr>
            <w:tcW w:w="2500" w:type="dxa"/>
            <w:vAlign w:val="bottom"/>
            <w:tcBorders>
              <w:bottom w:val="single" w:sz="8" w:color="E5E6E6"/>
            </w:tcBorders>
            <w:shd w:val="clear" w:color="auto" w:fill="E5E6E6"/>
          </w:tcPr>
          <w:p>
            <w:pPr>
              <w:jc w:val="right"/>
              <w:ind w:right="117"/>
              <w:spacing w:after="0"/>
              <w:rPr>
                <w:sz w:val="20"/>
                <w:szCs w:val="20"/>
                <w:color w:val="auto"/>
              </w:rPr>
            </w:pPr>
            <w:r>
              <w:rPr>
                <w:rFonts w:ascii="Arial" w:cs="Arial" w:eastAsia="Arial" w:hAnsi="Arial"/>
                <w:sz w:val="13"/>
                <w:szCs w:val="13"/>
                <w:color w:val="444A54"/>
              </w:rPr>
              <w:t>96,667</w:t>
            </w:r>
          </w:p>
        </w:tc>
        <w:tc>
          <w:tcPr>
            <w:tcW w:w="1700" w:type="dxa"/>
            <w:vAlign w:val="bottom"/>
            <w:tcBorders>
              <w:bottom w:val="single" w:sz="8" w:color="E5E6E6"/>
            </w:tcBorders>
            <w:gridSpan w:val="2"/>
            <w:shd w:val="clear" w:color="auto" w:fill="E5E6E6"/>
          </w:tcPr>
          <w:p>
            <w:pPr>
              <w:jc w:val="right"/>
              <w:ind w:right="274"/>
              <w:spacing w:after="0"/>
              <w:rPr>
                <w:sz w:val="20"/>
                <w:szCs w:val="20"/>
                <w:color w:val="auto"/>
              </w:rPr>
            </w:pPr>
            <w:r>
              <w:rPr>
                <w:rFonts w:ascii="Arial" w:cs="Arial" w:eastAsia="Arial" w:hAnsi="Arial"/>
                <w:sz w:val="13"/>
                <w:szCs w:val="13"/>
                <w:color w:val="444A54"/>
              </w:rPr>
              <w:t>65,006</w:t>
            </w:r>
          </w:p>
        </w:tc>
        <w:tc>
          <w:tcPr>
            <w:tcW w:w="760" w:type="dxa"/>
            <w:vAlign w:val="bottom"/>
            <w:tcBorders>
              <w:bottom w:val="single" w:sz="8" w:color="E5E6E6"/>
            </w:tcBorders>
            <w:shd w:val="clear" w:color="auto" w:fill="E5E6E6"/>
          </w:tcPr>
          <w:p>
            <w:pPr>
              <w:spacing w:after="0"/>
              <w:rPr>
                <w:sz w:val="16"/>
                <w:szCs w:val="16"/>
                <w:color w:val="auto"/>
              </w:rPr>
            </w:pPr>
          </w:p>
        </w:tc>
        <w:tc>
          <w:tcPr>
            <w:tcW w:w="56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161,673</w:t>
            </w:r>
          </w:p>
        </w:tc>
        <w:tc>
          <w:tcPr>
            <w:tcW w:w="0" w:type="dxa"/>
            <w:vAlign w:val="bottom"/>
          </w:tcPr>
          <w:p>
            <w:pPr>
              <w:spacing w:after="0"/>
              <w:rPr>
                <w:sz w:val="1"/>
                <w:szCs w:val="1"/>
                <w:color w:val="auto"/>
              </w:rPr>
            </w:pPr>
          </w:p>
        </w:tc>
      </w:tr>
      <w:tr>
        <w:trPr>
          <w:trHeight w:val="190"/>
        </w:trPr>
        <w:tc>
          <w:tcPr>
            <w:tcW w:w="2340" w:type="dxa"/>
            <w:vAlign w:val="bottom"/>
          </w:tcPr>
          <w:p>
            <w:pPr>
              <w:ind w:left="60"/>
              <w:spacing w:after="0"/>
              <w:rPr>
                <w:sz w:val="20"/>
                <w:szCs w:val="20"/>
                <w:color w:val="auto"/>
              </w:rPr>
            </w:pPr>
            <w:r>
              <w:rPr>
                <w:rFonts w:ascii="Arial" w:cs="Arial" w:eastAsia="Arial" w:hAnsi="Arial"/>
                <w:sz w:val="13"/>
                <w:szCs w:val="13"/>
                <w:color w:val="444A54"/>
              </w:rPr>
              <w:t>Tim R. Wallis</w:t>
            </w:r>
          </w:p>
        </w:tc>
        <w:tc>
          <w:tcPr>
            <w:tcW w:w="2500" w:type="dxa"/>
            <w:vAlign w:val="bottom"/>
          </w:tcPr>
          <w:p>
            <w:pPr>
              <w:jc w:val="right"/>
              <w:ind w:right="117"/>
              <w:spacing w:after="0"/>
              <w:rPr>
                <w:sz w:val="20"/>
                <w:szCs w:val="20"/>
                <w:color w:val="auto"/>
              </w:rPr>
            </w:pPr>
            <w:r>
              <w:rPr>
                <w:rFonts w:ascii="Arial" w:cs="Arial" w:eastAsia="Arial" w:hAnsi="Arial"/>
                <w:sz w:val="13"/>
                <w:szCs w:val="13"/>
                <w:color w:val="444A54"/>
              </w:rPr>
              <w:t>62,500</w:t>
            </w:r>
          </w:p>
        </w:tc>
        <w:tc>
          <w:tcPr>
            <w:tcW w:w="1700" w:type="dxa"/>
            <w:vAlign w:val="bottom"/>
            <w:gridSpan w:val="2"/>
          </w:tcPr>
          <w:p>
            <w:pPr>
              <w:jc w:val="right"/>
              <w:ind w:right="274"/>
              <w:spacing w:after="0"/>
              <w:rPr>
                <w:sz w:val="20"/>
                <w:szCs w:val="20"/>
                <w:color w:val="auto"/>
              </w:rPr>
            </w:pPr>
            <w:r>
              <w:rPr>
                <w:rFonts w:ascii="Arial" w:cs="Arial" w:eastAsia="Arial" w:hAnsi="Arial"/>
                <w:sz w:val="13"/>
                <w:szCs w:val="13"/>
                <w:color w:val="444A54"/>
              </w:rPr>
              <w:t>65,006</w:t>
            </w:r>
          </w:p>
        </w:tc>
        <w:tc>
          <w:tcPr>
            <w:tcW w:w="7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444A54"/>
              </w:rPr>
              <w:t>127,506</w:t>
            </w:r>
          </w:p>
        </w:tc>
        <w:tc>
          <w:tcPr>
            <w:tcW w:w="0" w:type="dxa"/>
            <w:vAlign w:val="bottom"/>
          </w:tcPr>
          <w:p>
            <w:pPr>
              <w:spacing w:after="0"/>
              <w:rPr>
                <w:sz w:val="1"/>
                <w:szCs w:val="1"/>
                <w:color w:val="auto"/>
              </w:rPr>
            </w:pPr>
          </w:p>
        </w:tc>
      </w:tr>
      <w:tr>
        <w:trPr>
          <w:trHeight w:val="23"/>
        </w:trPr>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40" w:type="dxa"/>
            <w:vAlign w:val="bottom"/>
            <w:shd w:val="clear" w:color="auto" w:fill="E5E6E6"/>
          </w:tcPr>
          <w:p>
            <w:pPr>
              <w:ind w:left="60"/>
              <w:spacing w:after="0"/>
              <w:rPr>
                <w:sz w:val="20"/>
                <w:szCs w:val="20"/>
                <w:color w:val="auto"/>
              </w:rPr>
            </w:pPr>
            <w:r>
              <w:rPr>
                <w:rFonts w:ascii="Arial" w:cs="Arial" w:eastAsia="Arial" w:hAnsi="Arial"/>
                <w:sz w:val="13"/>
                <w:szCs w:val="13"/>
                <w:color w:val="444A54"/>
              </w:rPr>
              <w:t>Amb. David H. Wilkins</w:t>
            </w:r>
          </w:p>
        </w:tc>
        <w:tc>
          <w:tcPr>
            <w:tcW w:w="2500" w:type="dxa"/>
            <w:vAlign w:val="bottom"/>
            <w:shd w:val="clear" w:color="auto" w:fill="E5E6E6"/>
          </w:tcPr>
          <w:p>
            <w:pPr>
              <w:jc w:val="right"/>
              <w:ind w:right="117"/>
              <w:spacing w:after="0"/>
              <w:rPr>
                <w:sz w:val="20"/>
                <w:szCs w:val="20"/>
                <w:color w:val="auto"/>
              </w:rPr>
            </w:pPr>
            <w:r>
              <w:rPr>
                <w:rFonts w:ascii="Arial" w:cs="Arial" w:eastAsia="Arial" w:hAnsi="Arial"/>
                <w:sz w:val="13"/>
                <w:szCs w:val="13"/>
                <w:color w:val="444A54"/>
              </w:rPr>
              <w:t>64,167</w:t>
            </w:r>
          </w:p>
        </w:tc>
        <w:tc>
          <w:tcPr>
            <w:tcW w:w="1700" w:type="dxa"/>
            <w:vAlign w:val="bottom"/>
            <w:gridSpan w:val="2"/>
            <w:shd w:val="clear" w:color="auto" w:fill="E5E6E6"/>
          </w:tcPr>
          <w:p>
            <w:pPr>
              <w:jc w:val="right"/>
              <w:ind w:right="274"/>
              <w:spacing w:after="0"/>
              <w:rPr>
                <w:sz w:val="20"/>
                <w:szCs w:val="20"/>
                <w:color w:val="auto"/>
              </w:rPr>
            </w:pPr>
            <w:r>
              <w:rPr>
                <w:rFonts w:ascii="Arial" w:cs="Arial" w:eastAsia="Arial" w:hAnsi="Arial"/>
                <w:sz w:val="13"/>
                <w:szCs w:val="13"/>
                <w:color w:val="444A54"/>
              </w:rPr>
              <w:t>65,006</w:t>
            </w:r>
          </w:p>
        </w:tc>
        <w:tc>
          <w:tcPr>
            <w:tcW w:w="760" w:type="dxa"/>
            <w:vAlign w:val="bottom"/>
            <w:shd w:val="clear" w:color="auto" w:fill="E5E6E6"/>
          </w:tcPr>
          <w:p>
            <w:pPr>
              <w:spacing w:after="0"/>
              <w:rPr>
                <w:sz w:val="16"/>
                <w:szCs w:val="16"/>
                <w:color w:val="auto"/>
              </w:rPr>
            </w:pPr>
          </w:p>
        </w:tc>
        <w:tc>
          <w:tcPr>
            <w:tcW w:w="560" w:type="dxa"/>
            <w:vAlign w:val="bottom"/>
            <w:shd w:val="clear" w:color="auto" w:fill="E5E6E6"/>
          </w:tcPr>
          <w:p>
            <w:pPr>
              <w:jc w:val="right"/>
              <w:spacing w:after="0"/>
              <w:rPr>
                <w:sz w:val="20"/>
                <w:szCs w:val="20"/>
                <w:color w:val="auto"/>
              </w:rPr>
            </w:pPr>
            <w:r>
              <w:rPr>
                <w:rFonts w:ascii="Arial" w:cs="Arial" w:eastAsia="Arial" w:hAnsi="Arial"/>
                <w:sz w:val="13"/>
                <w:szCs w:val="13"/>
                <w:color w:val="444A54"/>
              </w:rPr>
              <w:t>129,173</w:t>
            </w:r>
          </w:p>
        </w:tc>
        <w:tc>
          <w:tcPr>
            <w:tcW w:w="0" w:type="dxa"/>
            <w:vAlign w:val="bottom"/>
          </w:tcPr>
          <w:p>
            <w:pPr>
              <w:spacing w:after="0"/>
              <w:rPr>
                <w:sz w:val="1"/>
                <w:szCs w:val="1"/>
                <w:color w:val="auto"/>
              </w:rPr>
            </w:pPr>
          </w:p>
        </w:tc>
      </w:tr>
      <w:tr>
        <w:trPr>
          <w:trHeight w:val="23"/>
        </w:trPr>
        <w:tc>
          <w:tcPr>
            <w:tcW w:w="2340" w:type="dxa"/>
            <w:vAlign w:val="bottom"/>
            <w:shd w:val="clear" w:color="auto" w:fill="E5E6E6"/>
          </w:tcPr>
          <w:p>
            <w:pPr>
              <w:spacing w:after="0" w:line="20" w:lineRule="exact"/>
              <w:rPr>
                <w:sz w:val="1"/>
                <w:szCs w:val="1"/>
                <w:color w:val="auto"/>
              </w:rPr>
            </w:pPr>
          </w:p>
        </w:tc>
        <w:tc>
          <w:tcPr>
            <w:tcW w:w="2500" w:type="dxa"/>
            <w:vAlign w:val="bottom"/>
            <w:shd w:val="clear" w:color="auto" w:fill="E5E6E6"/>
          </w:tcPr>
          <w:p>
            <w:pPr>
              <w:spacing w:after="0" w:line="20" w:lineRule="exact"/>
              <w:rPr>
                <w:sz w:val="1"/>
                <w:szCs w:val="1"/>
                <w:color w:val="auto"/>
              </w:rPr>
            </w:pPr>
          </w:p>
        </w:tc>
        <w:tc>
          <w:tcPr>
            <w:tcW w:w="1140" w:type="dxa"/>
            <w:vAlign w:val="bottom"/>
            <w:shd w:val="clear" w:color="auto" w:fill="E5E6E6"/>
          </w:tcPr>
          <w:p>
            <w:pPr>
              <w:spacing w:after="0" w:line="20" w:lineRule="exact"/>
              <w:rPr>
                <w:sz w:val="1"/>
                <w:szCs w:val="1"/>
                <w:color w:val="auto"/>
              </w:rPr>
            </w:pPr>
          </w:p>
        </w:tc>
        <w:tc>
          <w:tcPr>
            <w:tcW w:w="560" w:type="dxa"/>
            <w:vAlign w:val="bottom"/>
            <w:shd w:val="clear" w:color="auto" w:fill="E5E6E6"/>
          </w:tcPr>
          <w:p>
            <w:pPr>
              <w:spacing w:after="0" w:line="20" w:lineRule="exact"/>
              <w:rPr>
                <w:sz w:val="1"/>
                <w:szCs w:val="1"/>
                <w:color w:val="auto"/>
              </w:rPr>
            </w:pPr>
          </w:p>
        </w:tc>
        <w:tc>
          <w:tcPr>
            <w:tcW w:w="760" w:type="dxa"/>
            <w:vAlign w:val="bottom"/>
            <w:shd w:val="clear" w:color="auto" w:fill="E5E6E6"/>
          </w:tcPr>
          <w:p>
            <w:pPr>
              <w:spacing w:after="0" w:line="20" w:lineRule="exact"/>
              <w:rPr>
                <w:sz w:val="1"/>
                <w:szCs w:val="1"/>
                <w:color w:val="auto"/>
              </w:rPr>
            </w:pPr>
          </w:p>
        </w:tc>
        <w:tc>
          <w:tcPr>
            <w:tcW w:w="560" w:type="dxa"/>
            <w:vAlign w:val="bottom"/>
            <w:shd w:val="clear" w:color="auto" w:fill="E5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hanging="237"/>
        <w:spacing w:after="0" w:line="204" w:lineRule="auto"/>
        <w:tabs>
          <w:tab w:leader="none" w:pos="300" w:val="left"/>
        </w:tabs>
        <w:numPr>
          <w:ilvl w:val="0"/>
          <w:numId w:val="18"/>
        </w:numPr>
        <w:rPr>
          <w:rFonts w:ascii="Arial" w:cs="Arial" w:eastAsia="Arial" w:hAnsi="Arial"/>
          <w:sz w:val="21"/>
          <w:szCs w:val="21"/>
          <w:color w:val="444A54"/>
          <w:vertAlign w:val="superscript"/>
        </w:rPr>
      </w:pPr>
      <w:r>
        <w:rPr>
          <w:rFonts w:ascii="Arial" w:cs="Arial" w:eastAsia="Arial" w:hAnsi="Arial"/>
          <w:sz w:val="13"/>
          <w:szCs w:val="13"/>
          <w:color w:val="444A54"/>
        </w:rPr>
        <w:t>The annual cash retainer fees may be deferred pursuant to United Community’s Deferred Compensation Plan. Ms. Bazante elected to defer her 2024 annual director cash compensation.</w:t>
      </w:r>
    </w:p>
    <w:p>
      <w:pPr>
        <w:spacing w:after="0" w:line="7" w:lineRule="exact"/>
        <w:rPr>
          <w:sz w:val="20"/>
          <w:szCs w:val="20"/>
          <w:color w:val="auto"/>
        </w:rPr>
      </w:pPr>
    </w:p>
    <w:p>
      <w:pPr>
        <w:ind w:left="300" w:hanging="237"/>
        <w:spacing w:after="0" w:line="206" w:lineRule="auto"/>
        <w:tabs>
          <w:tab w:leader="none" w:pos="300" w:val="left"/>
        </w:tabs>
        <w:numPr>
          <w:ilvl w:val="0"/>
          <w:numId w:val="19"/>
        </w:numPr>
        <w:rPr>
          <w:rFonts w:ascii="Arial" w:cs="Arial" w:eastAsia="Arial" w:hAnsi="Arial"/>
          <w:sz w:val="21"/>
          <w:szCs w:val="21"/>
          <w:color w:val="444A54"/>
          <w:vertAlign w:val="superscript"/>
        </w:rPr>
      </w:pPr>
      <w:r>
        <w:rPr>
          <w:rFonts w:ascii="Arial" w:cs="Arial" w:eastAsia="Arial" w:hAnsi="Arial"/>
          <w:sz w:val="13"/>
          <w:szCs w:val="13"/>
          <w:color w:val="444A54"/>
        </w:rPr>
        <w:t>With the exception of Ms. Davis, this represents the grant date fair value of time-based restricted stock units awarded on May 15, 2024 (2,413 underlying shares valued at $26.94 per share, the price of United Community’s common stock on that date) computed in accordance with Financial Accounting Standards Board (“FASB”) Accounting Standards Codification (“ASC”) Topic 718. Ms. Davis’ award was prorated based on her appointment to the Board on September 4, 2024 and represents the grant date fair value of time-based restricted stock units awarded on September 4, 2024 (1,464 underlying shares valued at $29.61 per share, the price of United Community’s common stock on that date) computed in accordance with FASB ASC Topic 718. All director 2024 time-based restricted stock unit awards were outstanding as of December 31, 2024. See Note 16 of our annual consolidated financial statements included in our Annual Report on Form 10-K for the year ended December 31, 2024, filed with the SEC on February 27, 2025, for information regarding assumptions made in the valuation of these awards. These awards are granted annually on the date directors are elected at the annual meeting and vest the day before the following year’s annual meeting.</w:t>
      </w:r>
    </w:p>
    <w:p>
      <w:pPr>
        <w:spacing w:after="0" w:line="11" w:lineRule="exact"/>
        <w:rPr>
          <w:sz w:val="20"/>
          <w:szCs w:val="20"/>
          <w:color w:val="auto"/>
        </w:rPr>
      </w:pPr>
    </w:p>
    <w:p>
      <w:pPr>
        <w:ind w:left="300" w:right="60" w:hanging="237"/>
        <w:spacing w:after="0" w:line="204" w:lineRule="auto"/>
        <w:tabs>
          <w:tab w:leader="none" w:pos="300" w:val="left"/>
        </w:tabs>
        <w:numPr>
          <w:ilvl w:val="0"/>
          <w:numId w:val="20"/>
        </w:numPr>
        <w:rPr>
          <w:rFonts w:ascii="Arial" w:cs="Arial" w:eastAsia="Arial" w:hAnsi="Arial"/>
          <w:sz w:val="20"/>
          <w:szCs w:val="20"/>
          <w:color w:val="444A54"/>
          <w:vertAlign w:val="superscript"/>
        </w:rPr>
      </w:pPr>
      <w:r>
        <w:rPr>
          <w:rFonts w:ascii="Arial" w:cs="Arial" w:eastAsia="Arial" w:hAnsi="Arial"/>
          <w:sz w:val="12"/>
          <w:szCs w:val="12"/>
          <w:color w:val="444A54"/>
        </w:rPr>
        <w:t xml:space="preserve">We also reimburse directors for certain fees and expenses incurred in connection with continuing education activities and for travel and expenses related to United Community business. On occasion, a director may be accompanied by his or her spouse on a business-related trip or flight. Any incremental cost attributable to the director’s spouse is </w:t>
      </w:r>
      <w:r>
        <w:rPr>
          <w:rFonts w:ascii="Arial" w:cs="Arial" w:eastAsia="Arial" w:hAnsi="Arial"/>
          <w:sz w:val="12"/>
          <w:szCs w:val="12"/>
          <w:i w:val="1"/>
          <w:iCs w:val="1"/>
          <w:color w:val="444A54"/>
        </w:rPr>
        <w:t>de minimis</w:t>
      </w:r>
      <w:r>
        <w:rPr>
          <w:rFonts w:ascii="Arial" w:cs="Arial" w:eastAsia="Arial" w:hAnsi="Arial"/>
          <w:sz w:val="12"/>
          <w:szCs w:val="12"/>
          <w:color w:val="444A54"/>
        </w:rPr>
        <w:t xml:space="preserve"> and, accordingly, we do not allocate incremental cost to the director for his or her spouse’s use of our aircraft when accompanying the director on a business trip, and we do not pay any other expenses for the spouse’s benefit.</w:t>
      </w:r>
    </w:p>
    <w:p>
      <w:pPr>
        <w:ind w:left="300" w:hanging="237"/>
        <w:spacing w:after="0" w:line="180" w:lineRule="auto"/>
        <w:tabs>
          <w:tab w:leader="none" w:pos="300" w:val="left"/>
        </w:tabs>
        <w:numPr>
          <w:ilvl w:val="0"/>
          <w:numId w:val="21"/>
        </w:numPr>
        <w:rPr>
          <w:rFonts w:ascii="Arial" w:cs="Arial" w:eastAsia="Arial" w:hAnsi="Arial"/>
          <w:sz w:val="20"/>
          <w:szCs w:val="20"/>
          <w:color w:val="444A54"/>
          <w:vertAlign w:val="superscript"/>
        </w:rPr>
      </w:pPr>
      <w:r>
        <w:rPr>
          <w:rFonts w:ascii="Arial" w:cs="Arial" w:eastAsia="Arial" w:hAnsi="Arial"/>
          <w:sz w:val="12"/>
          <w:szCs w:val="12"/>
          <w:color w:val="444A54"/>
        </w:rPr>
        <w:t>Ms. Davis’ 2024 director compensation was prorated based on her appointment to the Board on September 4, 2024.</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33" w:name="page34"/>
    <w:bookmarkEnd w:id="33"/>
    <w:p>
      <w:pPr>
        <w:ind w:right="1240"/>
        <w:spacing w:after="0" w:line="296" w:lineRule="auto"/>
        <w:rPr>
          <w:sz w:val="20"/>
          <w:szCs w:val="20"/>
          <w:color w:val="auto"/>
        </w:rPr>
      </w:pPr>
      <w:r>
        <w:rPr>
          <w:rFonts w:ascii="Arial" w:cs="Arial" w:eastAsia="Arial" w:hAnsi="Arial"/>
          <w:sz w:val="33"/>
          <w:szCs w:val="33"/>
          <w:b w:val="1"/>
          <w:bCs w:val="1"/>
          <w:color w:val="194C85"/>
        </w:rPr>
        <w:t>Proposal 2: Advisory Vote to Approve Named Executive Officer Compensation</w:t>
      </w:r>
    </w:p>
    <w:p>
      <w:pPr>
        <w:spacing w:after="0" w:line="4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444A54"/>
        </w:rPr>
        <w:t>In accordance with Section 14A of the Securities Exchange Act of 1934, as amended, we provide our shareholders each year with an opportunity to vote, on an advisory basis, on compensation paid to our “Named Executive Officers” (“NEOs”) as disclosed in this Proxy Statement pursuant to Item 402 of Regulation S-K. Accordingly, we are asking our shareholders to provide an advisory non-binding vote (say-on-pay vote) to approve our executive compensation as we have described it in Executive Compensation: Compensation Discussion and Analysis and in the accompanying compensation tables. At our 2024 Annual Meeting of Shareholders, over 98% of the votes cast favored the say-on-pay proposal. Our Talent and Compensation Committee believes that this result continues to evidence strong shareholder support of our executive compensation programs and thus has maintained a consistent overall approach for 2024.</w:t>
      </w:r>
    </w:p>
    <w:p>
      <w:pPr>
        <w:spacing w:after="0" w:line="15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444A54"/>
        </w:rPr>
        <w:t>Our Talent and Compensation Committee oversees our executive compensation program, structures the program, adopts changes to the program and awards compensation as appropriate to reflect United Community’s performance and promote the objectives of the program. Our compensation programs are designed to attract and retain talented, experienced and qualified individuals, to motivate and reward outstanding performance while maintaining safe and sound banking practices, to promote our strategic goals and to support long-term value creation for our shareholders.</w:t>
      </w:r>
    </w:p>
    <w:p>
      <w:pPr>
        <w:spacing w:after="0" w:line="141"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444A54"/>
        </w:rPr>
        <w:t>The say-on-pay vote is advisory and will not be binding on the Board or the Talent and Compensation Committee. However, our Board and Talent and Compensation Committee value our shareholders’ views and will consider the outcome of the vote when making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142480" cy="4768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2480" cy="4768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FFFFFF"/>
        </w:rPr>
        <w:t>THE BOARD UNANIMOUSLY RECOMMENDS THAT SHAREHOLDERS VOTE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FFFFFF"/>
        </w:rPr>
        <w:t>“FOR” OUR SAY-ON-PAY PROPOSAL (PROPOSAL 2).</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spacing w:after="0"/>
        <w:rPr>
          <w:sz w:val="20"/>
          <w:szCs w:val="20"/>
          <w:color w:val="auto"/>
        </w:rPr>
      </w:pPr>
      <w:r>
        <w:rPr>
          <w:rFonts w:ascii="Arial" w:cs="Arial" w:eastAsia="Arial" w:hAnsi="Arial"/>
          <w:sz w:val="33"/>
          <w:szCs w:val="33"/>
          <w:b w:val="1"/>
          <w:bCs w:val="1"/>
          <w:color w:val="194C85"/>
        </w:rPr>
        <w:t>Proposal 3: Advisory Vote on Frequency of Say-On-Pay Vote</w:t>
      </w:r>
    </w:p>
    <w:p>
      <w:pPr>
        <w:spacing w:after="0" w:line="21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444A54"/>
        </w:rPr>
        <w:t>In accordance with the requirements of Section 14A of the Securities Exchange Act of 1934, as amended (which was added by the Dodd-Frank Wall Street Reform and Consumer Protection Act), and the related rules of the SEC, the Company is providing shareholders the opportunity to indicate, on a non-binding, advisory basis, whether future say-on-pay votes of the nature reflected in Proposal 2 of this Proxy Statement should occur every year, every two years or every three years. At the 2019 Annual Meeting of Shareholders, our shareholders indicated their preference for us to hold say-on-pay votes on an annual basis, and the Board subsequently determined that the Company would hold, and we have held, an annual say-on-pay vote.</w:t>
      </w:r>
    </w:p>
    <w:p>
      <w:pPr>
        <w:spacing w:after="0" w:line="15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444A54"/>
        </w:rPr>
        <w:t>Although the Board recommends holding a say-on-pay vote once every year, shareholders have the option to specify one of four choices for this matter: every year, every two years, every three years or abstain. Shareholders are not voting to approve or disapprove the Board’s recommendation. This say-on-pay frequency proposal is nonbinding on the Board of Directors. Although nonbinding, the Board and the Talent and Compensation Committee will carefully review the voting results. Notwithstanding the Board’s recommendation and the outcome of the shareholder vote, the Board may, in the future, decide to conduct advisory say-on-pay votes on a less frequent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142480" cy="4292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2480" cy="429260"/>
                    </a:xfrm>
                    <a:prstGeom prst="rect">
                      <a:avLst/>
                    </a:prstGeom>
                    <a:noFill/>
                  </pic:spPr>
                </pic:pic>
              </a:graphicData>
            </a:graphic>
          </wp:anchor>
        </w:drawing>
      </w:r>
    </w:p>
    <w:p>
      <w:pPr>
        <w:spacing w:after="0" w:line="330" w:lineRule="exact"/>
        <w:rPr>
          <w:sz w:val="20"/>
          <w:szCs w:val="20"/>
          <w:color w:val="auto"/>
        </w:rPr>
      </w:pPr>
    </w:p>
    <w:p>
      <w:pPr>
        <w:jc w:val="center"/>
        <w:spacing w:after="0" w:line="280" w:lineRule="auto"/>
        <w:rPr>
          <w:sz w:val="20"/>
          <w:szCs w:val="20"/>
          <w:color w:val="auto"/>
        </w:rPr>
      </w:pPr>
      <w:r>
        <w:rPr>
          <w:rFonts w:ascii="Arial" w:cs="Arial" w:eastAsia="Arial" w:hAnsi="Arial"/>
          <w:sz w:val="20"/>
          <w:szCs w:val="20"/>
          <w:b w:val="1"/>
          <w:bCs w:val="1"/>
          <w:i w:val="1"/>
          <w:iCs w:val="1"/>
          <w:color w:val="FFFFFF"/>
        </w:rPr>
        <w:t>THE BOARD UNANIMOUSLY RECOMMENDS THAT SHAREHOLDERS VOTE TO CONDUCT FUTURE ADVISORY VOTES ON EXECUTIVE COMPENSATION EVERY YEAR (PROPOSAL 3).</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spacing w:after="0"/>
        <w:rPr>
          <w:sz w:val="20"/>
          <w:szCs w:val="20"/>
          <w:color w:val="auto"/>
        </w:rPr>
      </w:pPr>
      <w:r>
        <w:rPr>
          <w:rFonts w:ascii="Arial" w:cs="Arial" w:eastAsia="Arial" w:hAnsi="Arial"/>
          <w:sz w:val="33"/>
          <w:szCs w:val="33"/>
          <w:b w:val="1"/>
          <w:bCs w:val="1"/>
          <w:color w:val="194C85"/>
        </w:rPr>
        <w:t>Executive Officers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444A54"/>
        </w:rPr>
        <w:t>Each of our executive officers, as identified herein, is appointed annually by the Board and serves at the discretion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125095</wp:posOffset>
            </wp:positionV>
            <wp:extent cx="8255" cy="2305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23050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00" w:type="dxa"/>
            <w:vAlign w:val="bottom"/>
            <w:shd w:val="clear" w:color="auto" w:fill="017AB5"/>
          </w:tcPr>
          <w:p>
            <w:pPr>
              <w:ind w:left="680"/>
              <w:spacing w:after="0"/>
              <w:rPr>
                <w:sz w:val="20"/>
                <w:szCs w:val="20"/>
                <w:color w:val="auto"/>
              </w:rPr>
            </w:pPr>
            <w:r>
              <w:rPr>
                <w:rFonts w:ascii="Arial" w:cs="Arial" w:eastAsia="Arial" w:hAnsi="Arial"/>
                <w:sz w:val="17"/>
                <w:szCs w:val="17"/>
                <w:color w:val="FFFFFF"/>
              </w:rPr>
              <w:t>Name (age)</w:t>
            </w:r>
          </w:p>
        </w:tc>
        <w:tc>
          <w:tcPr>
            <w:tcW w:w="8140" w:type="dxa"/>
            <w:vAlign w:val="bottom"/>
            <w:shd w:val="clear" w:color="auto" w:fill="017AB5"/>
          </w:tcPr>
          <w:p>
            <w:pPr>
              <w:ind w:left="1540"/>
              <w:spacing w:after="0"/>
              <w:rPr>
                <w:sz w:val="20"/>
                <w:szCs w:val="20"/>
                <w:color w:val="auto"/>
              </w:rPr>
            </w:pPr>
            <w:r>
              <w:rPr>
                <w:rFonts w:ascii="Arial" w:cs="Arial" w:eastAsia="Arial" w:hAnsi="Arial"/>
                <w:sz w:val="17"/>
                <w:szCs w:val="17"/>
                <w:color w:val="FFFFFF"/>
              </w:rPr>
              <w:t>Position with United Community and Employment History</w:t>
            </w:r>
          </w:p>
        </w:tc>
      </w:tr>
      <w:tr>
        <w:trPr>
          <w:trHeight w:val="59"/>
        </w:trPr>
        <w:tc>
          <w:tcPr>
            <w:tcW w:w="3100" w:type="dxa"/>
            <w:vAlign w:val="bottom"/>
            <w:shd w:val="clear" w:color="auto" w:fill="017AB5"/>
          </w:tcPr>
          <w:p>
            <w:pPr>
              <w:spacing w:after="0"/>
              <w:rPr>
                <w:sz w:val="5"/>
                <w:szCs w:val="5"/>
                <w:color w:val="auto"/>
              </w:rPr>
            </w:pPr>
          </w:p>
        </w:tc>
        <w:tc>
          <w:tcPr>
            <w:tcW w:w="8140" w:type="dxa"/>
            <w:vAlign w:val="bottom"/>
            <w:shd w:val="clear" w:color="auto" w:fill="017AB5"/>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222250</wp:posOffset>
            </wp:positionV>
            <wp:extent cx="715010" cy="7073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10" cy="7073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333333"/>
        </w:rPr>
        <w:t>H. Lynn Harton</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3"/>
          <w:szCs w:val="13"/>
          <w:color w:val="333333"/>
        </w:rPr>
        <w:t>Age: 63</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3"/>
          <w:szCs w:val="13"/>
          <w:color w:val="333333"/>
        </w:rPr>
        <w:t>Officer of United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3"/>
          <w:szCs w:val="13"/>
          <w:color w:val="333333"/>
        </w:rPr>
        <w:t>Community Since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880"/>
        <w:spacing w:after="0" w:line="261" w:lineRule="auto"/>
        <w:rPr>
          <w:sz w:val="20"/>
          <w:szCs w:val="20"/>
          <w:color w:val="auto"/>
        </w:rPr>
      </w:pPr>
      <w:r>
        <w:rPr>
          <w:rFonts w:ascii="Arial" w:cs="Arial" w:eastAsia="Arial" w:hAnsi="Arial"/>
          <w:sz w:val="17"/>
          <w:szCs w:val="17"/>
          <w:color w:val="333333"/>
        </w:rPr>
        <w:t>Lynn Harton has served as President, Chief Executive Officer and Director since 2018. Mr. Harton served as President, Chief Operating Officer and Director from 2015 to 2018.</w:t>
      </w:r>
    </w:p>
    <w:p>
      <w:pPr>
        <w:spacing w:after="0" w:line="138" w:lineRule="exact"/>
        <w:rPr>
          <w:sz w:val="20"/>
          <w:szCs w:val="20"/>
          <w:color w:val="auto"/>
        </w:rPr>
      </w:pPr>
    </w:p>
    <w:p>
      <w:pPr>
        <w:ind w:right="260"/>
        <w:spacing w:after="0"/>
        <w:rPr>
          <w:sz w:val="20"/>
          <w:szCs w:val="20"/>
          <w:color w:val="auto"/>
        </w:rPr>
      </w:pPr>
      <w:r>
        <w:rPr>
          <w:rFonts w:ascii="Arial" w:cs="Arial" w:eastAsia="Arial" w:hAnsi="Arial"/>
          <w:sz w:val="17"/>
          <w:szCs w:val="17"/>
          <w:color w:val="333333"/>
        </w:rPr>
        <w:t>Prior to joining United Community in 2012, Harton was Executive Vice President and Head of Commercial Banking-South for TD Bank, N.A. Prior to that, Harton served as President and Chief Executive Officer at The South Financial Group (which was sold to TD Bank). With a career beginning in 1983, he has held various executive positions at BB&amp;T, Union Planters Corporation and Regions Financial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245110</wp:posOffset>
            </wp:positionV>
            <wp:extent cx="71424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427" w:lineRule="exact"/>
        <w:rPr>
          <w:sz w:val="20"/>
          <w:szCs w:val="20"/>
          <w:color w:val="auto"/>
        </w:rPr>
      </w:pPr>
    </w:p>
    <w:p>
      <w:pPr>
        <w:sectPr>
          <w:pgSz w:w="11900" w:h="16838" w:orient="portrait"/>
          <w:cols w:equalWidth="0" w:num="2">
            <w:col w:w="1820" w:space="560"/>
            <w:col w:w="8860"/>
          </w:cols>
          <w:pgMar w:left="320" w:top="7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333333"/>
        </w:rPr>
        <w:t>Richard W. Bradshaw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-828675</wp:posOffset>
            </wp:positionV>
            <wp:extent cx="715010" cy="7073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10" cy="707390"/>
                    </a:xfrm>
                    <a:prstGeom prst="rect">
                      <a:avLst/>
                    </a:prstGeom>
                    <a:noFill/>
                  </pic:spPr>
                </pic:pic>
              </a:graphicData>
            </a:graphic>
          </wp:anchor>
        </w:drawing>
      </w:r>
    </w:p>
    <w:p>
      <w:pPr>
        <w:spacing w:after="0" w:line="5" w:lineRule="exact"/>
        <w:rPr>
          <w:sz w:val="20"/>
          <w:szCs w:val="20"/>
          <w:color w:val="auto"/>
        </w:rPr>
      </w:pPr>
    </w:p>
    <w:p>
      <w:pPr>
        <w:ind w:left="900"/>
        <w:spacing w:after="0"/>
        <w:rPr>
          <w:sz w:val="20"/>
          <w:szCs w:val="20"/>
          <w:color w:val="auto"/>
        </w:rPr>
      </w:pPr>
      <w:r>
        <w:rPr>
          <w:rFonts w:ascii="Arial" w:cs="Arial" w:eastAsia="Arial" w:hAnsi="Arial"/>
          <w:sz w:val="13"/>
          <w:szCs w:val="13"/>
          <w:color w:val="333333"/>
        </w:rPr>
        <w:t>Age: 63</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3"/>
          <w:szCs w:val="13"/>
          <w:color w:val="333333"/>
        </w:rPr>
        <w:t>Officer of United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3"/>
          <w:szCs w:val="13"/>
          <w:color w:val="333333"/>
        </w:rPr>
        <w:t>Community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363220</wp:posOffset>
            </wp:positionV>
            <wp:extent cx="715010" cy="7073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10" cy="707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333333"/>
        </w:rPr>
        <w:t>Richard Bradshaw serves as Chief Banking Officer of United Community as well as President of the Bank. In this role, he leads all the Bank’s diverse commercial, retail lines of business as well as the credit team. This includes overseeing the more than 200 branches across the six-state footprint.</w:t>
      </w:r>
    </w:p>
    <w:p>
      <w:pPr>
        <w:spacing w:after="0" w:line="150"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333333"/>
        </w:rPr>
        <w:t>Bradshaw brings more than 30 years of banking industry experience to his role at United Community. Prior to joining United Community in 2014, he served as the Head of U.S. SBA Programs at TD Bank, leading it to become the 8th largest SBA lender in the United States. He previously served as President at UPS Capital Business Credit in Atlanta, Georgia where he was responsible for sales and marketing for asset-based lending, equipment leasing, SBA and insurance.</w:t>
      </w:r>
    </w:p>
    <w:p>
      <w:pPr>
        <w:spacing w:after="0" w:line="15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333333"/>
        </w:rPr>
        <w:t>Bradshaw is a retired Commander from the United States Naval Reserve Intelligence Program and served five years of active duty as a Captain in the United States Air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82550</wp:posOffset>
            </wp:positionV>
            <wp:extent cx="71424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460"/>
            <w:col w:w="8860"/>
          </w:cols>
          <w:pgMar w:left="320" w:top="7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333333"/>
        </w:rPr>
        <w:t>Jefferson L. Harralson</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3"/>
          <w:szCs w:val="13"/>
          <w:color w:val="333333"/>
        </w:rPr>
        <w:t>Age: 59</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3"/>
          <w:szCs w:val="13"/>
          <w:color w:val="333333"/>
        </w:rPr>
        <w:t>Officer of United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3"/>
          <w:szCs w:val="13"/>
          <w:color w:val="333333"/>
        </w:rPr>
        <w:t>Community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212090</wp:posOffset>
            </wp:positionV>
            <wp:extent cx="715010" cy="7073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10" cy="707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333333"/>
        </w:rPr>
        <w:t>Jefferson Harralson serves as Chief Financial Officer.</w:t>
      </w:r>
    </w:p>
    <w:p>
      <w:pPr>
        <w:spacing w:after="0" w:line="180" w:lineRule="exact"/>
        <w:rPr>
          <w:sz w:val="20"/>
          <w:szCs w:val="20"/>
          <w:color w:val="auto"/>
        </w:rPr>
      </w:pPr>
    </w:p>
    <w:p>
      <w:pPr>
        <w:ind w:right="560"/>
        <w:spacing w:after="0" w:line="246" w:lineRule="auto"/>
        <w:rPr>
          <w:sz w:val="20"/>
          <w:szCs w:val="20"/>
          <w:color w:val="auto"/>
        </w:rPr>
      </w:pPr>
      <w:r>
        <w:rPr>
          <w:rFonts w:ascii="Arial" w:cs="Arial" w:eastAsia="Arial" w:hAnsi="Arial"/>
          <w:sz w:val="17"/>
          <w:szCs w:val="17"/>
          <w:color w:val="333333"/>
        </w:rPr>
        <w:t>Harralson brings more than 25 years of financial services experience to the role. He is responsible for the Bank’s accounting, financial and reporting activities, as well as mergers and acquisitions, investor relations, treasury, capital and strategic planning, budget and stress testing.</w:t>
      </w:r>
    </w:p>
    <w:p>
      <w:pPr>
        <w:spacing w:after="0" w:line="15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333333"/>
        </w:rPr>
        <w:t>Prior to joining United Community in 2017, Mr. Harralson served as a managing director for Keefe, Bruyette and Woods (“KBW”) where he led their small and midsized bank research team and was associate director of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161925</wp:posOffset>
            </wp:positionV>
            <wp:extent cx="71424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1940" w:space="440"/>
            <w:col w:w="8860"/>
          </w:cols>
          <w:pgMar w:left="320" w:top="7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333333"/>
        </w:rPr>
        <w:t>Holly Berry</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3"/>
          <w:szCs w:val="13"/>
          <w:color w:val="333333"/>
        </w:rPr>
        <w:t>Age: 51</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3"/>
          <w:szCs w:val="13"/>
          <w:color w:val="333333"/>
        </w:rPr>
        <w:t>Officer of United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3"/>
          <w:szCs w:val="13"/>
          <w:color w:val="333333"/>
        </w:rPr>
        <w:t>Community Since 2022</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333333"/>
        </w:rPr>
        <w:t>Holly Berry serves as Chief Human Resources Officer. In this role, she is responsible for recruiting and nurturing the talent United Community needs to be successful, while fostering a workplace culture that excites, engages, motivates, and rewards employees.</w:t>
      </w:r>
    </w:p>
    <w:p>
      <w:pPr>
        <w:spacing w:after="0" w:line="150" w:lineRule="exact"/>
        <w:rPr>
          <w:sz w:val="20"/>
          <w:szCs w:val="20"/>
          <w:color w:val="auto"/>
        </w:rPr>
      </w:pPr>
    </w:p>
    <w:p>
      <w:pPr>
        <w:ind w:right="480"/>
        <w:spacing w:after="0"/>
        <w:rPr>
          <w:sz w:val="20"/>
          <w:szCs w:val="20"/>
          <w:color w:val="auto"/>
        </w:rPr>
      </w:pPr>
      <w:r>
        <w:rPr>
          <w:rFonts w:ascii="Arial" w:cs="Arial" w:eastAsia="Arial" w:hAnsi="Arial"/>
          <w:sz w:val="17"/>
          <w:szCs w:val="17"/>
          <w:color w:val="333333"/>
        </w:rPr>
        <w:t>Berry brings 20 years of HR management experience to United Community, including previous leadership roles at BMW Manufacturing and Bank of America. Her industry certifications include the Senior Professional in Human Resources (SPHR) and SHRM Senior Certified Professional (SHRM-SCP) designations. Berry also earned a certification in U.S. Health Policy from 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173355</wp:posOffset>
            </wp:positionV>
            <wp:extent cx="71424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1820" w:space="560"/>
            <w:col w:w="8860"/>
          </w:cols>
          <w:pgMar w:left="320" w:top="792" w:right="339" w:bottom="1440" w:gutter="0" w:footer="0" w:header="0"/>
          <w:type w:val="continuous"/>
        </w:sectPr>
      </w:pPr>
    </w:p>
    <w:p>
      <w:pPr>
        <w:spacing w:after="0" w:line="34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24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304"/>
        </w:trPr>
        <w:tc>
          <w:tcPr>
            <w:tcW w:w="3100" w:type="dxa"/>
            <w:vAlign w:val="bottom"/>
            <w:shd w:val="clear" w:color="auto" w:fill="017AB5"/>
          </w:tcPr>
          <w:p>
            <w:pPr>
              <w:ind w:left="680"/>
              <w:spacing w:after="0"/>
              <w:rPr>
                <w:sz w:val="20"/>
                <w:szCs w:val="20"/>
                <w:color w:val="auto"/>
              </w:rPr>
            </w:pPr>
            <w:r>
              <w:rPr>
                <w:rFonts w:ascii="Arial" w:cs="Arial" w:eastAsia="Arial" w:hAnsi="Arial"/>
                <w:sz w:val="17"/>
                <w:szCs w:val="17"/>
                <w:color w:val="FFFFFF"/>
              </w:rPr>
              <w:t>Name (age)</w:t>
            </w:r>
          </w:p>
        </w:tc>
        <w:tc>
          <w:tcPr>
            <w:tcW w:w="8140" w:type="dxa"/>
            <w:vAlign w:val="bottom"/>
            <w:shd w:val="clear" w:color="auto" w:fill="017AB5"/>
          </w:tcPr>
          <w:p>
            <w:pPr>
              <w:ind w:left="1540"/>
              <w:spacing w:after="0"/>
              <w:rPr>
                <w:sz w:val="20"/>
                <w:szCs w:val="20"/>
                <w:color w:val="auto"/>
              </w:rPr>
            </w:pPr>
            <w:r>
              <w:rPr>
                <w:rFonts w:ascii="Arial" w:cs="Arial" w:eastAsia="Arial" w:hAnsi="Arial"/>
                <w:sz w:val="17"/>
                <w:szCs w:val="17"/>
                <w:color w:val="FFFFFF"/>
              </w:rPr>
              <w:t>Position with United Community and Employment History</w:t>
            </w:r>
          </w:p>
        </w:tc>
      </w:tr>
      <w:tr>
        <w:trPr>
          <w:trHeight w:val="59"/>
        </w:trPr>
        <w:tc>
          <w:tcPr>
            <w:tcW w:w="3100" w:type="dxa"/>
            <w:vAlign w:val="bottom"/>
            <w:shd w:val="clear" w:color="auto" w:fill="017AB5"/>
          </w:tcPr>
          <w:p>
            <w:pPr>
              <w:spacing w:after="0"/>
              <w:rPr>
                <w:sz w:val="5"/>
                <w:szCs w:val="5"/>
                <w:color w:val="auto"/>
              </w:rPr>
            </w:pPr>
          </w:p>
        </w:tc>
        <w:tc>
          <w:tcPr>
            <w:tcW w:w="8140" w:type="dxa"/>
            <w:vAlign w:val="bottom"/>
            <w:shd w:val="clear" w:color="auto" w:fill="017AB5"/>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1633220</wp:posOffset>
            </wp:positionH>
            <wp:positionV relativeFrom="page">
              <wp:posOffset>525780</wp:posOffset>
            </wp:positionV>
            <wp:extent cx="8255" cy="2305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23050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222250</wp:posOffset>
            </wp:positionV>
            <wp:extent cx="715010" cy="7073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10" cy="70739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333333"/>
        </w:rPr>
        <w:t>Abraham A. Cox</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3"/>
          <w:szCs w:val="13"/>
          <w:color w:val="333333"/>
        </w:rPr>
        <w:t>Age: 48</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3"/>
          <w:szCs w:val="13"/>
          <w:color w:val="333333"/>
        </w:rPr>
        <w:t>Officer of United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3"/>
          <w:szCs w:val="13"/>
          <w:color w:val="333333"/>
        </w:rPr>
        <w:t>Community Since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333333"/>
        </w:rPr>
        <w:t>Abraham Cox serves as Chief Consumer and Small Business Banking Officer. In this role, he is responsible for Mortgage, Retail Sales, Wealth, Product Management, Retail and Small Business Credit, Navitas and Marketing.</w:t>
      </w:r>
    </w:p>
    <w:p>
      <w:pPr>
        <w:spacing w:after="0" w:line="114"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333333"/>
        </w:rPr>
        <w:t>Cox brings more than 25 years of experience in the banking industry. Prior to joining United Community, he served as Head of Mortgage Originations at Truist. He was chosen for the role in December of 2019, upon the merger of equals between BB&amp;T Corporation and SunTrust Banks, Inc. Cox’s previous roles at Truist and its predecessor BB&amp;T included executive and senior leadership roles in commercial, retail and mortgage banking across the Mid-Atlantic and Southeast. He began his banking career in 2000 in BB&amp;T’s Leadership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166370</wp:posOffset>
            </wp:positionV>
            <wp:extent cx="71424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02" w:lineRule="exact"/>
        <w:rPr>
          <w:sz w:val="20"/>
          <w:szCs w:val="20"/>
          <w:color w:val="auto"/>
        </w:rPr>
      </w:pPr>
    </w:p>
    <w:p>
      <w:pPr>
        <w:sectPr>
          <w:pgSz w:w="11900" w:h="16838" w:orient="portrait"/>
          <w:cols w:equalWidth="0" w:num="2">
            <w:col w:w="1820" w:space="560"/>
            <w:col w:w="8860"/>
          </w:cols>
          <w:pgMar w:left="320" w:top="8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333333"/>
        </w:rPr>
        <w:t>Melinda Davis Lux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-812800</wp:posOffset>
            </wp:positionV>
            <wp:extent cx="715010" cy="7073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10" cy="707390"/>
                    </a:xfrm>
                    <a:prstGeom prst="rect">
                      <a:avLst/>
                    </a:prstGeom>
                    <a:noFill/>
                  </pic:spPr>
                </pic:pic>
              </a:graphicData>
            </a:graphic>
          </wp:anchor>
        </w:drawing>
      </w:r>
    </w:p>
    <w:p>
      <w:pPr>
        <w:spacing w:after="0" w:line="5" w:lineRule="exact"/>
        <w:rPr>
          <w:sz w:val="20"/>
          <w:szCs w:val="20"/>
          <w:color w:val="auto"/>
        </w:rPr>
      </w:pPr>
    </w:p>
    <w:p>
      <w:pPr>
        <w:ind w:left="900"/>
        <w:spacing w:after="0"/>
        <w:rPr>
          <w:sz w:val="20"/>
          <w:szCs w:val="20"/>
          <w:color w:val="auto"/>
        </w:rPr>
      </w:pPr>
      <w:r>
        <w:rPr>
          <w:rFonts w:ascii="Arial" w:cs="Arial" w:eastAsia="Arial" w:hAnsi="Arial"/>
          <w:sz w:val="13"/>
          <w:szCs w:val="13"/>
          <w:color w:val="333333"/>
        </w:rPr>
        <w:t>Age: 52</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3"/>
          <w:szCs w:val="13"/>
          <w:color w:val="333333"/>
        </w:rPr>
        <w:t>Officer of United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3"/>
          <w:szCs w:val="13"/>
          <w:color w:val="333333"/>
        </w:rPr>
        <w:t>Community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252095</wp:posOffset>
            </wp:positionV>
            <wp:extent cx="715010" cy="6991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10" cy="6991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333333"/>
        </w:rPr>
        <w:t>Melinda Davis Lux serves as Chief Administrative Officer and General Counsel. In this role, she is responsible for the Company’s legal and governance affairs, providing guidance for significant transactional, regulatory and strategic matters and working closely with United Community’s Board of Directors and overseeing our information technology and banking operations.</w:t>
      </w:r>
    </w:p>
    <w:p>
      <w:pPr>
        <w:spacing w:after="0" w:line="156" w:lineRule="exact"/>
        <w:rPr>
          <w:sz w:val="20"/>
          <w:szCs w:val="20"/>
          <w:color w:val="auto"/>
        </w:rPr>
      </w:pPr>
    </w:p>
    <w:p>
      <w:pPr>
        <w:spacing w:after="0" w:line="238" w:lineRule="auto"/>
        <w:rPr>
          <w:sz w:val="20"/>
          <w:szCs w:val="20"/>
          <w:color w:val="auto"/>
        </w:rPr>
      </w:pPr>
      <w:r>
        <w:rPr>
          <w:rFonts w:ascii="Arial" w:cs="Arial" w:eastAsia="Arial" w:hAnsi="Arial"/>
          <w:sz w:val="17"/>
          <w:szCs w:val="17"/>
          <w:color w:val="333333"/>
        </w:rPr>
        <w:t>Davis Lux brings more than 20 years of experience advising clients as a corporate and M&amp;A attorney. Prior to joining United Community in 2020, Ms. Davis Lux was a partner with Womble Bond Dickinson in Greenville, South Carolina and served as a Global Board Member of Womble Bond Dickinson International. Earlier in her career, Davis Lux was a partner with the Wyche Law Firm, a corporate associate for Kilpatrick Stockton, LLP and Law Clerk to the Honorable Alexander B. Denson of the U.S. District Court in Raleigh,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94615</wp:posOffset>
            </wp:positionV>
            <wp:extent cx="71424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560"/>
            <w:col w:w="8860"/>
          </w:cols>
          <w:pgMar w:left="320" w:top="8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333333"/>
        </w:rPr>
        <w:t>Robert A. Edwards</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3"/>
          <w:szCs w:val="13"/>
          <w:color w:val="333333"/>
        </w:rPr>
        <w:t>Age: 60</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3"/>
          <w:szCs w:val="13"/>
          <w:color w:val="333333"/>
        </w:rPr>
        <w:t>Officer of United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3"/>
          <w:szCs w:val="13"/>
          <w:color w:val="333333"/>
        </w:rPr>
        <w:t>Community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212090</wp:posOffset>
            </wp:positionV>
            <wp:extent cx="715010" cy="7073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10" cy="707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333333"/>
        </w:rPr>
        <w:t>Rob Edwards serves as Chief Risk Officer. In this role, he is responsible for oversight of credit performance, and all facets of model, operational, third-party and enterprise risk as well as compliance and loan review for United Community.</w:t>
      </w:r>
    </w:p>
    <w:p>
      <w:pPr>
        <w:spacing w:after="0" w:line="150" w:lineRule="exact"/>
        <w:rPr>
          <w:sz w:val="20"/>
          <w:szCs w:val="20"/>
          <w:color w:val="auto"/>
        </w:rPr>
      </w:pPr>
    </w:p>
    <w:p>
      <w:pPr>
        <w:ind w:right="540"/>
        <w:spacing w:after="0" w:line="246" w:lineRule="auto"/>
        <w:rPr>
          <w:sz w:val="20"/>
          <w:szCs w:val="20"/>
          <w:color w:val="auto"/>
        </w:rPr>
      </w:pPr>
      <w:r>
        <w:rPr>
          <w:rFonts w:ascii="Arial" w:cs="Arial" w:eastAsia="Arial" w:hAnsi="Arial"/>
          <w:sz w:val="17"/>
          <w:szCs w:val="17"/>
          <w:color w:val="333333"/>
        </w:rPr>
        <w:t>Edwards brings more than 25 years of experience in the financial services industry. Prior to joining United Community in 2015, he served as Executive Credit Officer over Credit Policy and Risk Reporting and Analytics at TD Bank N.A. He also served as the Chief Credit Officer at The South Financial Group (TSFG).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224790</wp:posOffset>
            </wp:positionV>
            <wp:extent cx="71424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95" w:lineRule="exact"/>
        <w:rPr>
          <w:sz w:val="20"/>
          <w:szCs w:val="20"/>
          <w:color w:val="auto"/>
        </w:rPr>
      </w:pPr>
    </w:p>
    <w:p>
      <w:pPr>
        <w:sectPr>
          <w:pgSz w:w="11900" w:h="16838" w:orient="portrait"/>
          <w:cols w:equalWidth="0" w:num="2">
            <w:col w:w="1820" w:space="560"/>
            <w:col w:w="8860"/>
          </w:cols>
          <w:pgMar w:left="320" w:top="8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333333"/>
        </w:rPr>
        <w:t>Mark Terry</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3"/>
          <w:szCs w:val="13"/>
          <w:color w:val="333333"/>
        </w:rPr>
        <w:t>Age: 58</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3"/>
          <w:szCs w:val="13"/>
          <w:color w:val="333333"/>
        </w:rPr>
        <w:t>Officer of United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3"/>
          <w:szCs w:val="13"/>
          <w:color w:val="333333"/>
        </w:rPr>
        <w:t>Community Since 2016</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both"/>
        <w:ind w:right="780"/>
        <w:spacing w:after="0" w:line="246" w:lineRule="auto"/>
        <w:rPr>
          <w:sz w:val="20"/>
          <w:szCs w:val="20"/>
          <w:color w:val="auto"/>
        </w:rPr>
      </w:pPr>
      <w:r>
        <w:rPr>
          <w:rFonts w:ascii="Arial" w:cs="Arial" w:eastAsia="Arial" w:hAnsi="Arial"/>
          <w:sz w:val="17"/>
          <w:szCs w:val="17"/>
          <w:color w:val="333333"/>
        </w:rPr>
        <w:t>Mark Terry serves as Chief Information Officer. In this role, Terry leads our information technology operations including all technology infrastructure, information security, data management, application support and project management.</w:t>
      </w:r>
    </w:p>
    <w:p>
      <w:pPr>
        <w:spacing w:after="0" w:line="150"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333333"/>
        </w:rPr>
        <w:t>Terry brings more than 30 years of experience in information technology. Prior to joining United Community in 2015, he served as Executive Vice President and Chief Information Officer of The Palmetto Bank, Chief Information Officer of the Forcht Group of Kentucky and System Engineer at EDS, Inc. He holds a certification as an Information Security Manager from the Information Systems Audit and Control Association and is a current member of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118110</wp:posOffset>
            </wp:positionV>
            <wp:extent cx="71424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1820" w:space="560"/>
            <w:col w:w="8860"/>
          </w:cols>
          <w:pgMar w:left="320" w:top="828" w:right="339" w:bottom="1440" w:gutter="0" w:footer="0" w:header="0"/>
          <w:type w:val="continuous"/>
        </w:sectPr>
      </w:pPr>
    </w:p>
    <w:p>
      <w:pPr>
        <w:spacing w:after="0" w:line="34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24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33"/>
          <w:szCs w:val="33"/>
          <w:b w:val="1"/>
          <w:bCs w:val="1"/>
          <w:color w:val="194C85"/>
        </w:rPr>
        <w:t>Executive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17AB5"/>
        </w:rPr>
        <w:t>Compensation Discussion and Analysis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444A54"/>
        </w:rPr>
        <w:t>For purposes of this Proxy Statement, the term “executive officer” means the executive leadership of the Company, including our NEOs.</w:t>
      </w:r>
    </w:p>
    <w:p>
      <w:pPr>
        <w:spacing w:after="0" w:line="18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444A54"/>
        </w:rPr>
        <w:t>Our Talent and Compensation Committee strives to design our executive compensation program to serve the long-term interests of our shareholders. To deliver superior shareholder returns, we believe that it is critical to provide competitive compensation packages that will attract, retain and motivate talented and experienced executives with the requisite expertise.</w:t>
      </w:r>
    </w:p>
    <w:p>
      <w:pPr>
        <w:spacing w:after="0" w:line="150"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444A54"/>
        </w:rPr>
        <w:t>Our Talent and Compensation Committee is comprised entirely of independent directors. The Talent and Compensation Committee determines and approves the compensation of our executive officers. The independent members of our Board of Directors provide input with respect to our CEO’s compensation and ratify the Talent and Compensation Committee’s determinations with respect to our CEO’s compensation.</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i w:val="1"/>
          <w:iCs w:val="1"/>
          <w:color w:val="017AB5"/>
        </w:rPr>
        <w:t>Compensation Philosophy and Objectives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444A54"/>
        </w:rPr>
        <w:t>Our compensation philosophy for 2024 incorporates several elements,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144270" cy="476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44270" cy="476885"/>
                    </a:xfrm>
                    <a:prstGeom prst="rect">
                      <a:avLst/>
                    </a:prstGeom>
                    <a:noFill/>
                  </pic:spPr>
                </pic:pic>
              </a:graphicData>
            </a:graphic>
          </wp:anchor>
        </w:drawing>
      </w:r>
    </w:p>
    <w:p>
      <w:pPr>
        <w:spacing w:after="0" w:line="189" w:lineRule="exact"/>
        <w:rPr>
          <w:sz w:val="20"/>
          <w:szCs w:val="20"/>
          <w:color w:val="auto"/>
        </w:rPr>
      </w:pPr>
    </w:p>
    <w:p>
      <w:pPr>
        <w:ind w:left="160" w:right="500" w:firstLine="1726"/>
        <w:spacing w:after="0" w:line="243" w:lineRule="auto"/>
        <w:rPr>
          <w:sz w:val="20"/>
          <w:szCs w:val="20"/>
          <w:color w:val="auto"/>
        </w:rPr>
      </w:pPr>
      <w:r>
        <w:rPr>
          <w:rFonts w:ascii="Arial" w:cs="Arial" w:eastAsia="Arial" w:hAnsi="Arial"/>
          <w:sz w:val="15"/>
          <w:szCs w:val="15"/>
          <w:color w:val="444A54"/>
        </w:rPr>
        <w:t xml:space="preserve">We believe that shareholder value is enhanced over the long-term based on consistent and sound growth, and we believe that the </w:t>
      </w:r>
      <w:r>
        <w:rPr>
          <w:rFonts w:ascii="Arial" w:cs="Arial" w:eastAsia="Arial" w:hAnsi="Arial"/>
          <w:sz w:val="16"/>
          <w:szCs w:val="16"/>
          <w:color w:val="FFFFFF"/>
        </w:rPr>
        <w:t xml:space="preserve">Performance-Based </w:t>
      </w:r>
      <w:r>
        <w:rPr>
          <w:rFonts w:ascii="Arial" w:cs="Arial" w:eastAsia="Arial" w:hAnsi="Arial"/>
          <w:sz w:val="15"/>
          <w:szCs w:val="15"/>
          <w:color w:val="444A54"/>
        </w:rPr>
        <w:t>performance-based component of our executive officers’ compensation program incents the achievement of these longer-term growth</w:t>
      </w:r>
    </w:p>
    <w:p>
      <w:pPr>
        <w:spacing w:after="0" w:line="1" w:lineRule="exact"/>
        <w:rPr>
          <w:sz w:val="20"/>
          <w:szCs w:val="20"/>
          <w:color w:val="auto"/>
        </w:rPr>
      </w:pPr>
    </w:p>
    <w:p>
      <w:pPr>
        <w:ind w:left="1880" w:right="580" w:hanging="1399"/>
        <w:spacing w:after="0" w:line="235" w:lineRule="auto"/>
        <w:tabs>
          <w:tab w:leader="none" w:pos="1860" w:val="left"/>
        </w:tabs>
        <w:rPr>
          <w:sz w:val="20"/>
          <w:szCs w:val="20"/>
          <w:color w:val="auto"/>
        </w:rPr>
      </w:pPr>
      <w:r>
        <w:rPr>
          <w:rFonts w:ascii="Arial" w:cs="Arial" w:eastAsia="Arial" w:hAnsi="Arial"/>
          <w:sz w:val="17"/>
          <w:szCs w:val="17"/>
          <w:color w:val="FFFFFF"/>
        </w:rPr>
        <w:t>Framework</w:t>
      </w:r>
      <w:r>
        <w:rPr>
          <w:sz w:val="20"/>
          <w:szCs w:val="20"/>
          <w:color w:val="auto"/>
        </w:rPr>
        <w:tab/>
      </w:r>
      <w:r>
        <w:rPr>
          <w:rFonts w:ascii="Arial" w:cs="Arial" w:eastAsia="Arial" w:hAnsi="Arial"/>
          <w:sz w:val="15"/>
          <w:szCs w:val="15"/>
          <w:color w:val="444A54"/>
        </w:rPr>
        <w:t>objectives. This pay-for-performance philosophy is intended to result in reduced compensation for performance below the Talent and Compensation Committee’s expectations and increased compensation for performance that exceeds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7142480" cy="8737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2480" cy="873760"/>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FFFFFF"/>
        </w:rPr>
        <w:t>Peer-Based</w:t>
      </w:r>
    </w:p>
    <w:p>
      <w:pPr>
        <w:spacing w:after="0" w:line="2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FFFFFF"/>
        </w:rPr>
        <w:t>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1144270" cy="8102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44270" cy="810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444A54"/>
        </w:rPr>
        <w:t>We incorporate a peer-based approach in our executive compensation program to align compensation with performance. Competitive compensation data from peer companies is used as a reference point for making decisions about overall executive compensation and specific compensation components. We consider the reasonable range of the median of total compensation of comparable positions within comparable peer companies, while accounting for distinct circumstances not reflected in the market data such as unique job descriptions and the impact that a particular officer may have on our ability to meet business objectives.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444A54"/>
        </w:rPr>
        <w:t>Peer relative performance metrics are utilized in the performance-based equity incentive awards granted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88900</wp:posOffset>
            </wp:positionV>
            <wp:extent cx="71424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40" w:space="540"/>
            <w:col w:w="9360"/>
          </w:cols>
          <w:pgMar w:left="320" w:top="804"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left="180"/>
        <w:spacing w:after="0"/>
        <w:rPr>
          <w:sz w:val="20"/>
          <w:szCs w:val="20"/>
          <w:color w:val="auto"/>
        </w:rPr>
      </w:pPr>
      <w:r>
        <w:rPr>
          <w:rFonts w:ascii="Arial" w:cs="Arial" w:eastAsia="Arial" w:hAnsi="Arial"/>
          <w:sz w:val="17"/>
          <w:szCs w:val="17"/>
          <w:color w:val="FFFFFF"/>
        </w:rPr>
        <w:t>Short-Term /</w:t>
      </w:r>
    </w:p>
    <w:p>
      <w:pPr>
        <w:spacing w:after="0" w:line="8"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FFFFFF"/>
        </w:rPr>
        <w:t>Long-Term Balance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right="220"/>
        <w:spacing w:after="0" w:line="261" w:lineRule="auto"/>
        <w:rPr>
          <w:sz w:val="20"/>
          <w:szCs w:val="20"/>
          <w:color w:val="auto"/>
        </w:rPr>
      </w:pPr>
      <w:r>
        <w:rPr>
          <w:rFonts w:ascii="Arial" w:cs="Arial" w:eastAsia="Arial" w:hAnsi="Arial"/>
          <w:sz w:val="15"/>
          <w:szCs w:val="15"/>
          <w:color w:val="444A54"/>
        </w:rPr>
        <w:t>We balance our executive compensation program between short-term and long-term components. Considering competitive compensation data from peer companies, we set base salaries to reflect the responsibilities, experience, performance and contributions of the executive officers while maintaining an appropriate balance between base salary and incentive compensation.</w:t>
      </w:r>
    </w:p>
    <w:p>
      <w:pPr>
        <w:spacing w:after="0" w:line="138" w:lineRule="exact"/>
        <w:rPr>
          <w:sz w:val="20"/>
          <w:szCs w:val="20"/>
          <w:color w:val="auto"/>
        </w:rPr>
      </w:pPr>
    </w:p>
    <w:p>
      <w:pPr>
        <w:ind w:right="380"/>
        <w:spacing w:after="0" w:line="261" w:lineRule="auto"/>
        <w:rPr>
          <w:sz w:val="20"/>
          <w:szCs w:val="20"/>
          <w:color w:val="auto"/>
        </w:rPr>
      </w:pPr>
      <w:r>
        <w:rPr>
          <w:rFonts w:ascii="Arial" w:cs="Arial" w:eastAsia="Arial" w:hAnsi="Arial"/>
          <w:sz w:val="15"/>
          <w:szCs w:val="15"/>
          <w:color w:val="444A54"/>
        </w:rPr>
        <w:t>Our Talent and Compensation Committee believes that granting long-term equity incentive awards to our executive officers provides a competitive incentive opportunity, links executive compensation with long-term performance and strengthens the alignment of executive compensation with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55880</wp:posOffset>
            </wp:positionV>
            <wp:extent cx="71424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1620" w:space="260"/>
            <w:col w:w="9360"/>
          </w:cols>
          <w:pgMar w:left="320" w:top="804"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1800" w:type="dxa"/>
            <w:vAlign w:val="bottom"/>
            <w:vMerge w:val="restart"/>
            <w:shd w:val="clear" w:color="auto" w:fill="32A4D3"/>
          </w:tcPr>
          <w:p>
            <w:pPr>
              <w:ind w:left="640"/>
              <w:spacing w:after="0"/>
              <w:rPr>
                <w:sz w:val="20"/>
                <w:szCs w:val="20"/>
                <w:color w:val="auto"/>
              </w:rPr>
            </w:pPr>
            <w:r>
              <w:rPr>
                <w:rFonts w:ascii="Arial" w:cs="Arial" w:eastAsia="Arial" w:hAnsi="Arial"/>
                <w:sz w:val="17"/>
                <w:szCs w:val="17"/>
                <w:color w:val="FFFFFF"/>
              </w:rPr>
              <w:t>Sound</w:t>
            </w:r>
          </w:p>
        </w:tc>
        <w:tc>
          <w:tcPr>
            <w:tcW w:w="9440" w:type="dxa"/>
            <w:vAlign w:val="bottom"/>
          </w:tcPr>
          <w:p>
            <w:pPr>
              <w:ind w:left="80"/>
              <w:spacing w:after="0"/>
              <w:rPr>
                <w:sz w:val="20"/>
                <w:szCs w:val="20"/>
                <w:color w:val="auto"/>
              </w:rPr>
            </w:pPr>
            <w:r>
              <w:rPr>
                <w:rFonts w:ascii="Arial" w:cs="Arial" w:eastAsia="Arial" w:hAnsi="Arial"/>
                <w:sz w:val="15"/>
                <w:szCs w:val="15"/>
                <w:color w:val="444A54"/>
              </w:rPr>
              <w:t>We follow sound governance practices in our executive compensation program to ensure that our compensation programs and practices</w:t>
            </w:r>
          </w:p>
        </w:tc>
        <w:tc>
          <w:tcPr>
            <w:tcW w:w="0" w:type="dxa"/>
            <w:vAlign w:val="bottom"/>
          </w:tcPr>
          <w:p>
            <w:pPr>
              <w:spacing w:after="0"/>
              <w:rPr>
                <w:sz w:val="1"/>
                <w:szCs w:val="1"/>
                <w:color w:val="auto"/>
              </w:rPr>
            </w:pPr>
          </w:p>
        </w:tc>
      </w:tr>
      <w:tr>
        <w:trPr>
          <w:trHeight w:val="83"/>
        </w:trPr>
        <w:tc>
          <w:tcPr>
            <w:tcW w:w="1800" w:type="dxa"/>
            <w:vAlign w:val="bottom"/>
            <w:vMerge w:val="continue"/>
            <w:shd w:val="clear" w:color="auto" w:fill="32A4D3"/>
          </w:tcPr>
          <w:p>
            <w:pPr>
              <w:spacing w:after="0"/>
              <w:rPr>
                <w:sz w:val="7"/>
                <w:szCs w:val="7"/>
                <w:color w:val="auto"/>
              </w:rPr>
            </w:pPr>
          </w:p>
        </w:tc>
        <w:tc>
          <w:tcPr>
            <w:tcW w:w="9440" w:type="dxa"/>
            <w:vAlign w:val="bottom"/>
            <w:vMerge w:val="restart"/>
          </w:tcPr>
          <w:p>
            <w:pPr>
              <w:ind w:left="80"/>
              <w:spacing w:after="0"/>
              <w:rPr>
                <w:sz w:val="20"/>
                <w:szCs w:val="20"/>
                <w:color w:val="auto"/>
              </w:rPr>
            </w:pPr>
            <w:r>
              <w:rPr>
                <w:rFonts w:ascii="Arial" w:cs="Arial" w:eastAsia="Arial" w:hAnsi="Arial"/>
                <w:sz w:val="15"/>
                <w:szCs w:val="15"/>
                <w:color w:val="444A54"/>
              </w:rPr>
              <w:t>are consistent with safe and sound banking practices. We believe that performance objectives should be motivating and challenging while</w:t>
            </w:r>
          </w:p>
        </w:tc>
        <w:tc>
          <w:tcPr>
            <w:tcW w:w="0" w:type="dxa"/>
            <w:vAlign w:val="bottom"/>
          </w:tcPr>
          <w:p>
            <w:pPr>
              <w:spacing w:after="0"/>
              <w:rPr>
                <w:sz w:val="1"/>
                <w:szCs w:val="1"/>
                <w:color w:val="auto"/>
              </w:rPr>
            </w:pPr>
          </w:p>
        </w:tc>
      </w:tr>
      <w:tr>
        <w:trPr>
          <w:trHeight w:val="92"/>
        </w:trPr>
        <w:tc>
          <w:tcPr>
            <w:tcW w:w="1800" w:type="dxa"/>
            <w:vAlign w:val="bottom"/>
            <w:vMerge w:val="restart"/>
            <w:shd w:val="clear" w:color="auto" w:fill="32A4D3"/>
          </w:tcPr>
          <w:p>
            <w:pPr>
              <w:ind w:left="440"/>
              <w:spacing w:after="0"/>
              <w:rPr>
                <w:sz w:val="20"/>
                <w:szCs w:val="20"/>
                <w:color w:val="auto"/>
              </w:rPr>
            </w:pPr>
            <w:r>
              <w:rPr>
                <w:rFonts w:ascii="Arial" w:cs="Arial" w:eastAsia="Arial" w:hAnsi="Arial"/>
                <w:sz w:val="17"/>
                <w:szCs w:val="17"/>
                <w:color w:val="FFFFFF"/>
              </w:rPr>
              <w:t>Governance</w:t>
            </w: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800" w:type="dxa"/>
            <w:vAlign w:val="bottom"/>
            <w:vMerge w:val="continue"/>
            <w:shd w:val="clear" w:color="auto" w:fill="32A4D3"/>
          </w:tcPr>
          <w:p>
            <w:pPr>
              <w:spacing w:after="0"/>
              <w:rPr>
                <w:sz w:val="11"/>
                <w:szCs w:val="11"/>
                <w:color w:val="auto"/>
              </w:rPr>
            </w:pPr>
          </w:p>
        </w:tc>
        <w:tc>
          <w:tcPr>
            <w:tcW w:w="9440" w:type="dxa"/>
            <w:vAlign w:val="bottom"/>
            <w:vMerge w:val="restart"/>
          </w:tcPr>
          <w:p>
            <w:pPr>
              <w:ind w:left="80"/>
              <w:spacing w:after="0"/>
              <w:rPr>
                <w:sz w:val="20"/>
                <w:szCs w:val="20"/>
                <w:color w:val="auto"/>
              </w:rPr>
            </w:pPr>
            <w:r>
              <w:rPr>
                <w:rFonts w:ascii="Arial" w:cs="Arial" w:eastAsia="Arial" w:hAnsi="Arial"/>
                <w:sz w:val="15"/>
                <w:szCs w:val="15"/>
                <w:color w:val="444A54"/>
              </w:rPr>
              <w:t>also being achievable and consistent with our safe and sound banking practices.</w:t>
            </w:r>
          </w:p>
        </w:tc>
        <w:tc>
          <w:tcPr>
            <w:tcW w:w="0" w:type="dxa"/>
            <w:vAlign w:val="bottom"/>
          </w:tcPr>
          <w:p>
            <w:pPr>
              <w:spacing w:after="0"/>
              <w:rPr>
                <w:sz w:val="1"/>
                <w:szCs w:val="1"/>
                <w:color w:val="auto"/>
              </w:rPr>
            </w:pPr>
          </w:p>
        </w:tc>
      </w:tr>
      <w:tr>
        <w:trPr>
          <w:trHeight w:val="84"/>
        </w:trPr>
        <w:tc>
          <w:tcPr>
            <w:tcW w:w="1800" w:type="dxa"/>
            <w:vAlign w:val="bottom"/>
            <w:shd w:val="clear" w:color="auto" w:fill="32A4D3"/>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tcBorders>
              <w:bottom w:val="single" w:sz="8" w:color="BDC0C7"/>
            </w:tcBorders>
          </w:tcPr>
          <w:p>
            <w:pPr>
              <w:spacing w:after="0"/>
              <w:rPr>
                <w:sz w:val="7"/>
                <w:szCs w:val="7"/>
                <w:color w:val="auto"/>
              </w:rPr>
            </w:pPr>
          </w:p>
        </w:tc>
        <w:tc>
          <w:tcPr>
            <w:tcW w:w="9440" w:type="dxa"/>
            <w:vAlign w:val="bottom"/>
            <w:tcBorders>
              <w:bottom w:val="single" w:sz="8" w:color="BDC0C7"/>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144270" cy="4527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44270" cy="45275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type w:val="continuous"/>
        </w:sectPr>
      </w:pPr>
    </w:p>
    <w:p>
      <w:pPr>
        <w:spacing w:after="0" w:line="146" w:lineRule="exact"/>
        <w:rPr>
          <w:sz w:val="20"/>
          <w:szCs w:val="20"/>
          <w:color w:val="auto"/>
        </w:rPr>
      </w:pPr>
    </w:p>
    <w:p>
      <w:pPr>
        <w:jc w:val="center"/>
        <w:ind w:left="220"/>
        <w:spacing w:after="0" w:line="268" w:lineRule="auto"/>
        <w:rPr>
          <w:sz w:val="20"/>
          <w:szCs w:val="20"/>
          <w:color w:val="auto"/>
        </w:rPr>
      </w:pPr>
      <w:r>
        <w:rPr>
          <w:rFonts w:ascii="Arial" w:cs="Arial" w:eastAsia="Arial" w:hAnsi="Arial"/>
          <w:sz w:val="16"/>
          <w:szCs w:val="16"/>
          <w:color w:val="FFFFFF"/>
        </w:rPr>
        <w:t>Double Trigger Change-in-Control Provisions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260"/>
        <w:spacing w:after="0" w:line="261" w:lineRule="auto"/>
        <w:rPr>
          <w:sz w:val="20"/>
          <w:szCs w:val="20"/>
          <w:color w:val="auto"/>
        </w:rPr>
      </w:pPr>
      <w:r>
        <w:rPr>
          <w:rFonts w:ascii="Arial" w:cs="Arial" w:eastAsia="Arial" w:hAnsi="Arial"/>
          <w:sz w:val="15"/>
          <w:szCs w:val="15"/>
          <w:color w:val="444A54"/>
        </w:rPr>
        <w:t>Our change-in-control continuity agreements require both a change in control and termination of employment without “cause” or for “good reason” for an executive to be entitled to severance payments. In addition, our long-term equity incentive awards for executive officers include similar double-trigger vesting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111125</wp:posOffset>
            </wp:positionV>
            <wp:extent cx="71424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1580" w:space="300"/>
            <w:col w:w="9360"/>
          </w:cols>
          <w:pgMar w:left="320" w:top="804" w:right="3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800" w:type="dxa"/>
            <w:vAlign w:val="bottom"/>
            <w:shd w:val="clear" w:color="auto" w:fill="017AB5"/>
          </w:tcPr>
          <w:p>
            <w:pPr>
              <w:jc w:val="center"/>
              <w:spacing w:after="0"/>
              <w:rPr>
                <w:sz w:val="20"/>
                <w:szCs w:val="20"/>
                <w:color w:val="auto"/>
              </w:rPr>
            </w:pPr>
            <w:r>
              <w:rPr>
                <w:rFonts w:ascii="Arial" w:cs="Arial" w:eastAsia="Arial" w:hAnsi="Arial"/>
                <w:sz w:val="17"/>
                <w:szCs w:val="17"/>
                <w:color w:val="FFFFFF"/>
                <w:w w:val="97"/>
              </w:rPr>
              <w:t>United Community</w:t>
            </w:r>
          </w:p>
        </w:tc>
        <w:tc>
          <w:tcPr>
            <w:tcW w:w="9440" w:type="dxa"/>
            <w:vAlign w:val="bottom"/>
            <w:vMerge w:val="restart"/>
          </w:tcPr>
          <w:p>
            <w:pPr>
              <w:ind w:left="80"/>
              <w:spacing w:after="0"/>
              <w:rPr>
                <w:sz w:val="20"/>
                <w:szCs w:val="20"/>
                <w:color w:val="auto"/>
              </w:rPr>
            </w:pPr>
            <w:r>
              <w:rPr>
                <w:rFonts w:ascii="Arial" w:cs="Arial" w:eastAsia="Arial" w:hAnsi="Arial"/>
                <w:sz w:val="15"/>
                <w:szCs w:val="15"/>
                <w:color w:val="444A54"/>
              </w:rPr>
              <w:t>We have robust share ownership guidelines for our executive officers to align the interests of our executive officers with those of our</w:t>
            </w:r>
          </w:p>
        </w:tc>
        <w:tc>
          <w:tcPr>
            <w:tcW w:w="0" w:type="dxa"/>
            <w:vAlign w:val="bottom"/>
          </w:tcPr>
          <w:p>
            <w:pPr>
              <w:spacing w:after="0"/>
              <w:rPr>
                <w:sz w:val="1"/>
                <w:szCs w:val="1"/>
                <w:color w:val="auto"/>
              </w:rPr>
            </w:pPr>
          </w:p>
        </w:tc>
      </w:tr>
      <w:tr>
        <w:trPr>
          <w:trHeight w:val="92"/>
        </w:trPr>
        <w:tc>
          <w:tcPr>
            <w:tcW w:w="1800" w:type="dxa"/>
            <w:vAlign w:val="bottom"/>
            <w:vMerge w:val="restart"/>
            <w:shd w:val="clear" w:color="auto" w:fill="017AB5"/>
          </w:tcPr>
          <w:p>
            <w:pPr>
              <w:jc w:val="center"/>
              <w:spacing w:after="0" w:line="188" w:lineRule="exact"/>
              <w:rPr>
                <w:sz w:val="20"/>
                <w:szCs w:val="20"/>
                <w:color w:val="auto"/>
              </w:rPr>
            </w:pPr>
            <w:r>
              <w:rPr>
                <w:rFonts w:ascii="Arial" w:cs="Arial" w:eastAsia="Arial" w:hAnsi="Arial"/>
                <w:sz w:val="17"/>
                <w:szCs w:val="17"/>
                <w:color w:val="FFFFFF"/>
                <w:w w:val="97"/>
              </w:rPr>
              <w:t>Share Ownership</w:t>
            </w: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800" w:type="dxa"/>
            <w:vAlign w:val="bottom"/>
            <w:vMerge w:val="continue"/>
            <w:shd w:val="clear" w:color="auto" w:fill="017AB5"/>
          </w:tcPr>
          <w:p>
            <w:pPr>
              <w:spacing w:after="0"/>
              <w:rPr>
                <w:sz w:val="8"/>
                <w:szCs w:val="8"/>
                <w:color w:val="auto"/>
              </w:rPr>
            </w:pPr>
          </w:p>
        </w:tc>
        <w:tc>
          <w:tcPr>
            <w:tcW w:w="9440" w:type="dxa"/>
            <w:vAlign w:val="bottom"/>
            <w:vMerge w:val="restart"/>
          </w:tcPr>
          <w:p>
            <w:pPr>
              <w:ind w:left="80"/>
              <w:spacing w:after="0"/>
              <w:rPr>
                <w:sz w:val="20"/>
                <w:szCs w:val="20"/>
                <w:color w:val="auto"/>
              </w:rPr>
            </w:pPr>
            <w:r>
              <w:rPr>
                <w:rFonts w:ascii="Arial" w:cs="Arial" w:eastAsia="Arial" w:hAnsi="Arial"/>
                <w:sz w:val="15"/>
                <w:szCs w:val="15"/>
                <w:color w:val="444A54"/>
              </w:rPr>
              <w:t>shareholders.</w:t>
            </w:r>
          </w:p>
        </w:tc>
        <w:tc>
          <w:tcPr>
            <w:tcW w:w="0" w:type="dxa"/>
            <w:vAlign w:val="bottom"/>
          </w:tcPr>
          <w:p>
            <w:pPr>
              <w:spacing w:after="0"/>
              <w:rPr>
                <w:sz w:val="1"/>
                <w:szCs w:val="1"/>
                <w:color w:val="auto"/>
              </w:rPr>
            </w:pPr>
          </w:p>
        </w:tc>
      </w:tr>
      <w:tr>
        <w:trPr>
          <w:trHeight w:val="102"/>
        </w:trPr>
        <w:tc>
          <w:tcPr>
            <w:tcW w:w="1800" w:type="dxa"/>
            <w:vAlign w:val="bottom"/>
            <w:vMerge w:val="restart"/>
            <w:shd w:val="clear" w:color="auto" w:fill="017AB5"/>
          </w:tcPr>
          <w:p>
            <w:pPr>
              <w:jc w:val="center"/>
              <w:spacing w:after="0"/>
              <w:rPr>
                <w:sz w:val="20"/>
                <w:szCs w:val="20"/>
                <w:color w:val="auto"/>
              </w:rPr>
            </w:pPr>
            <w:r>
              <w:rPr>
                <w:rFonts w:ascii="Arial" w:cs="Arial" w:eastAsia="Arial" w:hAnsi="Arial"/>
                <w:sz w:val="17"/>
                <w:szCs w:val="17"/>
                <w:color w:val="FFFFFF"/>
                <w:w w:val="99"/>
              </w:rPr>
              <w:t>Guidelines</w:t>
            </w: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800" w:type="dxa"/>
            <w:vAlign w:val="bottom"/>
            <w:tcBorders>
              <w:bottom w:val="single" w:sz="8" w:color="017AB5"/>
            </w:tcBorders>
            <w:vMerge w:val="continue"/>
            <w:shd w:val="clear" w:color="auto" w:fill="017AB5"/>
          </w:tcPr>
          <w:p>
            <w:pPr>
              <w:spacing w:after="0"/>
              <w:rPr>
                <w:sz w:val="13"/>
                <w:szCs w:val="13"/>
                <w:color w:val="auto"/>
              </w:rPr>
            </w:pPr>
          </w:p>
        </w:tc>
        <w:tc>
          <w:tcPr>
            <w:tcW w:w="9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800" w:type="dxa"/>
            <w:vAlign w:val="bottom"/>
            <w:tcBorders>
              <w:bottom w:val="single" w:sz="8" w:color="BDC0C7"/>
            </w:tcBorders>
          </w:tcPr>
          <w:p>
            <w:pPr>
              <w:spacing w:after="0"/>
              <w:rPr>
                <w:sz w:val="7"/>
                <w:szCs w:val="7"/>
                <w:color w:val="auto"/>
              </w:rPr>
            </w:pPr>
          </w:p>
        </w:tc>
        <w:tc>
          <w:tcPr>
            <w:tcW w:w="9440" w:type="dxa"/>
            <w:vAlign w:val="bottom"/>
            <w:tcBorders>
              <w:bottom w:val="single" w:sz="8" w:color="BDC0C7"/>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9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800" w:type="dxa"/>
            <w:vAlign w:val="bottom"/>
            <w:shd w:val="clear" w:color="auto" w:fill="0C659F"/>
          </w:tcPr>
          <w:p>
            <w:pPr>
              <w:jc w:val="center"/>
              <w:spacing w:after="0"/>
              <w:rPr>
                <w:sz w:val="20"/>
                <w:szCs w:val="20"/>
                <w:color w:val="auto"/>
              </w:rPr>
            </w:pPr>
            <w:r>
              <w:rPr>
                <w:rFonts w:ascii="Arial" w:cs="Arial" w:eastAsia="Arial" w:hAnsi="Arial"/>
                <w:sz w:val="17"/>
                <w:szCs w:val="17"/>
                <w:color w:val="FFFFFF"/>
                <w:w w:val="98"/>
              </w:rPr>
              <w:t>Compensation</w:t>
            </w:r>
          </w:p>
        </w:tc>
        <w:tc>
          <w:tcPr>
            <w:tcW w:w="9440" w:type="dxa"/>
            <w:vAlign w:val="bottom"/>
          </w:tcPr>
          <w:p>
            <w:pPr>
              <w:ind w:left="80"/>
              <w:spacing w:after="0"/>
              <w:rPr>
                <w:sz w:val="20"/>
                <w:szCs w:val="20"/>
                <w:color w:val="auto"/>
              </w:rPr>
            </w:pPr>
            <w:r>
              <w:rPr>
                <w:rFonts w:ascii="Arial" w:cs="Arial" w:eastAsia="Arial" w:hAnsi="Arial"/>
                <w:sz w:val="15"/>
                <w:szCs w:val="15"/>
                <w:color w:val="444A54"/>
              </w:rPr>
              <w:t>Our Board has adopted policies (including one required by NYSE listing standards) relating to the clawback of incentive compensation paid</w:t>
            </w:r>
          </w:p>
        </w:tc>
        <w:tc>
          <w:tcPr>
            <w:tcW w:w="0" w:type="dxa"/>
            <w:vAlign w:val="bottom"/>
          </w:tcPr>
          <w:p>
            <w:pPr>
              <w:spacing w:after="0"/>
              <w:rPr>
                <w:sz w:val="1"/>
                <w:szCs w:val="1"/>
                <w:color w:val="auto"/>
              </w:rPr>
            </w:pPr>
          </w:p>
        </w:tc>
      </w:tr>
      <w:tr>
        <w:trPr>
          <w:trHeight w:val="260"/>
        </w:trPr>
        <w:tc>
          <w:tcPr>
            <w:tcW w:w="1800" w:type="dxa"/>
            <w:vAlign w:val="bottom"/>
            <w:tcBorders>
              <w:bottom w:val="single" w:sz="8" w:color="0C659F"/>
            </w:tcBorders>
            <w:shd w:val="clear" w:color="auto" w:fill="0C659F"/>
          </w:tcPr>
          <w:p>
            <w:pPr>
              <w:jc w:val="center"/>
              <w:spacing w:after="0"/>
              <w:rPr>
                <w:sz w:val="20"/>
                <w:szCs w:val="20"/>
                <w:color w:val="auto"/>
              </w:rPr>
            </w:pPr>
            <w:r>
              <w:rPr>
                <w:rFonts w:ascii="Arial" w:cs="Arial" w:eastAsia="Arial" w:hAnsi="Arial"/>
                <w:sz w:val="17"/>
                <w:szCs w:val="17"/>
                <w:color w:val="FFFFFF"/>
                <w:w w:val="97"/>
              </w:rPr>
              <w:t>Clawback</w:t>
            </w:r>
          </w:p>
        </w:tc>
        <w:tc>
          <w:tcPr>
            <w:tcW w:w="9440" w:type="dxa"/>
            <w:vAlign w:val="bottom"/>
          </w:tcPr>
          <w:p>
            <w:pPr>
              <w:ind w:left="80"/>
              <w:spacing w:after="0"/>
              <w:rPr>
                <w:sz w:val="20"/>
                <w:szCs w:val="20"/>
                <w:color w:val="auto"/>
              </w:rPr>
            </w:pPr>
            <w:r>
              <w:rPr>
                <w:rFonts w:ascii="Arial" w:cs="Arial" w:eastAsia="Arial" w:hAnsi="Arial"/>
                <w:sz w:val="15"/>
                <w:szCs w:val="15"/>
                <w:color w:val="444A54"/>
              </w:rPr>
              <w:t>to our executive officers in the event of certain restatements of our financial statements.</w:t>
            </w:r>
          </w:p>
        </w:tc>
        <w:tc>
          <w:tcPr>
            <w:tcW w:w="0" w:type="dxa"/>
            <w:vAlign w:val="bottom"/>
          </w:tcPr>
          <w:p>
            <w:pPr>
              <w:spacing w:after="0"/>
              <w:rPr>
                <w:sz w:val="1"/>
                <w:szCs w:val="1"/>
                <w:color w:val="auto"/>
              </w:rPr>
            </w:pPr>
          </w:p>
        </w:tc>
      </w:tr>
      <w:tr>
        <w:trPr>
          <w:trHeight w:val="88"/>
        </w:trPr>
        <w:tc>
          <w:tcPr>
            <w:tcW w:w="1800" w:type="dxa"/>
            <w:vAlign w:val="bottom"/>
            <w:tcBorders>
              <w:bottom w:val="single" w:sz="8" w:color="BDC0C7"/>
            </w:tcBorders>
          </w:tcPr>
          <w:p>
            <w:pPr>
              <w:spacing w:after="0"/>
              <w:rPr>
                <w:sz w:val="7"/>
                <w:szCs w:val="7"/>
                <w:color w:val="auto"/>
              </w:rPr>
            </w:pPr>
          </w:p>
        </w:tc>
        <w:tc>
          <w:tcPr>
            <w:tcW w:w="9440" w:type="dxa"/>
            <w:vAlign w:val="bottom"/>
            <w:tcBorders>
              <w:bottom w:val="single" w:sz="8" w:color="BDC0C7"/>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9440" w:type="dxa"/>
            <w:vAlign w:val="bottom"/>
            <w:vMerge w:val="restart"/>
          </w:tcPr>
          <w:p>
            <w:pPr>
              <w:ind w:left="80"/>
              <w:spacing w:after="0"/>
              <w:rPr>
                <w:sz w:val="20"/>
                <w:szCs w:val="20"/>
                <w:color w:val="auto"/>
              </w:rPr>
            </w:pPr>
            <w:r>
              <w:rPr>
                <w:rFonts w:ascii="Arial" w:cs="Arial" w:eastAsia="Arial" w:hAnsi="Arial"/>
                <w:sz w:val="15"/>
                <w:szCs w:val="15"/>
                <w:color w:val="444A54"/>
              </w:rPr>
              <w:t>Performance metrics for both short-term and long-term incentives are utilized, and maximum payout potential is set for both short-term and</w:t>
            </w:r>
          </w:p>
        </w:tc>
        <w:tc>
          <w:tcPr>
            <w:tcW w:w="0" w:type="dxa"/>
            <w:vAlign w:val="bottom"/>
          </w:tcPr>
          <w:p>
            <w:pPr>
              <w:spacing w:after="0"/>
              <w:rPr>
                <w:sz w:val="1"/>
                <w:szCs w:val="1"/>
                <w:color w:val="auto"/>
              </w:rPr>
            </w:pPr>
          </w:p>
        </w:tc>
      </w:tr>
      <w:tr>
        <w:trPr>
          <w:trHeight w:val="188"/>
        </w:trPr>
        <w:tc>
          <w:tcPr>
            <w:tcW w:w="1800" w:type="dxa"/>
            <w:vAlign w:val="bottom"/>
            <w:shd w:val="clear" w:color="auto" w:fill="194C85"/>
          </w:tcPr>
          <w:p>
            <w:pPr>
              <w:spacing w:after="0"/>
              <w:rPr>
                <w:sz w:val="16"/>
                <w:szCs w:val="16"/>
                <w:color w:val="auto"/>
              </w:rPr>
            </w:pPr>
          </w:p>
        </w:tc>
        <w:tc>
          <w:tcPr>
            <w:tcW w:w="9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0" w:type="dxa"/>
            <w:vAlign w:val="bottom"/>
            <w:vMerge w:val="restart"/>
            <w:shd w:val="clear" w:color="auto" w:fill="194C85"/>
          </w:tcPr>
          <w:p>
            <w:pPr>
              <w:ind w:left="340"/>
              <w:spacing w:after="0"/>
              <w:rPr>
                <w:sz w:val="20"/>
                <w:szCs w:val="20"/>
                <w:color w:val="auto"/>
              </w:rPr>
            </w:pPr>
            <w:r>
              <w:rPr>
                <w:rFonts w:ascii="Arial" w:cs="Arial" w:eastAsia="Arial" w:hAnsi="Arial"/>
                <w:sz w:val="17"/>
                <w:szCs w:val="17"/>
                <w:color w:val="FFFFFF"/>
              </w:rPr>
              <w:t>Compensation</w:t>
            </w:r>
          </w:p>
        </w:tc>
        <w:tc>
          <w:tcPr>
            <w:tcW w:w="9440" w:type="dxa"/>
            <w:vAlign w:val="bottom"/>
          </w:tcPr>
          <w:p>
            <w:pPr>
              <w:ind w:left="80"/>
              <w:spacing w:after="0"/>
              <w:rPr>
                <w:sz w:val="20"/>
                <w:szCs w:val="20"/>
                <w:color w:val="auto"/>
              </w:rPr>
            </w:pPr>
            <w:r>
              <w:rPr>
                <w:rFonts w:ascii="Arial" w:cs="Arial" w:eastAsia="Arial" w:hAnsi="Arial"/>
                <w:sz w:val="15"/>
                <w:szCs w:val="15"/>
                <w:color w:val="444A54"/>
              </w:rPr>
              <w:t>long-term incentive opportunities reducing the risk that strategies or transactions may be executed outside the Company’s overall risk</w:t>
            </w:r>
          </w:p>
        </w:tc>
        <w:tc>
          <w:tcPr>
            <w:tcW w:w="0" w:type="dxa"/>
            <w:vAlign w:val="bottom"/>
          </w:tcPr>
          <w:p>
            <w:pPr>
              <w:spacing w:after="0"/>
              <w:rPr>
                <w:sz w:val="1"/>
                <w:szCs w:val="1"/>
                <w:color w:val="auto"/>
              </w:rPr>
            </w:pPr>
          </w:p>
        </w:tc>
      </w:tr>
      <w:tr>
        <w:trPr>
          <w:trHeight w:val="171"/>
        </w:trPr>
        <w:tc>
          <w:tcPr>
            <w:tcW w:w="1800" w:type="dxa"/>
            <w:vAlign w:val="bottom"/>
            <w:vMerge w:val="continue"/>
            <w:shd w:val="clear" w:color="auto" w:fill="194C85"/>
          </w:tcPr>
          <w:p>
            <w:pPr>
              <w:spacing w:after="0"/>
              <w:rPr>
                <w:sz w:val="14"/>
                <w:szCs w:val="14"/>
                <w:color w:val="auto"/>
              </w:rPr>
            </w:pPr>
          </w:p>
        </w:tc>
        <w:tc>
          <w:tcPr>
            <w:tcW w:w="9440" w:type="dxa"/>
            <w:vAlign w:val="bottom"/>
          </w:tcPr>
          <w:p>
            <w:pPr>
              <w:ind w:left="80"/>
              <w:spacing w:after="0" w:line="171" w:lineRule="exact"/>
              <w:rPr>
                <w:sz w:val="20"/>
                <w:szCs w:val="20"/>
                <w:color w:val="auto"/>
              </w:rPr>
            </w:pPr>
            <w:r>
              <w:rPr>
                <w:rFonts w:ascii="Arial" w:cs="Arial" w:eastAsia="Arial" w:hAnsi="Arial"/>
                <w:sz w:val="15"/>
                <w:szCs w:val="15"/>
                <w:color w:val="444A54"/>
              </w:rPr>
              <w:t>tolerance.</w:t>
            </w:r>
          </w:p>
        </w:tc>
        <w:tc>
          <w:tcPr>
            <w:tcW w:w="0" w:type="dxa"/>
            <w:vAlign w:val="bottom"/>
          </w:tcPr>
          <w:p>
            <w:pPr>
              <w:spacing w:after="0"/>
              <w:rPr>
                <w:sz w:val="1"/>
                <w:szCs w:val="1"/>
                <w:color w:val="auto"/>
              </w:rPr>
            </w:pPr>
          </w:p>
        </w:tc>
      </w:tr>
      <w:tr>
        <w:trPr>
          <w:trHeight w:val="221"/>
        </w:trPr>
        <w:tc>
          <w:tcPr>
            <w:tcW w:w="1800" w:type="dxa"/>
            <w:vAlign w:val="bottom"/>
            <w:shd w:val="clear" w:color="auto" w:fill="194C85"/>
          </w:tcPr>
          <w:p>
            <w:pPr>
              <w:jc w:val="center"/>
              <w:spacing w:after="0"/>
              <w:rPr>
                <w:sz w:val="20"/>
                <w:szCs w:val="20"/>
                <w:color w:val="auto"/>
              </w:rPr>
            </w:pPr>
            <w:r>
              <w:rPr>
                <w:rFonts w:ascii="Arial" w:cs="Arial" w:eastAsia="Arial" w:hAnsi="Arial"/>
                <w:sz w:val="17"/>
                <w:szCs w:val="17"/>
                <w:color w:val="FFFFFF"/>
                <w:w w:val="97"/>
              </w:rPr>
              <w:t>Risk Considerations</w:t>
            </w:r>
          </w:p>
        </w:tc>
        <w:tc>
          <w:tcPr>
            <w:tcW w:w="9440" w:type="dxa"/>
            <w:vAlign w:val="bottom"/>
            <w:vMerge w:val="restart"/>
          </w:tcPr>
          <w:p>
            <w:pPr>
              <w:ind w:left="80"/>
              <w:spacing w:after="0"/>
              <w:rPr>
                <w:sz w:val="20"/>
                <w:szCs w:val="20"/>
                <w:color w:val="auto"/>
              </w:rPr>
            </w:pPr>
            <w:r>
              <w:rPr>
                <w:rFonts w:ascii="Arial" w:cs="Arial" w:eastAsia="Arial" w:hAnsi="Arial"/>
                <w:sz w:val="15"/>
                <w:szCs w:val="15"/>
                <w:color w:val="444A54"/>
              </w:rPr>
              <w:t>The Company’s Compensation Department performs a risk analysis annually on all Company incentive plans and provides this analysis to</w:t>
            </w:r>
          </w:p>
        </w:tc>
        <w:tc>
          <w:tcPr>
            <w:tcW w:w="0" w:type="dxa"/>
            <w:vAlign w:val="bottom"/>
          </w:tcPr>
          <w:p>
            <w:pPr>
              <w:spacing w:after="0"/>
              <w:rPr>
                <w:sz w:val="1"/>
                <w:szCs w:val="1"/>
                <w:color w:val="auto"/>
              </w:rPr>
            </w:pPr>
          </w:p>
        </w:tc>
      </w:tr>
      <w:tr>
        <w:trPr>
          <w:trHeight w:val="134"/>
        </w:trPr>
        <w:tc>
          <w:tcPr>
            <w:tcW w:w="1800" w:type="dxa"/>
            <w:vAlign w:val="bottom"/>
            <w:shd w:val="clear" w:color="auto" w:fill="194C85"/>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800" w:type="dxa"/>
            <w:vAlign w:val="bottom"/>
            <w:shd w:val="clear" w:color="auto" w:fill="194C85"/>
          </w:tcPr>
          <w:p>
            <w:pPr>
              <w:spacing w:after="0"/>
              <w:rPr>
                <w:sz w:val="18"/>
                <w:szCs w:val="18"/>
                <w:color w:val="auto"/>
              </w:rPr>
            </w:pPr>
          </w:p>
        </w:tc>
        <w:tc>
          <w:tcPr>
            <w:tcW w:w="9440" w:type="dxa"/>
            <w:vAlign w:val="bottom"/>
          </w:tcPr>
          <w:p>
            <w:pPr>
              <w:ind w:left="80"/>
              <w:spacing w:after="0"/>
              <w:rPr>
                <w:sz w:val="20"/>
                <w:szCs w:val="20"/>
                <w:color w:val="auto"/>
              </w:rPr>
            </w:pPr>
            <w:r>
              <w:rPr>
                <w:rFonts w:ascii="Arial" w:cs="Arial" w:eastAsia="Arial" w:hAnsi="Arial"/>
                <w:sz w:val="15"/>
                <w:szCs w:val="15"/>
                <w:color w:val="444A54"/>
              </w:rPr>
              <w:t>the Talent and Compensation Committee for its review.</w:t>
            </w:r>
          </w:p>
        </w:tc>
        <w:tc>
          <w:tcPr>
            <w:tcW w:w="0" w:type="dxa"/>
            <w:vAlign w:val="bottom"/>
          </w:tcPr>
          <w:p>
            <w:pPr>
              <w:spacing w:after="0"/>
              <w:rPr>
                <w:sz w:val="1"/>
                <w:szCs w:val="1"/>
                <w:color w:val="auto"/>
              </w:rPr>
            </w:pPr>
          </w:p>
        </w:tc>
      </w:tr>
      <w:tr>
        <w:trPr>
          <w:trHeight w:val="100"/>
        </w:trPr>
        <w:tc>
          <w:tcPr>
            <w:tcW w:w="1800" w:type="dxa"/>
            <w:vAlign w:val="bottom"/>
            <w:tcBorders>
              <w:bottom w:val="single" w:sz="8" w:color="BDC0C7"/>
            </w:tcBorders>
          </w:tcPr>
          <w:p>
            <w:pPr>
              <w:spacing w:after="0"/>
              <w:rPr>
                <w:sz w:val="8"/>
                <w:szCs w:val="8"/>
                <w:color w:val="auto"/>
              </w:rPr>
            </w:pPr>
          </w:p>
        </w:tc>
        <w:tc>
          <w:tcPr>
            <w:tcW w:w="9440" w:type="dxa"/>
            <w:vAlign w:val="bottom"/>
            <w:tcBorders>
              <w:bottom w:val="single" w:sz="8" w:color="BDC0C7"/>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444A54"/>
        </w:rPr>
        <w:t>Our executive compensation program does not allow for:</w:t>
      </w:r>
    </w:p>
    <w:p>
      <w:pPr>
        <w:spacing w:after="0" w:line="80" w:lineRule="exact"/>
        <w:rPr>
          <w:sz w:val="20"/>
          <w:szCs w:val="20"/>
          <w:color w:val="auto"/>
        </w:rPr>
      </w:pPr>
    </w:p>
    <w:p>
      <w:pPr>
        <w:ind w:left="600" w:hanging="300"/>
        <w:spacing w:after="0"/>
        <w:tabs>
          <w:tab w:leader="none" w:pos="600" w:val="left"/>
        </w:tabs>
        <w:numPr>
          <w:ilvl w:val="0"/>
          <w:numId w:val="22"/>
        </w:numPr>
        <w:rPr>
          <w:rFonts w:ascii="Arial" w:cs="Arial" w:eastAsia="Arial" w:hAnsi="Arial"/>
          <w:sz w:val="17"/>
          <w:szCs w:val="17"/>
          <w:color w:val="444A54"/>
        </w:rPr>
      </w:pPr>
      <w:r>
        <w:rPr>
          <w:rFonts w:ascii="Arial" w:cs="Arial" w:eastAsia="Arial" w:hAnsi="Arial"/>
          <w:sz w:val="17"/>
          <w:szCs w:val="17"/>
          <w:color w:val="444A54"/>
        </w:rPr>
        <w:t>the gross up of compensation to cover taxes owed on compensation;</w:t>
      </w:r>
    </w:p>
    <w:p>
      <w:pPr>
        <w:spacing w:after="0" w:line="79" w:lineRule="exact"/>
        <w:rPr>
          <w:rFonts w:ascii="Arial" w:cs="Arial" w:eastAsia="Arial" w:hAnsi="Arial"/>
          <w:sz w:val="17"/>
          <w:szCs w:val="17"/>
          <w:color w:val="444A54"/>
        </w:rPr>
      </w:pPr>
    </w:p>
    <w:p>
      <w:pPr>
        <w:ind w:left="600" w:right="300" w:hanging="300"/>
        <w:spacing w:after="0" w:line="261" w:lineRule="auto"/>
        <w:tabs>
          <w:tab w:leader="none" w:pos="600" w:val="left"/>
        </w:tabs>
        <w:numPr>
          <w:ilvl w:val="0"/>
          <w:numId w:val="22"/>
        </w:numPr>
        <w:rPr>
          <w:rFonts w:ascii="Arial" w:cs="Arial" w:eastAsia="Arial" w:hAnsi="Arial"/>
          <w:sz w:val="17"/>
          <w:szCs w:val="17"/>
          <w:color w:val="444A54"/>
        </w:rPr>
      </w:pPr>
      <w:r>
        <w:rPr>
          <w:rFonts w:ascii="Arial" w:cs="Arial" w:eastAsia="Arial" w:hAnsi="Arial"/>
          <w:sz w:val="17"/>
          <w:szCs w:val="17"/>
          <w:color w:val="444A54"/>
        </w:rPr>
        <w:t>our directors, officers and employees to engage in short sales, trading in puts, calls and other options or derivatives with respect to our stock or hedging our stock; or</w:t>
      </w:r>
    </w:p>
    <w:p>
      <w:pPr>
        <w:spacing w:after="0" w:line="37" w:lineRule="exact"/>
        <w:rPr>
          <w:rFonts w:ascii="Arial" w:cs="Arial" w:eastAsia="Arial" w:hAnsi="Arial"/>
          <w:sz w:val="17"/>
          <w:szCs w:val="17"/>
          <w:color w:val="444A54"/>
        </w:rPr>
      </w:pPr>
    </w:p>
    <w:p>
      <w:pPr>
        <w:ind w:left="600" w:hanging="300"/>
        <w:spacing w:after="0"/>
        <w:tabs>
          <w:tab w:leader="none" w:pos="600" w:val="left"/>
        </w:tabs>
        <w:numPr>
          <w:ilvl w:val="0"/>
          <w:numId w:val="22"/>
        </w:numPr>
        <w:rPr>
          <w:rFonts w:ascii="Arial" w:cs="Arial" w:eastAsia="Arial" w:hAnsi="Arial"/>
          <w:sz w:val="17"/>
          <w:szCs w:val="17"/>
          <w:color w:val="444A54"/>
        </w:rPr>
      </w:pPr>
      <w:r>
        <w:rPr>
          <w:rFonts w:ascii="Arial" w:cs="Arial" w:eastAsia="Arial" w:hAnsi="Arial"/>
          <w:sz w:val="17"/>
          <w:szCs w:val="17"/>
          <w:color w:val="444A54"/>
        </w:rPr>
        <w:t>repricing within our equity plans without shareholder approval.</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b w:val="1"/>
          <w:bCs w:val="1"/>
          <w:i w:val="1"/>
          <w:iCs w:val="1"/>
          <w:color w:val="017AB5"/>
        </w:rPr>
        <w:t>Say-on-Pay Vote from 2024 Annual Meeting of Shareholders</w:t>
      </w:r>
    </w:p>
    <w:p>
      <w:pPr>
        <w:spacing w:after="0" w:line="19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444A54"/>
        </w:rPr>
        <w:t>The Company held an advisory say-on-pay vote at its 2024 Annual Meeting of Shareholders. Shareholders approved the compensation of the NEOs, with 97.7% of shareholder votes cast (which excludes abstentions and broker nonvotes) voting in favor of the say-on-pay proposal. The Talent and Compensation Committee views this as an indication that the Company has been generally effective in implementing its compensation philosophy and objectives. Because we view this outcome as continuing to be overwhelmingly supportive of our compensation policies and practices, we do not believe that fundamental changes to the program are needed at this time. Nonetheless, because market practices and our business needs continue to evolve, we intend to continually evaluate our program and make changes when warranted.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2024 Select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131445</wp:posOffset>
            </wp:positionV>
            <wp:extent cx="6744970" cy="15728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44970" cy="157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444A54"/>
        </w:rPr>
        <w:t>See reconciliation of non-GAAP measures related to GAAP financial measures in United Community’s Annual Report on Form 10-K for the year ended December 31, 2024, filed with the SEC on February 27, 2025.</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444A54"/>
        </w:rPr>
        <w:t>In addition to the highlights above, during 2024, the Company:</w:t>
      </w:r>
    </w:p>
    <w:p>
      <w:pPr>
        <w:spacing w:after="0" w:line="80" w:lineRule="exact"/>
        <w:rPr>
          <w:sz w:val="20"/>
          <w:szCs w:val="20"/>
          <w:color w:val="auto"/>
        </w:rPr>
      </w:pPr>
    </w:p>
    <w:p>
      <w:pPr>
        <w:ind w:left="600" w:right="300" w:hanging="300"/>
        <w:spacing w:after="0" w:line="268" w:lineRule="auto"/>
        <w:tabs>
          <w:tab w:leader="none" w:pos="600" w:val="left"/>
        </w:tabs>
        <w:numPr>
          <w:ilvl w:val="0"/>
          <w:numId w:val="23"/>
        </w:numPr>
        <w:rPr>
          <w:rFonts w:ascii="Arial" w:cs="Arial" w:eastAsia="Arial" w:hAnsi="Arial"/>
          <w:sz w:val="16"/>
          <w:szCs w:val="16"/>
          <w:color w:val="444A54"/>
        </w:rPr>
      </w:pPr>
      <w:r>
        <w:rPr>
          <w:rFonts w:ascii="Arial" w:cs="Arial" w:eastAsia="Arial" w:hAnsi="Arial"/>
          <w:sz w:val="16"/>
          <w:szCs w:val="16"/>
          <w:color w:val="444A54"/>
        </w:rPr>
        <w:t>Net charge offs for 2024 were $57.7 million, up $5.45 million from 2023, mostly due to $11.0 million in charge-offs related to the sale of our manufactured housing loan portfolio. We continued to experience unusually high charge-offs in loans to the long-haul trucking industry within our equipment finance business. Aside from that, net charge-offs trended down in 2024 across all most other loan categories.</w:t>
      </w:r>
    </w:p>
    <w:p>
      <w:pPr>
        <w:spacing w:after="0" w:line="34" w:lineRule="exact"/>
        <w:rPr>
          <w:rFonts w:ascii="Arial" w:cs="Arial" w:eastAsia="Arial" w:hAnsi="Arial"/>
          <w:sz w:val="16"/>
          <w:szCs w:val="16"/>
          <w:color w:val="444A54"/>
        </w:rPr>
      </w:pPr>
    </w:p>
    <w:p>
      <w:pPr>
        <w:ind w:left="600" w:hanging="300"/>
        <w:spacing w:after="0"/>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Substantially enhanced already strong regulatory capital ratios providing a firm foundation to fuel future growth.</w:t>
      </w:r>
    </w:p>
    <w:p>
      <w:pPr>
        <w:spacing w:after="0" w:line="79" w:lineRule="exact"/>
        <w:rPr>
          <w:rFonts w:ascii="Arial" w:cs="Arial" w:eastAsia="Arial" w:hAnsi="Arial"/>
          <w:sz w:val="17"/>
          <w:szCs w:val="17"/>
          <w:color w:val="444A54"/>
        </w:rPr>
      </w:pPr>
    </w:p>
    <w:p>
      <w:pPr>
        <w:ind w:left="600" w:hanging="300"/>
        <w:spacing w:after="0"/>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Grew core transaction deposits $337 million, or 2%.</w:t>
      </w:r>
    </w:p>
    <w:p>
      <w:pPr>
        <w:spacing w:after="0" w:line="79" w:lineRule="exact"/>
        <w:rPr>
          <w:rFonts w:ascii="Arial" w:cs="Arial" w:eastAsia="Arial" w:hAnsi="Arial"/>
          <w:sz w:val="17"/>
          <w:szCs w:val="17"/>
          <w:color w:val="444A54"/>
        </w:rPr>
      </w:pPr>
    </w:p>
    <w:p>
      <w:pPr>
        <w:ind w:left="600" w:right="760" w:hanging="300"/>
        <w:spacing w:after="0" w:line="261" w:lineRule="auto"/>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Reported an efficiency ratio of 60.2%, or 57.2% on an operating basis, which is higher than our target range, primarily driven by higher deposit rates and a compressing net interest margin.</w:t>
      </w:r>
    </w:p>
    <w:p>
      <w:pPr>
        <w:spacing w:after="0" w:line="37" w:lineRule="exact"/>
        <w:rPr>
          <w:rFonts w:ascii="Arial" w:cs="Arial" w:eastAsia="Arial" w:hAnsi="Arial"/>
          <w:sz w:val="17"/>
          <w:szCs w:val="17"/>
          <w:color w:val="444A54"/>
        </w:rPr>
      </w:pPr>
    </w:p>
    <w:p>
      <w:pPr>
        <w:ind w:left="600" w:hanging="300"/>
        <w:spacing w:after="0"/>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Reported net interest margin of 3.29%, down slightly from 2023, due to increased deposit costs.</w:t>
      </w:r>
    </w:p>
    <w:p>
      <w:pPr>
        <w:spacing w:after="0" w:line="79" w:lineRule="exact"/>
        <w:rPr>
          <w:rFonts w:ascii="Arial" w:cs="Arial" w:eastAsia="Arial" w:hAnsi="Arial"/>
          <w:sz w:val="17"/>
          <w:szCs w:val="17"/>
          <w:color w:val="444A54"/>
        </w:rPr>
      </w:pPr>
    </w:p>
    <w:p>
      <w:pPr>
        <w:ind w:left="600" w:right="1580" w:hanging="300"/>
        <w:spacing w:after="0" w:line="261" w:lineRule="auto"/>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Reported an increase in noninterest income of $49.3 million primarily due to 2023 losses from a bond portfolio restructuring transaction.</w:t>
      </w:r>
    </w:p>
    <w:p>
      <w:pPr>
        <w:spacing w:after="0" w:line="37" w:lineRule="exact"/>
        <w:rPr>
          <w:rFonts w:ascii="Arial" w:cs="Arial" w:eastAsia="Arial" w:hAnsi="Arial"/>
          <w:sz w:val="17"/>
          <w:szCs w:val="17"/>
          <w:color w:val="444A54"/>
        </w:rPr>
      </w:pPr>
    </w:p>
    <w:p>
      <w:pPr>
        <w:ind w:left="600" w:right="700" w:hanging="300"/>
        <w:spacing w:after="0" w:line="246" w:lineRule="auto"/>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Awarded $763,265 in charitable contributions to 210 organizations in 2024 to improve the economic vitality and quality of life in the communities we serve through the United Community Bank Foundation. This includes $350,000 to support relief efforts in communities affected by hurricane Helene in western North Carolina.</w:t>
      </w:r>
    </w:p>
    <w:p>
      <w:pPr>
        <w:spacing w:after="0" w:line="49" w:lineRule="exact"/>
        <w:rPr>
          <w:rFonts w:ascii="Arial" w:cs="Arial" w:eastAsia="Arial" w:hAnsi="Arial"/>
          <w:sz w:val="17"/>
          <w:szCs w:val="17"/>
          <w:color w:val="444A54"/>
        </w:rPr>
      </w:pPr>
    </w:p>
    <w:p>
      <w:pPr>
        <w:ind w:left="600" w:right="520" w:hanging="300"/>
        <w:spacing w:after="0" w:line="246" w:lineRule="auto"/>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Appointed Sally Pope Davis to serve on our Board of Directors. Davis is a highly regarded and successful investor in the banking industry for many years, co-leading one of the industry’s largest small-cap value funds during her 35-year tenure at Goldman Sachs Asset Management.</w:t>
      </w:r>
    </w:p>
    <w:p>
      <w:pPr>
        <w:spacing w:after="0" w:line="49" w:lineRule="exact"/>
        <w:rPr>
          <w:rFonts w:ascii="Arial" w:cs="Arial" w:eastAsia="Arial" w:hAnsi="Arial"/>
          <w:sz w:val="17"/>
          <w:szCs w:val="17"/>
          <w:color w:val="444A54"/>
        </w:rPr>
      </w:pPr>
    </w:p>
    <w:p>
      <w:pPr>
        <w:ind w:left="600" w:hanging="300"/>
        <w:spacing w:after="0"/>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Completed construction of a new corporate headquarters in downtown Greenville.</w:t>
      </w:r>
    </w:p>
    <w:p>
      <w:pPr>
        <w:spacing w:after="0" w:line="79" w:lineRule="exact"/>
        <w:rPr>
          <w:rFonts w:ascii="Arial" w:cs="Arial" w:eastAsia="Arial" w:hAnsi="Arial"/>
          <w:sz w:val="17"/>
          <w:szCs w:val="17"/>
          <w:color w:val="444A54"/>
        </w:rPr>
      </w:pPr>
    </w:p>
    <w:p>
      <w:pPr>
        <w:ind w:left="600" w:right="660" w:hanging="300"/>
        <w:spacing w:after="0" w:line="261" w:lineRule="auto"/>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Closed the sale of substantially all our manufactured housing loan portfolio, totaling $318.2 million. We discontinued lending in this area following the acquisition of this business through the Reliant acquisition.</w:t>
      </w:r>
    </w:p>
    <w:p>
      <w:pPr>
        <w:spacing w:after="0" w:line="37" w:lineRule="exact"/>
        <w:rPr>
          <w:rFonts w:ascii="Arial" w:cs="Arial" w:eastAsia="Arial" w:hAnsi="Arial"/>
          <w:sz w:val="17"/>
          <w:szCs w:val="17"/>
          <w:color w:val="444A54"/>
        </w:rPr>
      </w:pPr>
    </w:p>
    <w:p>
      <w:pPr>
        <w:ind w:left="600" w:hanging="300"/>
        <w:spacing w:after="0"/>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Completed the sale of FinTrust as part of the rationalization of our wealth management business.</w:t>
      </w:r>
    </w:p>
    <w:p>
      <w:pPr>
        <w:spacing w:after="0" w:line="79" w:lineRule="exact"/>
        <w:rPr>
          <w:rFonts w:ascii="Arial" w:cs="Arial" w:eastAsia="Arial" w:hAnsi="Arial"/>
          <w:sz w:val="17"/>
          <w:szCs w:val="17"/>
          <w:color w:val="444A54"/>
        </w:rPr>
      </w:pPr>
    </w:p>
    <w:p>
      <w:pPr>
        <w:ind w:left="600" w:right="320" w:hanging="300"/>
        <w:spacing w:after="0" w:line="261" w:lineRule="auto"/>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Announced the acquisition of ANB Holdings, Inc., the parent company of American National Bank, which is scheduled to close in the second quarter of 2025.</w:t>
      </w:r>
    </w:p>
    <w:p>
      <w:pPr>
        <w:spacing w:after="0" w:line="37" w:lineRule="exact"/>
        <w:rPr>
          <w:rFonts w:ascii="Arial" w:cs="Arial" w:eastAsia="Arial" w:hAnsi="Arial"/>
          <w:sz w:val="17"/>
          <w:szCs w:val="17"/>
          <w:color w:val="444A54"/>
        </w:rPr>
      </w:pPr>
    </w:p>
    <w:p>
      <w:pPr>
        <w:ind w:left="600" w:hanging="300"/>
        <w:spacing w:after="0"/>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Transferred the listing of our common and preferred stock from the Nasdaq Stock Market LLC to the New York Stock Exchange.</w:t>
      </w:r>
    </w:p>
    <w:p>
      <w:pPr>
        <w:spacing w:after="0" w:line="79" w:lineRule="exact"/>
        <w:rPr>
          <w:rFonts w:ascii="Arial" w:cs="Arial" w:eastAsia="Arial" w:hAnsi="Arial"/>
          <w:sz w:val="17"/>
          <w:szCs w:val="17"/>
          <w:color w:val="444A54"/>
        </w:rPr>
      </w:pPr>
    </w:p>
    <w:p>
      <w:pPr>
        <w:ind w:left="600" w:hanging="300"/>
        <w:spacing w:after="0"/>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Earned 15 Greenwich Excellence and Best Brand Awards for Middle Market and Small Business Banking.</w:t>
      </w:r>
    </w:p>
    <w:p>
      <w:pPr>
        <w:spacing w:after="0" w:line="79" w:lineRule="exact"/>
        <w:rPr>
          <w:rFonts w:ascii="Arial" w:cs="Arial" w:eastAsia="Arial" w:hAnsi="Arial"/>
          <w:sz w:val="17"/>
          <w:szCs w:val="17"/>
          <w:color w:val="444A54"/>
        </w:rPr>
      </w:pPr>
    </w:p>
    <w:p>
      <w:pPr>
        <w:ind w:left="600" w:right="120" w:hanging="300"/>
        <w:spacing w:after="0" w:line="261" w:lineRule="auto"/>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Earned J.D. Power’s #1 in Customer Satisfaction with Consumer Banking in the Southeast designation for the tenth time. Also recognized by J.D. Power as Number 1 in Trust in the Southeast.</w:t>
      </w:r>
    </w:p>
    <w:p>
      <w:pPr>
        <w:spacing w:after="0" w:line="37" w:lineRule="exact"/>
        <w:rPr>
          <w:rFonts w:ascii="Arial" w:cs="Arial" w:eastAsia="Arial" w:hAnsi="Arial"/>
          <w:sz w:val="17"/>
          <w:szCs w:val="17"/>
          <w:color w:val="444A54"/>
        </w:rPr>
      </w:pPr>
    </w:p>
    <w:p>
      <w:pPr>
        <w:ind w:left="600" w:right="420" w:hanging="300"/>
        <w:spacing w:after="0" w:line="261" w:lineRule="auto"/>
        <w:tabs>
          <w:tab w:leader="none" w:pos="600" w:val="left"/>
        </w:tabs>
        <w:numPr>
          <w:ilvl w:val="0"/>
          <w:numId w:val="23"/>
        </w:numPr>
        <w:rPr>
          <w:rFonts w:ascii="Arial" w:cs="Arial" w:eastAsia="Arial" w:hAnsi="Arial"/>
          <w:sz w:val="17"/>
          <w:szCs w:val="17"/>
          <w:color w:val="444A54"/>
        </w:rPr>
      </w:pPr>
      <w:r>
        <w:rPr>
          <w:rFonts w:ascii="Arial" w:cs="Arial" w:eastAsia="Arial" w:hAnsi="Arial"/>
          <w:sz w:val="17"/>
          <w:szCs w:val="17"/>
          <w:color w:val="444A54"/>
        </w:rPr>
        <w:t>Received eighth consecutive award from American Banker as one of the Best Banks to Work – one of only two banks with an asset size greater than $10 billion to make the list eight years in a row.</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i w:val="1"/>
          <w:iCs w:val="1"/>
          <w:color w:val="017AB5"/>
        </w:rPr>
        <w:t>Executive Compensation Process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17AB5"/>
        </w:rPr>
        <w:t>Role of Independent Compensation Consultant</w:t>
      </w:r>
    </w:p>
    <w:p>
      <w:pPr>
        <w:spacing w:after="0" w:line="180" w:lineRule="exact"/>
        <w:rPr>
          <w:sz w:val="20"/>
          <w:szCs w:val="20"/>
          <w:color w:val="auto"/>
        </w:rPr>
      </w:pPr>
    </w:p>
    <w:p>
      <w:pPr>
        <w:ind w:right="700"/>
        <w:spacing w:after="0" w:line="261" w:lineRule="auto"/>
        <w:rPr>
          <w:sz w:val="20"/>
          <w:szCs w:val="20"/>
          <w:color w:val="auto"/>
        </w:rPr>
      </w:pPr>
      <w:r>
        <w:rPr>
          <w:rFonts w:ascii="Arial" w:cs="Arial" w:eastAsia="Arial" w:hAnsi="Arial"/>
          <w:sz w:val="17"/>
          <w:szCs w:val="17"/>
          <w:color w:val="444A54"/>
        </w:rPr>
        <w:t>The Talent and Compensation Committee has engaged the services of Aon to provide independent compensation consulting services. Aon has provided compensation consulting services to the Talent and Compensation Committee since 2015.</w:t>
      </w:r>
    </w:p>
    <w:p>
      <w:pPr>
        <w:spacing w:after="0" w:line="138"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444A54"/>
        </w:rPr>
        <w:t>The Talent and Compensation Committee determines the scope of Aon’s services and has approved a written agreement pursuant to which Aon provides independent advice to the Talent and Compensation Committee. The approved scope of Aon’s work generally includes performing analyses and providing independent advice related to our executive and nonemployee director compensation programs and providing competitive market studies and other services that support the Talent and Compensation Committee’s decisions, such as providing advice in areas such as compensation philosophy, compensation risk assessment, market comparator group, incentive plan design, executive compensation disclosure, emerging best practices and changes in the regulatory environment.</w:t>
      </w:r>
    </w:p>
    <w:p>
      <w:pPr>
        <w:spacing w:after="0" w:line="156"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color w:val="444A54"/>
        </w:rPr>
        <w:t>The Talent and Compensation Committee annually reviews the independence and performance of its compensation consultant and the consulting services provided. In evaluating the independence and performance and considering the retention of its compensation consultant, the Talent and Compensation Committee also assesses the consultant’s independence in accordance with NYSE listing standards, taking into account whether:</w:t>
      </w:r>
    </w:p>
    <w:p>
      <w:pPr>
        <w:spacing w:after="0" w:line="34" w:lineRule="exact"/>
        <w:rPr>
          <w:sz w:val="20"/>
          <w:szCs w:val="20"/>
          <w:color w:val="auto"/>
        </w:rPr>
      </w:pPr>
    </w:p>
    <w:p>
      <w:pPr>
        <w:ind w:left="600" w:hanging="300"/>
        <w:spacing w:after="0"/>
        <w:tabs>
          <w:tab w:leader="none" w:pos="600" w:val="left"/>
        </w:tabs>
        <w:numPr>
          <w:ilvl w:val="0"/>
          <w:numId w:val="24"/>
        </w:numPr>
        <w:rPr>
          <w:rFonts w:ascii="Arial" w:cs="Arial" w:eastAsia="Arial" w:hAnsi="Arial"/>
          <w:sz w:val="17"/>
          <w:szCs w:val="17"/>
          <w:color w:val="444A54"/>
        </w:rPr>
      </w:pPr>
      <w:r>
        <w:rPr>
          <w:rFonts w:ascii="Arial" w:cs="Arial" w:eastAsia="Arial" w:hAnsi="Arial"/>
          <w:sz w:val="17"/>
          <w:szCs w:val="17"/>
          <w:color w:val="444A54"/>
        </w:rPr>
        <w:t>The consultant provides other services to United Community;</w:t>
      </w:r>
    </w:p>
    <w:p>
      <w:pPr>
        <w:spacing w:after="0" w:line="8" w:lineRule="exact"/>
        <w:rPr>
          <w:rFonts w:ascii="Arial" w:cs="Arial" w:eastAsia="Arial" w:hAnsi="Arial"/>
          <w:sz w:val="17"/>
          <w:szCs w:val="17"/>
          <w:color w:val="444A54"/>
        </w:rPr>
      </w:pPr>
    </w:p>
    <w:p>
      <w:pPr>
        <w:ind w:left="600" w:hanging="300"/>
        <w:spacing w:after="0" w:line="230" w:lineRule="auto"/>
        <w:tabs>
          <w:tab w:leader="none" w:pos="600" w:val="left"/>
        </w:tabs>
        <w:numPr>
          <w:ilvl w:val="0"/>
          <w:numId w:val="24"/>
        </w:numPr>
        <w:rPr>
          <w:rFonts w:ascii="Arial" w:cs="Arial" w:eastAsia="Arial" w:hAnsi="Arial"/>
          <w:sz w:val="17"/>
          <w:szCs w:val="17"/>
          <w:color w:val="444A54"/>
        </w:rPr>
      </w:pPr>
      <w:r>
        <w:rPr>
          <w:rFonts w:ascii="Arial" w:cs="Arial" w:eastAsia="Arial" w:hAnsi="Arial"/>
          <w:sz w:val="17"/>
          <w:szCs w:val="17"/>
          <w:color w:val="444A54"/>
        </w:rPr>
        <w:t>The fees paid by United Community to the compensation consultant represent an insignificant portion of the consultant’s total revenues;</w:t>
      </w:r>
    </w:p>
    <w:p>
      <w:pPr>
        <w:ind w:left="600" w:right="640" w:hanging="300"/>
        <w:spacing w:after="0" w:line="230" w:lineRule="auto"/>
        <w:tabs>
          <w:tab w:leader="none" w:pos="600" w:val="left"/>
        </w:tabs>
        <w:numPr>
          <w:ilvl w:val="0"/>
          <w:numId w:val="24"/>
        </w:numPr>
        <w:rPr>
          <w:rFonts w:ascii="Arial" w:cs="Arial" w:eastAsia="Arial" w:hAnsi="Arial"/>
          <w:sz w:val="17"/>
          <w:szCs w:val="17"/>
          <w:color w:val="444A54"/>
        </w:rPr>
      </w:pPr>
      <w:r>
        <w:rPr>
          <w:rFonts w:ascii="Arial" w:cs="Arial" w:eastAsia="Arial" w:hAnsi="Arial"/>
          <w:sz w:val="17"/>
          <w:szCs w:val="17"/>
          <w:color w:val="444A54"/>
        </w:rPr>
        <w:t>The consultant maintains policies and procedures designed to prevent conflicts of interest between the consultant and the companies to which it provides services, as well as between its individual employees and such companies;</w:t>
      </w:r>
    </w:p>
    <w:p>
      <w:pPr>
        <w:ind w:left="600" w:right="600" w:hanging="300"/>
        <w:spacing w:after="0" w:line="230" w:lineRule="auto"/>
        <w:tabs>
          <w:tab w:leader="none" w:pos="600" w:val="left"/>
        </w:tabs>
        <w:numPr>
          <w:ilvl w:val="0"/>
          <w:numId w:val="24"/>
        </w:numPr>
        <w:rPr>
          <w:rFonts w:ascii="Arial" w:cs="Arial" w:eastAsia="Arial" w:hAnsi="Arial"/>
          <w:sz w:val="17"/>
          <w:szCs w:val="17"/>
          <w:color w:val="444A54"/>
        </w:rPr>
      </w:pPr>
      <w:r>
        <w:rPr>
          <w:rFonts w:ascii="Arial" w:cs="Arial" w:eastAsia="Arial" w:hAnsi="Arial"/>
          <w:sz w:val="17"/>
          <w:szCs w:val="17"/>
          <w:color w:val="444A54"/>
        </w:rPr>
        <w:t>United Community or any member of the Talent and Compensation Committee have any other business or personal relationship with the consultant or its employees who provide services to the Talent and Compensation Committee;</w:t>
      </w:r>
    </w:p>
    <w:p>
      <w:pPr>
        <w:ind w:left="600" w:right="1260" w:hanging="300"/>
        <w:spacing w:after="0" w:line="230" w:lineRule="auto"/>
        <w:tabs>
          <w:tab w:leader="none" w:pos="600" w:val="left"/>
        </w:tabs>
        <w:numPr>
          <w:ilvl w:val="0"/>
          <w:numId w:val="24"/>
        </w:numPr>
        <w:rPr>
          <w:rFonts w:ascii="Arial" w:cs="Arial" w:eastAsia="Arial" w:hAnsi="Arial"/>
          <w:sz w:val="17"/>
          <w:szCs w:val="17"/>
          <w:color w:val="444A54"/>
        </w:rPr>
      </w:pPr>
      <w:r>
        <w:rPr>
          <w:rFonts w:ascii="Arial" w:cs="Arial" w:eastAsia="Arial" w:hAnsi="Arial"/>
          <w:sz w:val="17"/>
          <w:szCs w:val="17"/>
          <w:color w:val="444A54"/>
        </w:rPr>
        <w:t>The consultant, or its employees who provide services to the Talent and Compensation Committee, own any United Community securities and</w:t>
      </w:r>
    </w:p>
    <w:p>
      <w:pPr>
        <w:ind w:left="600" w:right="120" w:hanging="300"/>
        <w:spacing w:after="0" w:line="242" w:lineRule="auto"/>
        <w:tabs>
          <w:tab w:leader="none" w:pos="600" w:val="left"/>
        </w:tabs>
        <w:numPr>
          <w:ilvl w:val="0"/>
          <w:numId w:val="24"/>
        </w:numPr>
        <w:rPr>
          <w:rFonts w:ascii="Arial" w:cs="Arial" w:eastAsia="Arial" w:hAnsi="Arial"/>
          <w:sz w:val="17"/>
          <w:szCs w:val="17"/>
          <w:color w:val="444A54"/>
        </w:rPr>
      </w:pPr>
      <w:r>
        <w:rPr>
          <w:rFonts w:ascii="Arial" w:cs="Arial" w:eastAsia="Arial" w:hAnsi="Arial"/>
          <w:sz w:val="17"/>
          <w:szCs w:val="17"/>
          <w:color w:val="444A54"/>
        </w:rPr>
        <w:t>Any executive officer of United Community has any business or personal relationship with the consultant or its employees who provide services to the Talent and Compensation Committee.</w:t>
      </w:r>
    </w:p>
    <w:p>
      <w:pPr>
        <w:spacing w:after="0" w:line="153" w:lineRule="exact"/>
        <w:rPr>
          <w:sz w:val="20"/>
          <w:szCs w:val="20"/>
          <w:color w:val="auto"/>
        </w:rPr>
      </w:pPr>
    </w:p>
    <w:p>
      <w:pPr>
        <w:ind w:right="740"/>
        <w:spacing w:after="0" w:line="293" w:lineRule="auto"/>
        <w:rPr>
          <w:sz w:val="20"/>
          <w:szCs w:val="20"/>
          <w:color w:val="auto"/>
        </w:rPr>
      </w:pPr>
      <w:r>
        <w:rPr>
          <w:rFonts w:ascii="Arial" w:cs="Arial" w:eastAsia="Arial" w:hAnsi="Arial"/>
          <w:sz w:val="16"/>
          <w:szCs w:val="16"/>
          <w:color w:val="444A54"/>
        </w:rPr>
        <w:t>In 2024, Aon’s compensation advisory role included providing market information on executive and director compensation levels and practices, assisting in the design of executive and director compensation programs and providing input on related technical and regulatory matters.</w:t>
      </w:r>
    </w:p>
    <w:p>
      <w:pPr>
        <w:spacing w:after="0" w:line="114" w:lineRule="exact"/>
        <w:rPr>
          <w:sz w:val="20"/>
          <w:szCs w:val="20"/>
          <w:color w:val="auto"/>
        </w:rPr>
      </w:pPr>
    </w:p>
    <w:p>
      <w:pPr>
        <w:ind w:right="740"/>
        <w:spacing w:after="0" w:line="261" w:lineRule="auto"/>
        <w:rPr>
          <w:sz w:val="20"/>
          <w:szCs w:val="20"/>
          <w:color w:val="auto"/>
        </w:rPr>
      </w:pPr>
      <w:r>
        <w:rPr>
          <w:rFonts w:ascii="Arial" w:cs="Arial" w:eastAsia="Arial" w:hAnsi="Arial"/>
          <w:sz w:val="17"/>
          <w:szCs w:val="17"/>
          <w:color w:val="444A54"/>
        </w:rPr>
        <w:t>Based upon these and other factors, the Talent and Compensation Committee concluded that the retention of Aon did not present any conflicts of interest, that Aon was independent and that such retention was appropriate.</w:t>
      </w:r>
    </w:p>
    <w:p>
      <w:pPr>
        <w:spacing w:after="0" w:line="138" w:lineRule="exact"/>
        <w:rPr>
          <w:sz w:val="20"/>
          <w:szCs w:val="20"/>
          <w:color w:val="auto"/>
        </w:rPr>
      </w:pPr>
    </w:p>
    <w:p>
      <w:pPr>
        <w:ind w:right="120"/>
        <w:spacing w:after="0"/>
        <w:rPr>
          <w:sz w:val="20"/>
          <w:szCs w:val="20"/>
          <w:color w:val="auto"/>
        </w:rPr>
      </w:pPr>
      <w:r>
        <w:rPr>
          <w:rFonts w:ascii="Arial" w:cs="Arial" w:eastAsia="Arial" w:hAnsi="Arial"/>
          <w:sz w:val="17"/>
          <w:szCs w:val="17"/>
          <w:color w:val="444A54"/>
        </w:rPr>
        <w:t>When requested by the Talent and Compensation Committee, an Aon representative attends Talent and Compensation Committee meetings and participates in private sessions with the Talent and Compensation Committee. Talent and Compensation Committee members may consult directly with Aon from time to time as desired, and the chair of our Talent and Compensation Committee regularly consults with Aon with respect to Talent and Compensation Committee responsibilities and compensation matters.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17AB5"/>
        </w:rPr>
        <w:t>Role of Management</w:t>
      </w:r>
    </w:p>
    <w:p>
      <w:pPr>
        <w:spacing w:after="0" w:line="180" w:lineRule="exact"/>
        <w:rPr>
          <w:sz w:val="20"/>
          <w:szCs w:val="20"/>
          <w:color w:val="auto"/>
        </w:rPr>
      </w:pPr>
    </w:p>
    <w:p>
      <w:pPr>
        <w:ind w:right="520"/>
        <w:spacing w:after="0" w:line="246" w:lineRule="auto"/>
        <w:rPr>
          <w:sz w:val="20"/>
          <w:szCs w:val="20"/>
          <w:color w:val="auto"/>
        </w:rPr>
      </w:pPr>
      <w:r>
        <w:rPr>
          <w:rFonts w:ascii="Arial" w:cs="Arial" w:eastAsia="Arial" w:hAnsi="Arial"/>
          <w:sz w:val="17"/>
          <w:szCs w:val="17"/>
          <w:color w:val="444A54"/>
        </w:rPr>
        <w:t>Our executive leadership team develops a rolling three-year strategic plan and annual business plan. The three-year strategic plan and annual business plan are reviewed and approved by our Board. Financial performance targets used in our incentive compensation programs typically are derived from those plans.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444A54"/>
        </w:rPr>
        <w:t>In developing recommendations regarding the compensation for each of our executive officers, our CEO considers the following factors:</w:t>
      </w:r>
    </w:p>
    <w:p>
      <w:pPr>
        <w:spacing w:after="0" w:line="80" w:lineRule="exact"/>
        <w:rPr>
          <w:sz w:val="20"/>
          <w:szCs w:val="20"/>
          <w:color w:val="auto"/>
        </w:rPr>
      </w:pPr>
    </w:p>
    <w:p>
      <w:pPr>
        <w:ind w:left="600" w:hanging="300"/>
        <w:spacing w:after="0"/>
        <w:tabs>
          <w:tab w:leader="none" w:pos="600" w:val="left"/>
        </w:tabs>
        <w:numPr>
          <w:ilvl w:val="0"/>
          <w:numId w:val="25"/>
        </w:numPr>
        <w:rPr>
          <w:rFonts w:ascii="Arial" w:cs="Arial" w:eastAsia="Arial" w:hAnsi="Arial"/>
          <w:sz w:val="17"/>
          <w:szCs w:val="17"/>
          <w:color w:val="444A54"/>
        </w:rPr>
      </w:pPr>
      <w:r>
        <w:rPr>
          <w:rFonts w:ascii="Arial" w:cs="Arial" w:eastAsia="Arial" w:hAnsi="Arial"/>
          <w:sz w:val="17"/>
          <w:szCs w:val="17"/>
          <w:color w:val="444A54"/>
        </w:rPr>
        <w:t>Scope of the executive officer’s responsibilities;</w:t>
      </w:r>
    </w:p>
    <w:p>
      <w:pPr>
        <w:spacing w:after="0" w:line="79" w:lineRule="exact"/>
        <w:rPr>
          <w:rFonts w:ascii="Arial" w:cs="Arial" w:eastAsia="Arial" w:hAnsi="Arial"/>
          <w:sz w:val="17"/>
          <w:szCs w:val="17"/>
          <w:color w:val="444A54"/>
        </w:rPr>
      </w:pPr>
    </w:p>
    <w:p>
      <w:pPr>
        <w:ind w:left="600" w:hanging="300"/>
        <w:spacing w:after="0"/>
        <w:tabs>
          <w:tab w:leader="none" w:pos="600" w:val="left"/>
        </w:tabs>
        <w:numPr>
          <w:ilvl w:val="0"/>
          <w:numId w:val="25"/>
        </w:numPr>
        <w:rPr>
          <w:rFonts w:ascii="Arial" w:cs="Arial" w:eastAsia="Arial" w:hAnsi="Arial"/>
          <w:sz w:val="17"/>
          <w:szCs w:val="17"/>
          <w:color w:val="444A54"/>
        </w:rPr>
      </w:pPr>
      <w:r>
        <w:rPr>
          <w:rFonts w:ascii="Arial" w:cs="Arial" w:eastAsia="Arial" w:hAnsi="Arial"/>
          <w:sz w:val="17"/>
          <w:szCs w:val="17"/>
          <w:color w:val="444A54"/>
        </w:rPr>
        <w:t>Value of the executive officer’s unique skills and capabilities to support our long-term performance;</w:t>
      </w:r>
    </w:p>
    <w:p>
      <w:pPr>
        <w:spacing w:after="0" w:line="79" w:lineRule="exact"/>
        <w:rPr>
          <w:rFonts w:ascii="Arial" w:cs="Arial" w:eastAsia="Arial" w:hAnsi="Arial"/>
          <w:sz w:val="17"/>
          <w:szCs w:val="17"/>
          <w:color w:val="444A54"/>
        </w:rPr>
      </w:pPr>
    </w:p>
    <w:p>
      <w:pPr>
        <w:ind w:left="600" w:hanging="300"/>
        <w:spacing w:after="0"/>
        <w:tabs>
          <w:tab w:leader="none" w:pos="600" w:val="left"/>
        </w:tabs>
        <w:numPr>
          <w:ilvl w:val="0"/>
          <w:numId w:val="25"/>
        </w:numPr>
        <w:rPr>
          <w:rFonts w:ascii="Arial" w:cs="Arial" w:eastAsia="Arial" w:hAnsi="Arial"/>
          <w:sz w:val="17"/>
          <w:szCs w:val="17"/>
          <w:color w:val="444A54"/>
        </w:rPr>
      </w:pPr>
      <w:r>
        <w:rPr>
          <w:rFonts w:ascii="Arial" w:cs="Arial" w:eastAsia="Arial" w:hAnsi="Arial"/>
          <w:sz w:val="17"/>
          <w:szCs w:val="17"/>
          <w:color w:val="444A54"/>
        </w:rPr>
        <w:t>Contributions as a member to the executive leadership team;</w:t>
      </w:r>
    </w:p>
    <w:p>
      <w:pPr>
        <w:spacing w:after="0" w:line="79" w:lineRule="exact"/>
        <w:rPr>
          <w:rFonts w:ascii="Arial" w:cs="Arial" w:eastAsia="Arial" w:hAnsi="Arial"/>
          <w:sz w:val="17"/>
          <w:szCs w:val="17"/>
          <w:color w:val="444A54"/>
        </w:rPr>
      </w:pPr>
    </w:p>
    <w:p>
      <w:pPr>
        <w:ind w:left="600" w:hanging="300"/>
        <w:spacing w:after="0"/>
        <w:tabs>
          <w:tab w:leader="none" w:pos="600" w:val="left"/>
        </w:tabs>
        <w:numPr>
          <w:ilvl w:val="0"/>
          <w:numId w:val="25"/>
        </w:numPr>
        <w:rPr>
          <w:rFonts w:ascii="Arial" w:cs="Arial" w:eastAsia="Arial" w:hAnsi="Arial"/>
          <w:sz w:val="17"/>
          <w:szCs w:val="17"/>
          <w:color w:val="444A54"/>
        </w:rPr>
      </w:pPr>
      <w:r>
        <w:rPr>
          <w:rFonts w:ascii="Arial" w:cs="Arial" w:eastAsia="Arial" w:hAnsi="Arial"/>
          <w:sz w:val="17"/>
          <w:szCs w:val="17"/>
          <w:color w:val="444A54"/>
        </w:rPr>
        <w:t>Individual performance as compared to individual objectives;</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41" w:name="page42"/>
    <w:bookmarkEnd w:id="41"/>
    <w:p>
      <w:pPr>
        <w:ind w:left="660" w:right="980" w:hanging="310"/>
        <w:spacing w:after="0" w:line="261" w:lineRule="auto"/>
        <w:tabs>
          <w:tab w:leader="none" w:pos="660" w:val="left"/>
        </w:tabs>
        <w:numPr>
          <w:ilvl w:val="0"/>
          <w:numId w:val="26"/>
        </w:numPr>
        <w:rPr>
          <w:rFonts w:ascii="Arial" w:cs="Arial" w:eastAsia="Arial" w:hAnsi="Arial"/>
          <w:sz w:val="17"/>
          <w:szCs w:val="17"/>
          <w:color w:val="444A54"/>
        </w:rPr>
      </w:pPr>
      <w:r>
        <w:rPr>
          <w:rFonts w:ascii="Arial" w:cs="Arial" w:eastAsia="Arial" w:hAnsi="Arial"/>
          <w:sz w:val="17"/>
          <w:szCs w:val="17"/>
          <w:color w:val="444A54"/>
        </w:rPr>
        <w:t>Company performance as compared to the Company’s three-year strategic plan and annual business plan; Company performance compared to the performance of peer group companies and</w:t>
      </w:r>
    </w:p>
    <w:p>
      <w:pPr>
        <w:spacing w:after="0" w:line="37" w:lineRule="exact"/>
        <w:rPr>
          <w:rFonts w:ascii="Arial" w:cs="Arial" w:eastAsia="Arial" w:hAnsi="Arial"/>
          <w:sz w:val="17"/>
          <w:szCs w:val="17"/>
          <w:color w:val="444A54"/>
        </w:rPr>
      </w:pPr>
    </w:p>
    <w:p>
      <w:pPr>
        <w:ind w:left="660" w:hanging="310"/>
        <w:spacing w:after="0"/>
        <w:tabs>
          <w:tab w:leader="none" w:pos="660" w:val="left"/>
        </w:tabs>
        <w:numPr>
          <w:ilvl w:val="0"/>
          <w:numId w:val="26"/>
        </w:numPr>
        <w:rPr>
          <w:rFonts w:ascii="Arial" w:cs="Arial" w:eastAsia="Arial" w:hAnsi="Arial"/>
          <w:sz w:val="17"/>
          <w:szCs w:val="17"/>
          <w:color w:val="444A54"/>
        </w:rPr>
      </w:pPr>
      <w:r>
        <w:rPr>
          <w:rFonts w:ascii="Arial" w:cs="Arial" w:eastAsia="Arial" w:hAnsi="Arial"/>
          <w:sz w:val="17"/>
          <w:szCs w:val="17"/>
          <w:color w:val="444A54"/>
        </w:rPr>
        <w:t>Peer group compensation data.</w:t>
      </w:r>
    </w:p>
    <w:p>
      <w:pPr>
        <w:spacing w:after="0" w:line="180" w:lineRule="exact"/>
        <w:rPr>
          <w:sz w:val="20"/>
          <w:szCs w:val="20"/>
          <w:color w:val="auto"/>
        </w:rPr>
      </w:pPr>
    </w:p>
    <w:p>
      <w:pPr>
        <w:ind w:right="640"/>
        <w:spacing w:after="0" w:line="246" w:lineRule="auto"/>
        <w:rPr>
          <w:sz w:val="20"/>
          <w:szCs w:val="20"/>
          <w:color w:val="auto"/>
        </w:rPr>
      </w:pPr>
      <w:r>
        <w:rPr>
          <w:rFonts w:ascii="Arial" w:cs="Arial" w:eastAsia="Arial" w:hAnsi="Arial"/>
          <w:sz w:val="17"/>
          <w:szCs w:val="17"/>
          <w:color w:val="444A54"/>
        </w:rPr>
        <w:t>The CEO makes recommendations to the Talent and Compensation Committee regarding the compensation for each of our executive officers. Our Talent and Compensation Committee reviews and considers the recommendations of the CEO and his evaluation of the performance of our executive officers.</w:t>
      </w:r>
    </w:p>
    <w:p>
      <w:pPr>
        <w:spacing w:after="0" w:line="150"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444A54"/>
        </w:rPr>
        <w:t>Our Talent and Compensation Committee determines the compensation of our CEO after assessing the performance of the CEO and the performance of the Company as compared to the Board-approved plans and peer group performance. Our Lead Director, who consults regularly with the CEO and other directors, provides input to the Talent and Compensation Committee with respect to the CEO’s performance. The Committee also consults with Aon as to the appropriateness of our CEO’s compensation and each component of compensation considering market practices, sound governance practices and trends in compensation practices in the banking industry.</w:t>
      </w:r>
    </w:p>
    <w:p>
      <w:pPr>
        <w:spacing w:after="0" w:line="157" w:lineRule="exact"/>
        <w:rPr>
          <w:sz w:val="20"/>
          <w:szCs w:val="20"/>
          <w:color w:val="auto"/>
        </w:rPr>
      </w:pPr>
    </w:p>
    <w:p>
      <w:pPr>
        <w:ind w:right="360"/>
        <w:spacing w:after="0" w:line="261" w:lineRule="auto"/>
        <w:rPr>
          <w:sz w:val="20"/>
          <w:szCs w:val="20"/>
          <w:color w:val="auto"/>
        </w:rPr>
      </w:pPr>
      <w:r>
        <w:rPr>
          <w:rFonts w:ascii="Arial" w:cs="Arial" w:eastAsia="Arial" w:hAnsi="Arial"/>
          <w:sz w:val="17"/>
          <w:szCs w:val="17"/>
          <w:color w:val="444A54"/>
        </w:rPr>
        <w:t>Although the Talent and Compensation Committee values and solicits management’s input, it retains and exercises sole authority to make decisions regarding executive officer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17AB5"/>
        </w:rPr>
        <w:t>2024 Executive Compensation Process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444A54"/>
        </w:rPr>
        <w:t>In establishing the total compensation of each of our executive officers, the Talent and Compensation Committee considers the following factors:</w:t>
      </w:r>
    </w:p>
    <w:p>
      <w:pPr>
        <w:spacing w:after="0" w:line="80" w:lineRule="exact"/>
        <w:rPr>
          <w:sz w:val="20"/>
          <w:szCs w:val="20"/>
          <w:color w:val="auto"/>
        </w:rPr>
      </w:pPr>
    </w:p>
    <w:p>
      <w:pPr>
        <w:ind w:left="660" w:hanging="310"/>
        <w:spacing w:after="0"/>
        <w:tabs>
          <w:tab w:leader="none" w:pos="660" w:val="left"/>
        </w:tabs>
        <w:numPr>
          <w:ilvl w:val="0"/>
          <w:numId w:val="27"/>
        </w:numPr>
        <w:rPr>
          <w:rFonts w:ascii="Arial" w:cs="Arial" w:eastAsia="Arial" w:hAnsi="Arial"/>
          <w:sz w:val="17"/>
          <w:szCs w:val="17"/>
          <w:color w:val="444A54"/>
        </w:rPr>
      </w:pPr>
      <w:r>
        <w:rPr>
          <w:rFonts w:ascii="Arial" w:cs="Arial" w:eastAsia="Arial" w:hAnsi="Arial"/>
          <w:sz w:val="17"/>
          <w:szCs w:val="17"/>
          <w:color w:val="444A54"/>
        </w:rPr>
        <w:t>Scope of the executive officer’s responsibilities;</w:t>
      </w:r>
    </w:p>
    <w:p>
      <w:pPr>
        <w:spacing w:after="0" w:line="79" w:lineRule="exact"/>
        <w:rPr>
          <w:rFonts w:ascii="Arial" w:cs="Arial" w:eastAsia="Arial" w:hAnsi="Arial"/>
          <w:sz w:val="17"/>
          <w:szCs w:val="17"/>
          <w:color w:val="444A54"/>
        </w:rPr>
      </w:pPr>
    </w:p>
    <w:p>
      <w:pPr>
        <w:ind w:left="660" w:hanging="310"/>
        <w:spacing w:after="0"/>
        <w:tabs>
          <w:tab w:leader="none" w:pos="660" w:val="left"/>
        </w:tabs>
        <w:numPr>
          <w:ilvl w:val="0"/>
          <w:numId w:val="27"/>
        </w:numPr>
        <w:rPr>
          <w:rFonts w:ascii="Arial" w:cs="Arial" w:eastAsia="Arial" w:hAnsi="Arial"/>
          <w:sz w:val="17"/>
          <w:szCs w:val="17"/>
          <w:color w:val="444A54"/>
        </w:rPr>
      </w:pPr>
      <w:r>
        <w:rPr>
          <w:rFonts w:ascii="Arial" w:cs="Arial" w:eastAsia="Arial" w:hAnsi="Arial"/>
          <w:sz w:val="17"/>
          <w:szCs w:val="17"/>
          <w:color w:val="444A54"/>
        </w:rPr>
        <w:t>Value of the executive officer’s unique skills and capabilities to support our long-term performance;</w:t>
      </w:r>
    </w:p>
    <w:p>
      <w:pPr>
        <w:spacing w:after="0" w:line="79" w:lineRule="exact"/>
        <w:rPr>
          <w:rFonts w:ascii="Arial" w:cs="Arial" w:eastAsia="Arial" w:hAnsi="Arial"/>
          <w:sz w:val="17"/>
          <w:szCs w:val="17"/>
          <w:color w:val="444A54"/>
        </w:rPr>
      </w:pPr>
    </w:p>
    <w:p>
      <w:pPr>
        <w:ind w:left="660" w:hanging="310"/>
        <w:spacing w:after="0"/>
        <w:tabs>
          <w:tab w:leader="none" w:pos="660" w:val="left"/>
        </w:tabs>
        <w:numPr>
          <w:ilvl w:val="0"/>
          <w:numId w:val="27"/>
        </w:numPr>
        <w:rPr>
          <w:rFonts w:ascii="Arial" w:cs="Arial" w:eastAsia="Arial" w:hAnsi="Arial"/>
          <w:sz w:val="17"/>
          <w:szCs w:val="17"/>
          <w:color w:val="444A54"/>
        </w:rPr>
      </w:pPr>
      <w:r>
        <w:rPr>
          <w:rFonts w:ascii="Arial" w:cs="Arial" w:eastAsia="Arial" w:hAnsi="Arial"/>
          <w:sz w:val="17"/>
          <w:szCs w:val="17"/>
          <w:color w:val="444A54"/>
        </w:rPr>
        <w:t>Contributions as a member to the executive leadership team;</w:t>
      </w:r>
    </w:p>
    <w:p>
      <w:pPr>
        <w:spacing w:after="0" w:line="79" w:lineRule="exact"/>
        <w:rPr>
          <w:rFonts w:ascii="Arial" w:cs="Arial" w:eastAsia="Arial" w:hAnsi="Arial"/>
          <w:sz w:val="17"/>
          <w:szCs w:val="17"/>
          <w:color w:val="444A54"/>
        </w:rPr>
      </w:pPr>
    </w:p>
    <w:p>
      <w:pPr>
        <w:ind w:left="660" w:hanging="310"/>
        <w:spacing w:after="0"/>
        <w:tabs>
          <w:tab w:leader="none" w:pos="660" w:val="left"/>
        </w:tabs>
        <w:numPr>
          <w:ilvl w:val="0"/>
          <w:numId w:val="27"/>
        </w:numPr>
        <w:rPr>
          <w:rFonts w:ascii="Arial" w:cs="Arial" w:eastAsia="Arial" w:hAnsi="Arial"/>
          <w:sz w:val="17"/>
          <w:szCs w:val="17"/>
          <w:color w:val="444A54"/>
        </w:rPr>
      </w:pPr>
      <w:r>
        <w:rPr>
          <w:rFonts w:ascii="Arial" w:cs="Arial" w:eastAsia="Arial" w:hAnsi="Arial"/>
          <w:sz w:val="17"/>
          <w:szCs w:val="17"/>
          <w:color w:val="444A54"/>
        </w:rPr>
        <w:t>Individual performance as compared to individual objectives;</w:t>
      </w:r>
    </w:p>
    <w:p>
      <w:pPr>
        <w:spacing w:after="0" w:line="79" w:lineRule="exact"/>
        <w:rPr>
          <w:rFonts w:ascii="Arial" w:cs="Arial" w:eastAsia="Arial" w:hAnsi="Arial"/>
          <w:sz w:val="17"/>
          <w:szCs w:val="17"/>
          <w:color w:val="444A54"/>
        </w:rPr>
      </w:pPr>
    </w:p>
    <w:p>
      <w:pPr>
        <w:ind w:left="660" w:hanging="310"/>
        <w:spacing w:after="0"/>
        <w:tabs>
          <w:tab w:leader="none" w:pos="660" w:val="left"/>
        </w:tabs>
        <w:numPr>
          <w:ilvl w:val="0"/>
          <w:numId w:val="27"/>
        </w:numPr>
        <w:rPr>
          <w:rFonts w:ascii="Arial" w:cs="Arial" w:eastAsia="Arial" w:hAnsi="Arial"/>
          <w:sz w:val="17"/>
          <w:szCs w:val="17"/>
          <w:color w:val="444A54"/>
        </w:rPr>
      </w:pPr>
      <w:r>
        <w:rPr>
          <w:rFonts w:ascii="Arial" w:cs="Arial" w:eastAsia="Arial" w:hAnsi="Arial"/>
          <w:sz w:val="17"/>
          <w:szCs w:val="17"/>
          <w:color w:val="444A54"/>
        </w:rPr>
        <w:t>Company performance as compared to the Company’s three-year strategic plan and annual business plan;</w:t>
      </w:r>
    </w:p>
    <w:p>
      <w:pPr>
        <w:spacing w:after="0" w:line="79" w:lineRule="exact"/>
        <w:rPr>
          <w:rFonts w:ascii="Arial" w:cs="Arial" w:eastAsia="Arial" w:hAnsi="Arial"/>
          <w:sz w:val="17"/>
          <w:szCs w:val="17"/>
          <w:color w:val="444A54"/>
        </w:rPr>
      </w:pPr>
    </w:p>
    <w:p>
      <w:pPr>
        <w:ind w:left="660" w:hanging="310"/>
        <w:spacing w:after="0"/>
        <w:tabs>
          <w:tab w:leader="none" w:pos="660" w:val="left"/>
        </w:tabs>
        <w:numPr>
          <w:ilvl w:val="0"/>
          <w:numId w:val="27"/>
        </w:numPr>
        <w:rPr>
          <w:rFonts w:ascii="Arial" w:cs="Arial" w:eastAsia="Arial" w:hAnsi="Arial"/>
          <w:sz w:val="17"/>
          <w:szCs w:val="17"/>
          <w:color w:val="444A54"/>
        </w:rPr>
      </w:pPr>
      <w:r>
        <w:rPr>
          <w:rFonts w:ascii="Arial" w:cs="Arial" w:eastAsia="Arial" w:hAnsi="Arial"/>
          <w:sz w:val="17"/>
          <w:szCs w:val="17"/>
          <w:color w:val="444A54"/>
        </w:rPr>
        <w:t>Company performance compared to the performance of peer group companies and</w:t>
      </w:r>
    </w:p>
    <w:p>
      <w:pPr>
        <w:spacing w:after="0" w:line="79" w:lineRule="exact"/>
        <w:rPr>
          <w:rFonts w:ascii="Arial" w:cs="Arial" w:eastAsia="Arial" w:hAnsi="Arial"/>
          <w:sz w:val="17"/>
          <w:szCs w:val="17"/>
          <w:color w:val="444A54"/>
        </w:rPr>
      </w:pPr>
    </w:p>
    <w:p>
      <w:pPr>
        <w:ind w:left="660" w:hanging="310"/>
        <w:spacing w:after="0"/>
        <w:tabs>
          <w:tab w:leader="none" w:pos="660" w:val="left"/>
        </w:tabs>
        <w:numPr>
          <w:ilvl w:val="0"/>
          <w:numId w:val="27"/>
        </w:numPr>
        <w:rPr>
          <w:rFonts w:ascii="Arial" w:cs="Arial" w:eastAsia="Arial" w:hAnsi="Arial"/>
          <w:sz w:val="17"/>
          <w:szCs w:val="17"/>
          <w:color w:val="444A54"/>
        </w:rPr>
      </w:pPr>
      <w:r>
        <w:rPr>
          <w:rFonts w:ascii="Arial" w:cs="Arial" w:eastAsia="Arial" w:hAnsi="Arial"/>
          <w:sz w:val="17"/>
          <w:szCs w:val="17"/>
          <w:color w:val="444A54"/>
        </w:rPr>
        <w:t>Peer group compensation data.</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2" w:name="page43"/>
    <w:bookmarkEnd w:id="42"/>
    <w:p>
      <w:pPr>
        <w:ind w:right="420"/>
        <w:spacing w:after="0" w:line="238" w:lineRule="auto"/>
        <w:rPr>
          <w:sz w:val="20"/>
          <w:szCs w:val="20"/>
          <w:color w:val="auto"/>
        </w:rPr>
      </w:pPr>
      <w:r>
        <w:rPr>
          <w:rFonts w:ascii="Arial" w:cs="Arial" w:eastAsia="Arial" w:hAnsi="Arial"/>
          <w:sz w:val="17"/>
          <w:szCs w:val="17"/>
          <w:color w:val="444A54"/>
        </w:rPr>
        <w:t>During the third quarter of 2023, with the assistance of Aon, the Talent and Compensation Committee, selected a benchmark group of publicly-traded financial institutions and reviewed benchmarking data for the purposes of setting 2024 compensation for our executive officers. This peer group was based on institutions with comparable assets, recent asset growth, commercial loan concentrations, number of branches and location of operations. The 2023 benchmark group of publicly-traded financial institutions selected to guide 2024 compensation decisions (the “2024 Compensation Peer Group”)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4679315</wp:posOffset>
            </wp:positionH>
            <wp:positionV relativeFrom="paragraph">
              <wp:posOffset>110490</wp:posOffset>
            </wp:positionV>
            <wp:extent cx="8255" cy="2381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23812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110490</wp:posOffset>
            </wp:positionV>
            <wp:extent cx="8255" cy="2381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23812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110490</wp:posOffset>
            </wp:positionV>
            <wp:extent cx="8255" cy="2381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23812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110490</wp:posOffset>
            </wp:positionV>
            <wp:extent cx="8255" cy="2381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23812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80" w:type="dxa"/>
            <w:vAlign w:val="bottom"/>
            <w:tcBorders>
              <w:right w:val="single" w:sz="8" w:color="007DB6"/>
            </w:tcBorders>
            <w:vMerge w:val="restart"/>
            <w:shd w:val="clear" w:color="auto" w:fill="007DB6"/>
          </w:tcPr>
          <w:p>
            <w:pPr>
              <w:ind w:left="80"/>
              <w:spacing w:after="0"/>
              <w:rPr>
                <w:sz w:val="20"/>
                <w:szCs w:val="20"/>
                <w:color w:val="auto"/>
              </w:rPr>
            </w:pPr>
            <w:r>
              <w:rPr>
                <w:rFonts w:ascii="Trebuchet MS" w:cs="Trebuchet MS" w:eastAsia="Trebuchet MS" w:hAnsi="Trebuchet MS"/>
                <w:sz w:val="13"/>
                <w:szCs w:val="13"/>
                <w:color w:val="FFFFFF"/>
              </w:rPr>
              <w:t>Company Name</w:t>
            </w:r>
          </w:p>
        </w:tc>
        <w:tc>
          <w:tcPr>
            <w:tcW w:w="1400" w:type="dxa"/>
            <w:vAlign w:val="bottom"/>
            <w:tcBorders>
              <w:right w:val="single" w:sz="8" w:color="007DB6"/>
            </w:tcBorders>
            <w:vMerge w:val="restart"/>
            <w:shd w:val="clear" w:color="auto" w:fill="007DB6"/>
          </w:tcPr>
          <w:p>
            <w:pPr>
              <w:jc w:val="center"/>
              <w:spacing w:after="0"/>
              <w:rPr>
                <w:sz w:val="20"/>
                <w:szCs w:val="20"/>
                <w:color w:val="auto"/>
              </w:rPr>
            </w:pPr>
            <w:r>
              <w:rPr>
                <w:rFonts w:ascii="Trebuchet MS" w:cs="Trebuchet MS" w:eastAsia="Trebuchet MS" w:hAnsi="Trebuchet MS"/>
                <w:sz w:val="13"/>
                <w:szCs w:val="13"/>
                <w:color w:val="FFFFFF"/>
                <w:w w:val="93"/>
              </w:rPr>
              <w:t>Ticker</w:t>
            </w:r>
          </w:p>
        </w:tc>
        <w:tc>
          <w:tcPr>
            <w:tcW w:w="1400" w:type="dxa"/>
            <w:vAlign w:val="bottom"/>
            <w:tcBorders>
              <w:right w:val="single" w:sz="8" w:color="007DB6"/>
            </w:tcBorders>
            <w:vMerge w:val="restart"/>
            <w:shd w:val="clear" w:color="auto" w:fill="007DB6"/>
          </w:tcPr>
          <w:p>
            <w:pPr>
              <w:jc w:val="center"/>
              <w:spacing w:after="0"/>
              <w:rPr>
                <w:sz w:val="20"/>
                <w:szCs w:val="20"/>
                <w:color w:val="auto"/>
              </w:rPr>
            </w:pPr>
            <w:r>
              <w:rPr>
                <w:rFonts w:ascii="Trebuchet MS" w:cs="Trebuchet MS" w:eastAsia="Trebuchet MS" w:hAnsi="Trebuchet MS"/>
                <w:sz w:val="13"/>
                <w:szCs w:val="13"/>
                <w:color w:val="FFFFFF"/>
                <w:w w:val="95"/>
              </w:rPr>
              <w:t>City</w:t>
            </w:r>
          </w:p>
        </w:tc>
        <w:tc>
          <w:tcPr>
            <w:tcW w:w="1400" w:type="dxa"/>
            <w:vAlign w:val="bottom"/>
            <w:tcBorders>
              <w:right w:val="single" w:sz="8" w:color="007DB6"/>
            </w:tcBorders>
            <w:vMerge w:val="restart"/>
            <w:shd w:val="clear" w:color="auto" w:fill="007DB6"/>
          </w:tcPr>
          <w:p>
            <w:pPr>
              <w:jc w:val="center"/>
              <w:spacing w:after="0"/>
              <w:rPr>
                <w:sz w:val="20"/>
                <w:szCs w:val="20"/>
                <w:color w:val="auto"/>
              </w:rPr>
            </w:pPr>
            <w:r>
              <w:rPr>
                <w:rFonts w:ascii="Trebuchet MS" w:cs="Trebuchet MS" w:eastAsia="Trebuchet MS" w:hAnsi="Trebuchet MS"/>
                <w:sz w:val="13"/>
                <w:szCs w:val="13"/>
                <w:color w:val="FFFFFF"/>
                <w:w w:val="98"/>
              </w:rPr>
              <w:t>State</w:t>
            </w:r>
          </w:p>
        </w:tc>
        <w:tc>
          <w:tcPr>
            <w:tcW w:w="1400" w:type="dxa"/>
            <w:vAlign w:val="bottom"/>
            <w:shd w:val="clear" w:color="auto" w:fill="007DB6"/>
          </w:tcPr>
          <w:p>
            <w:pPr>
              <w:jc w:val="right"/>
              <w:ind w:right="137"/>
              <w:spacing w:after="0"/>
              <w:rPr>
                <w:sz w:val="20"/>
                <w:szCs w:val="20"/>
                <w:color w:val="auto"/>
              </w:rPr>
            </w:pPr>
            <w:r>
              <w:rPr>
                <w:rFonts w:ascii="Trebuchet MS" w:cs="Trebuchet MS" w:eastAsia="Trebuchet MS" w:hAnsi="Trebuchet MS"/>
                <w:sz w:val="13"/>
                <w:szCs w:val="13"/>
                <w:color w:val="FFFFFF"/>
              </w:rPr>
              <w:t>Total Assets 2022Y</w:t>
            </w:r>
          </w:p>
        </w:tc>
        <w:tc>
          <w:tcPr>
            <w:tcW w:w="0" w:type="dxa"/>
            <w:vAlign w:val="bottom"/>
          </w:tcPr>
          <w:p>
            <w:pPr>
              <w:spacing w:after="0"/>
              <w:rPr>
                <w:sz w:val="1"/>
                <w:szCs w:val="1"/>
                <w:color w:val="auto"/>
              </w:rPr>
            </w:pPr>
          </w:p>
        </w:tc>
      </w:tr>
      <w:tr>
        <w:trPr>
          <w:trHeight w:val="74"/>
        </w:trPr>
        <w:tc>
          <w:tcPr>
            <w:tcW w:w="3180" w:type="dxa"/>
            <w:vAlign w:val="bottom"/>
            <w:tcBorders>
              <w:right w:val="single" w:sz="8" w:color="007DB6"/>
            </w:tcBorders>
            <w:vMerge w:val="continue"/>
            <w:shd w:val="clear" w:color="auto" w:fill="007DB6"/>
          </w:tcPr>
          <w:p>
            <w:pPr>
              <w:spacing w:after="0"/>
              <w:rPr>
                <w:sz w:val="6"/>
                <w:szCs w:val="6"/>
                <w:color w:val="auto"/>
              </w:rPr>
            </w:pPr>
          </w:p>
        </w:tc>
        <w:tc>
          <w:tcPr>
            <w:tcW w:w="1400" w:type="dxa"/>
            <w:vAlign w:val="bottom"/>
            <w:tcBorders>
              <w:right w:val="single" w:sz="8" w:color="007DB6"/>
            </w:tcBorders>
            <w:vMerge w:val="continue"/>
            <w:shd w:val="clear" w:color="auto" w:fill="007DB6"/>
          </w:tcPr>
          <w:p>
            <w:pPr>
              <w:spacing w:after="0"/>
              <w:rPr>
                <w:sz w:val="6"/>
                <w:szCs w:val="6"/>
                <w:color w:val="auto"/>
              </w:rPr>
            </w:pPr>
          </w:p>
        </w:tc>
        <w:tc>
          <w:tcPr>
            <w:tcW w:w="1400" w:type="dxa"/>
            <w:vAlign w:val="bottom"/>
            <w:tcBorders>
              <w:right w:val="single" w:sz="8" w:color="007DB6"/>
            </w:tcBorders>
            <w:vMerge w:val="continue"/>
            <w:shd w:val="clear" w:color="auto" w:fill="007DB6"/>
          </w:tcPr>
          <w:p>
            <w:pPr>
              <w:spacing w:after="0"/>
              <w:rPr>
                <w:sz w:val="6"/>
                <w:szCs w:val="6"/>
                <w:color w:val="auto"/>
              </w:rPr>
            </w:pPr>
          </w:p>
        </w:tc>
        <w:tc>
          <w:tcPr>
            <w:tcW w:w="1400" w:type="dxa"/>
            <w:vAlign w:val="bottom"/>
            <w:tcBorders>
              <w:right w:val="single" w:sz="8" w:color="007DB6"/>
            </w:tcBorders>
            <w:vMerge w:val="continue"/>
            <w:shd w:val="clear" w:color="auto" w:fill="007DB6"/>
          </w:tcPr>
          <w:p>
            <w:pPr>
              <w:spacing w:after="0"/>
              <w:rPr>
                <w:sz w:val="6"/>
                <w:szCs w:val="6"/>
                <w:color w:val="auto"/>
              </w:rPr>
            </w:pPr>
          </w:p>
        </w:tc>
        <w:tc>
          <w:tcPr>
            <w:tcW w:w="1400" w:type="dxa"/>
            <w:vAlign w:val="bottom"/>
            <w:vMerge w:val="restart"/>
            <w:shd w:val="clear" w:color="auto" w:fill="007DB6"/>
          </w:tcPr>
          <w:p>
            <w:pPr>
              <w:jc w:val="right"/>
              <w:ind w:right="457"/>
              <w:spacing w:after="0" w:line="150" w:lineRule="exact"/>
              <w:rPr>
                <w:sz w:val="20"/>
                <w:szCs w:val="20"/>
                <w:color w:val="auto"/>
              </w:rPr>
            </w:pPr>
            <w:r>
              <w:rPr>
                <w:rFonts w:ascii="Trebuchet MS" w:cs="Trebuchet MS" w:eastAsia="Trebuchet MS" w:hAnsi="Trebuchet MS"/>
                <w:sz w:val="13"/>
                <w:szCs w:val="13"/>
                <w:color w:val="FFFFFF"/>
              </w:rPr>
              <w:t>($000)</w:t>
            </w:r>
          </w:p>
        </w:tc>
        <w:tc>
          <w:tcPr>
            <w:tcW w:w="0" w:type="dxa"/>
            <w:vAlign w:val="bottom"/>
          </w:tcPr>
          <w:p>
            <w:pPr>
              <w:spacing w:after="0"/>
              <w:rPr>
                <w:sz w:val="1"/>
                <w:szCs w:val="1"/>
                <w:color w:val="auto"/>
              </w:rPr>
            </w:pPr>
          </w:p>
        </w:tc>
      </w:tr>
      <w:tr>
        <w:trPr>
          <w:trHeight w:val="98"/>
        </w:trPr>
        <w:tc>
          <w:tcPr>
            <w:tcW w:w="3180" w:type="dxa"/>
            <w:vAlign w:val="bottom"/>
            <w:tcBorders>
              <w:bottom w:val="single" w:sz="8" w:color="007DB6"/>
              <w:right w:val="single" w:sz="8" w:color="007DB6"/>
            </w:tcBorders>
            <w:shd w:val="clear" w:color="auto" w:fill="007DB6"/>
          </w:tcPr>
          <w:p>
            <w:pPr>
              <w:spacing w:after="0"/>
              <w:rPr>
                <w:sz w:val="8"/>
                <w:szCs w:val="8"/>
                <w:color w:val="auto"/>
              </w:rPr>
            </w:pPr>
          </w:p>
        </w:tc>
        <w:tc>
          <w:tcPr>
            <w:tcW w:w="1400" w:type="dxa"/>
            <w:vAlign w:val="bottom"/>
            <w:tcBorders>
              <w:bottom w:val="single" w:sz="8" w:color="007DB6"/>
              <w:right w:val="single" w:sz="8" w:color="007DB6"/>
            </w:tcBorders>
            <w:shd w:val="clear" w:color="auto" w:fill="007DB6"/>
          </w:tcPr>
          <w:p>
            <w:pPr>
              <w:spacing w:after="0"/>
              <w:rPr>
                <w:sz w:val="8"/>
                <w:szCs w:val="8"/>
                <w:color w:val="auto"/>
              </w:rPr>
            </w:pPr>
          </w:p>
        </w:tc>
        <w:tc>
          <w:tcPr>
            <w:tcW w:w="1400" w:type="dxa"/>
            <w:vAlign w:val="bottom"/>
            <w:tcBorders>
              <w:bottom w:val="single" w:sz="8" w:color="007DB6"/>
              <w:right w:val="single" w:sz="8" w:color="007DB6"/>
            </w:tcBorders>
            <w:shd w:val="clear" w:color="auto" w:fill="007DB6"/>
          </w:tcPr>
          <w:p>
            <w:pPr>
              <w:spacing w:after="0"/>
              <w:rPr>
                <w:sz w:val="8"/>
                <w:szCs w:val="8"/>
                <w:color w:val="auto"/>
              </w:rPr>
            </w:pPr>
          </w:p>
        </w:tc>
        <w:tc>
          <w:tcPr>
            <w:tcW w:w="1400" w:type="dxa"/>
            <w:vAlign w:val="bottom"/>
            <w:tcBorders>
              <w:bottom w:val="single" w:sz="8" w:color="007DB6"/>
              <w:right w:val="single" w:sz="8" w:color="007DB6"/>
            </w:tcBorders>
            <w:shd w:val="clear" w:color="auto" w:fill="007DB6"/>
          </w:tcPr>
          <w:p>
            <w:pPr>
              <w:spacing w:after="0"/>
              <w:rPr>
                <w:sz w:val="8"/>
                <w:szCs w:val="8"/>
                <w:color w:val="auto"/>
              </w:rPr>
            </w:pPr>
          </w:p>
        </w:tc>
        <w:tc>
          <w:tcPr>
            <w:tcW w:w="1400" w:type="dxa"/>
            <w:vAlign w:val="bottom"/>
            <w:tcBorders>
              <w:bottom w:val="single" w:sz="8" w:color="007DB6"/>
            </w:tcBorders>
            <w:vMerge w:val="continue"/>
            <w:shd w:val="clear" w:color="auto" w:fill="007DB6"/>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Ameris Bancorp</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9"/>
              </w:rPr>
              <w:t>ABCB</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8"/>
              </w:rPr>
              <w:t>Atlanta</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6"/>
              </w:rPr>
              <w:t>GA</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$ 25,053,286</w:t>
            </w:r>
          </w:p>
        </w:tc>
        <w:tc>
          <w:tcPr>
            <w:tcW w:w="0" w:type="dxa"/>
            <w:vAlign w:val="bottom"/>
          </w:tcPr>
          <w:p>
            <w:pPr>
              <w:spacing w:after="0"/>
              <w:rPr>
                <w:sz w:val="1"/>
                <w:szCs w:val="1"/>
                <w:color w:val="auto"/>
              </w:rPr>
            </w:pPr>
          </w:p>
        </w:tc>
      </w:tr>
      <w:tr>
        <w:trPr>
          <w:trHeight w:val="43"/>
        </w:trPr>
        <w:tc>
          <w:tcPr>
            <w:tcW w:w="318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1E2E2"/>
              <w:right w:val="single" w:sz="8" w:color="E1E2E2"/>
            </w:tcBorders>
            <w:shd w:val="clear" w:color="auto" w:fill="E1E2E2"/>
          </w:tcPr>
          <w:p>
            <w:pPr>
              <w:ind w:left="80"/>
              <w:spacing w:after="0"/>
              <w:rPr>
                <w:sz w:val="20"/>
                <w:szCs w:val="20"/>
                <w:color w:val="auto"/>
              </w:rPr>
            </w:pPr>
            <w:r>
              <w:rPr>
                <w:rFonts w:ascii="Trebuchet MS" w:cs="Trebuchet MS" w:eastAsia="Trebuchet MS" w:hAnsi="Trebuchet MS"/>
                <w:sz w:val="13"/>
                <w:szCs w:val="13"/>
                <w:color w:val="474C55"/>
              </w:rPr>
              <w:t>Atlantic Union Bkshs Corp.</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3"/>
              </w:rPr>
              <w:t>AUB</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6"/>
              </w:rPr>
              <w:t>Glen Allen</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1"/>
              </w:rPr>
              <w:t>VA</w:t>
            </w:r>
          </w:p>
        </w:tc>
        <w:tc>
          <w:tcPr>
            <w:tcW w:w="1400" w:type="dxa"/>
            <w:vAlign w:val="bottom"/>
            <w:tcBorders>
              <w:bottom w:val="single" w:sz="8" w:color="E1E2E2"/>
            </w:tcBorders>
            <w:shd w:val="clear" w:color="auto" w:fill="E1E2E2"/>
          </w:tcPr>
          <w:p>
            <w:pPr>
              <w:jc w:val="right"/>
              <w:ind w:right="277"/>
              <w:spacing w:after="0"/>
              <w:rPr>
                <w:sz w:val="20"/>
                <w:szCs w:val="20"/>
                <w:color w:val="auto"/>
              </w:rPr>
            </w:pPr>
            <w:r>
              <w:rPr>
                <w:rFonts w:ascii="Trebuchet MS" w:cs="Trebuchet MS" w:eastAsia="Trebuchet MS" w:hAnsi="Trebuchet MS"/>
                <w:sz w:val="13"/>
                <w:szCs w:val="13"/>
                <w:color w:val="474C55"/>
              </w:rPr>
              <w:t>20,461,138</w:t>
            </w: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Cadence Bank</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8"/>
              </w:rPr>
              <w:t>CADE</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0"/>
              </w:rPr>
              <w:t>Tupelo</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0"/>
              </w:rPr>
              <w:t>MS</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48,653,414</w:t>
            </w:r>
          </w:p>
        </w:tc>
        <w:tc>
          <w:tcPr>
            <w:tcW w:w="0" w:type="dxa"/>
            <w:vAlign w:val="bottom"/>
          </w:tcPr>
          <w:p>
            <w:pPr>
              <w:spacing w:after="0"/>
              <w:rPr>
                <w:sz w:val="1"/>
                <w:szCs w:val="1"/>
                <w:color w:val="auto"/>
              </w:rPr>
            </w:pPr>
          </w:p>
        </w:tc>
      </w:tr>
      <w:tr>
        <w:trPr>
          <w:trHeight w:val="43"/>
        </w:trPr>
        <w:tc>
          <w:tcPr>
            <w:tcW w:w="318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1E2E2"/>
              <w:right w:val="single" w:sz="8" w:color="E1E2E2"/>
            </w:tcBorders>
            <w:shd w:val="clear" w:color="auto" w:fill="E1E2E2"/>
          </w:tcPr>
          <w:p>
            <w:pPr>
              <w:ind w:left="80"/>
              <w:spacing w:after="0"/>
              <w:rPr>
                <w:sz w:val="20"/>
                <w:szCs w:val="20"/>
                <w:color w:val="auto"/>
              </w:rPr>
            </w:pPr>
            <w:r>
              <w:rPr>
                <w:rFonts w:ascii="Trebuchet MS" w:cs="Trebuchet MS" w:eastAsia="Trebuchet MS" w:hAnsi="Trebuchet MS"/>
                <w:sz w:val="13"/>
                <w:szCs w:val="13"/>
                <w:color w:val="474C55"/>
              </w:rPr>
              <w:t>Commerce Bancshares Inc.</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rPr>
              <w:t>CBSH</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4"/>
              </w:rPr>
              <w:t>Kansas City</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9"/>
              </w:rPr>
              <w:t>MO</w:t>
            </w:r>
          </w:p>
        </w:tc>
        <w:tc>
          <w:tcPr>
            <w:tcW w:w="1400" w:type="dxa"/>
            <w:vAlign w:val="bottom"/>
            <w:tcBorders>
              <w:bottom w:val="single" w:sz="8" w:color="E1E2E2"/>
            </w:tcBorders>
            <w:shd w:val="clear" w:color="auto" w:fill="E1E2E2"/>
          </w:tcPr>
          <w:p>
            <w:pPr>
              <w:jc w:val="right"/>
              <w:ind w:right="277"/>
              <w:spacing w:after="0"/>
              <w:rPr>
                <w:sz w:val="20"/>
                <w:szCs w:val="20"/>
                <w:color w:val="auto"/>
              </w:rPr>
            </w:pPr>
            <w:r>
              <w:rPr>
                <w:rFonts w:ascii="Trebuchet MS" w:cs="Trebuchet MS" w:eastAsia="Trebuchet MS" w:hAnsi="Trebuchet MS"/>
                <w:sz w:val="13"/>
                <w:szCs w:val="13"/>
                <w:color w:val="474C55"/>
              </w:rPr>
              <w:t>31,875,931</w:t>
            </w: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Cullen/Frost Bankers Inc.</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9"/>
              </w:rPr>
              <w:t>CFR</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5"/>
              </w:rPr>
              <w:t>San Antonio</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4"/>
              </w:rPr>
              <w:t>TX</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52,892,376</w:t>
            </w:r>
          </w:p>
        </w:tc>
        <w:tc>
          <w:tcPr>
            <w:tcW w:w="0" w:type="dxa"/>
            <w:vAlign w:val="bottom"/>
          </w:tcPr>
          <w:p>
            <w:pPr>
              <w:spacing w:after="0"/>
              <w:rPr>
                <w:sz w:val="1"/>
                <w:szCs w:val="1"/>
                <w:color w:val="auto"/>
              </w:rPr>
            </w:pPr>
          </w:p>
        </w:tc>
      </w:tr>
      <w:tr>
        <w:trPr>
          <w:trHeight w:val="43"/>
        </w:trPr>
        <w:tc>
          <w:tcPr>
            <w:tcW w:w="318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1E2E2"/>
              <w:right w:val="single" w:sz="8" w:color="E1E2E2"/>
            </w:tcBorders>
            <w:shd w:val="clear" w:color="auto" w:fill="E1E2E2"/>
          </w:tcPr>
          <w:p>
            <w:pPr>
              <w:ind w:left="80"/>
              <w:spacing w:after="0"/>
              <w:rPr>
                <w:sz w:val="20"/>
                <w:szCs w:val="20"/>
                <w:color w:val="auto"/>
              </w:rPr>
            </w:pPr>
            <w:r>
              <w:rPr>
                <w:rFonts w:ascii="Trebuchet MS" w:cs="Trebuchet MS" w:eastAsia="Trebuchet MS" w:hAnsi="Trebuchet MS"/>
                <w:sz w:val="13"/>
                <w:szCs w:val="13"/>
                <w:color w:val="474C55"/>
              </w:rPr>
              <w:t>F.N.B. Corporation</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7"/>
              </w:rPr>
              <w:t>FNB</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3"/>
              </w:rPr>
              <w:t>Pittsburgh</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80"/>
              </w:rPr>
              <w:t>PA</w:t>
            </w:r>
          </w:p>
        </w:tc>
        <w:tc>
          <w:tcPr>
            <w:tcW w:w="1400" w:type="dxa"/>
            <w:vAlign w:val="bottom"/>
            <w:tcBorders>
              <w:bottom w:val="single" w:sz="8" w:color="E1E2E2"/>
            </w:tcBorders>
            <w:shd w:val="clear" w:color="auto" w:fill="E1E2E2"/>
          </w:tcPr>
          <w:p>
            <w:pPr>
              <w:jc w:val="right"/>
              <w:ind w:right="277"/>
              <w:spacing w:after="0"/>
              <w:rPr>
                <w:sz w:val="20"/>
                <w:szCs w:val="20"/>
                <w:color w:val="auto"/>
              </w:rPr>
            </w:pPr>
            <w:r>
              <w:rPr>
                <w:rFonts w:ascii="Trebuchet MS" w:cs="Trebuchet MS" w:eastAsia="Trebuchet MS" w:hAnsi="Trebuchet MS"/>
                <w:sz w:val="13"/>
                <w:szCs w:val="13"/>
                <w:color w:val="474C55"/>
              </w:rPr>
              <w:t>43,724,973</w:t>
            </w: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First Financial Bancorp.</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7"/>
              </w:rPr>
              <w:t>FFBC</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5"/>
              </w:rPr>
              <w:t>Cincinnati</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2"/>
              </w:rPr>
              <w:t>OH</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17,003,316</w:t>
            </w:r>
          </w:p>
        </w:tc>
        <w:tc>
          <w:tcPr>
            <w:tcW w:w="0" w:type="dxa"/>
            <w:vAlign w:val="bottom"/>
          </w:tcPr>
          <w:p>
            <w:pPr>
              <w:spacing w:after="0"/>
              <w:rPr>
                <w:sz w:val="1"/>
                <w:szCs w:val="1"/>
                <w:color w:val="auto"/>
              </w:rPr>
            </w:pPr>
          </w:p>
        </w:tc>
      </w:tr>
      <w:tr>
        <w:trPr>
          <w:trHeight w:val="43"/>
        </w:trPr>
        <w:tc>
          <w:tcPr>
            <w:tcW w:w="318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1E2E2"/>
              <w:right w:val="single" w:sz="8" w:color="E1E2E2"/>
            </w:tcBorders>
            <w:shd w:val="clear" w:color="auto" w:fill="E1E2E2"/>
          </w:tcPr>
          <w:p>
            <w:pPr>
              <w:ind w:left="80"/>
              <w:spacing w:after="0"/>
              <w:rPr>
                <w:sz w:val="20"/>
                <w:szCs w:val="20"/>
                <w:color w:val="auto"/>
              </w:rPr>
            </w:pPr>
            <w:r>
              <w:rPr>
                <w:rFonts w:ascii="Trebuchet MS" w:cs="Trebuchet MS" w:eastAsia="Trebuchet MS" w:hAnsi="Trebuchet MS"/>
                <w:sz w:val="13"/>
                <w:szCs w:val="13"/>
                <w:color w:val="474C55"/>
              </w:rPr>
              <w:t>Fulton Financial Corp.</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88"/>
              </w:rPr>
              <w:t>FULT</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5"/>
              </w:rPr>
              <w:t>Lancaster</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80"/>
              </w:rPr>
              <w:t>PA</w:t>
            </w:r>
          </w:p>
        </w:tc>
        <w:tc>
          <w:tcPr>
            <w:tcW w:w="1400" w:type="dxa"/>
            <w:vAlign w:val="bottom"/>
            <w:tcBorders>
              <w:bottom w:val="single" w:sz="8" w:color="E1E2E2"/>
            </w:tcBorders>
            <w:shd w:val="clear" w:color="auto" w:fill="E1E2E2"/>
          </w:tcPr>
          <w:p>
            <w:pPr>
              <w:jc w:val="right"/>
              <w:ind w:right="277"/>
              <w:spacing w:after="0"/>
              <w:rPr>
                <w:sz w:val="20"/>
                <w:szCs w:val="20"/>
                <w:color w:val="auto"/>
              </w:rPr>
            </w:pPr>
            <w:r>
              <w:rPr>
                <w:rFonts w:ascii="Trebuchet MS" w:cs="Trebuchet MS" w:eastAsia="Trebuchet MS" w:hAnsi="Trebuchet MS"/>
                <w:sz w:val="13"/>
                <w:szCs w:val="13"/>
                <w:color w:val="474C55"/>
              </w:rPr>
              <w:t>26,931,702</w:t>
            </w: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Hancock Whitney Corp</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4"/>
              </w:rPr>
              <w:t>HWC</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3"/>
              </w:rPr>
              <w:t>Gulfport</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0"/>
              </w:rPr>
              <w:t>MS</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35,183,825</w:t>
            </w:r>
          </w:p>
        </w:tc>
        <w:tc>
          <w:tcPr>
            <w:tcW w:w="0" w:type="dxa"/>
            <w:vAlign w:val="bottom"/>
          </w:tcPr>
          <w:p>
            <w:pPr>
              <w:spacing w:after="0"/>
              <w:rPr>
                <w:sz w:val="1"/>
                <w:szCs w:val="1"/>
                <w:color w:val="auto"/>
              </w:rPr>
            </w:pPr>
          </w:p>
        </w:tc>
      </w:tr>
      <w:tr>
        <w:trPr>
          <w:trHeight w:val="43"/>
        </w:trPr>
        <w:tc>
          <w:tcPr>
            <w:tcW w:w="318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1E2E2"/>
              <w:right w:val="single" w:sz="8" w:color="E1E2E2"/>
            </w:tcBorders>
            <w:shd w:val="clear" w:color="auto" w:fill="E1E2E2"/>
          </w:tcPr>
          <w:p>
            <w:pPr>
              <w:ind w:left="80"/>
              <w:spacing w:after="0"/>
              <w:rPr>
                <w:sz w:val="20"/>
                <w:szCs w:val="20"/>
                <w:color w:val="auto"/>
              </w:rPr>
            </w:pPr>
            <w:r>
              <w:rPr>
                <w:rFonts w:ascii="Trebuchet MS" w:cs="Trebuchet MS" w:eastAsia="Trebuchet MS" w:hAnsi="Trebuchet MS"/>
                <w:sz w:val="13"/>
                <w:szCs w:val="13"/>
                <w:color w:val="474C55"/>
              </w:rPr>
              <w:t>Heartland Financial USA Inc.</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4"/>
              </w:rPr>
              <w:t>HTLF</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3"/>
              </w:rPr>
              <w:t>Denver</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6"/>
              </w:rPr>
              <w:t>CO</w:t>
            </w:r>
          </w:p>
        </w:tc>
        <w:tc>
          <w:tcPr>
            <w:tcW w:w="1400" w:type="dxa"/>
            <w:vAlign w:val="bottom"/>
            <w:tcBorders>
              <w:bottom w:val="single" w:sz="8" w:color="E1E2E2"/>
            </w:tcBorders>
            <w:shd w:val="clear" w:color="auto" w:fill="E1E2E2"/>
          </w:tcPr>
          <w:p>
            <w:pPr>
              <w:jc w:val="right"/>
              <w:ind w:right="277"/>
              <w:spacing w:after="0"/>
              <w:rPr>
                <w:sz w:val="20"/>
                <w:szCs w:val="20"/>
                <w:color w:val="auto"/>
              </w:rPr>
            </w:pPr>
            <w:r>
              <w:rPr>
                <w:rFonts w:ascii="Trebuchet MS" w:cs="Trebuchet MS" w:eastAsia="Trebuchet MS" w:hAnsi="Trebuchet MS"/>
                <w:sz w:val="13"/>
                <w:szCs w:val="13"/>
                <w:color w:val="474C55"/>
              </w:rPr>
              <w:t>19,334,969</w:t>
            </w: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Independent Bk Group Inc.</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rPr>
              <w:t>IBTX</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5"/>
              </w:rPr>
              <w:t>McKinney</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4"/>
              </w:rPr>
              <w:t>TX</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18,258,414</w:t>
            </w:r>
          </w:p>
        </w:tc>
        <w:tc>
          <w:tcPr>
            <w:tcW w:w="0" w:type="dxa"/>
            <w:vAlign w:val="bottom"/>
          </w:tcPr>
          <w:p>
            <w:pPr>
              <w:spacing w:after="0"/>
              <w:rPr>
                <w:sz w:val="1"/>
                <w:szCs w:val="1"/>
                <w:color w:val="auto"/>
              </w:rPr>
            </w:pPr>
          </w:p>
        </w:tc>
      </w:tr>
      <w:tr>
        <w:trPr>
          <w:trHeight w:val="43"/>
        </w:trPr>
        <w:tc>
          <w:tcPr>
            <w:tcW w:w="318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1E2E2"/>
              <w:right w:val="single" w:sz="8" w:color="E1E2E2"/>
            </w:tcBorders>
            <w:shd w:val="clear" w:color="auto" w:fill="E1E2E2"/>
          </w:tcPr>
          <w:p>
            <w:pPr>
              <w:ind w:left="80"/>
              <w:spacing w:after="0"/>
              <w:rPr>
                <w:sz w:val="20"/>
                <w:szCs w:val="20"/>
                <w:color w:val="auto"/>
              </w:rPr>
            </w:pPr>
            <w:r>
              <w:rPr>
                <w:rFonts w:ascii="Trebuchet MS" w:cs="Trebuchet MS" w:eastAsia="Trebuchet MS" w:hAnsi="Trebuchet MS"/>
                <w:sz w:val="13"/>
                <w:szCs w:val="13"/>
                <w:color w:val="474C55"/>
              </w:rPr>
              <w:t>Old National Bancorp</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89"/>
              </w:rPr>
              <w:t>ONB</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4"/>
              </w:rPr>
              <w:t>Evansville</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rPr>
              <w:t>IN</w:t>
            </w:r>
          </w:p>
        </w:tc>
        <w:tc>
          <w:tcPr>
            <w:tcW w:w="1400" w:type="dxa"/>
            <w:vAlign w:val="bottom"/>
            <w:tcBorders>
              <w:bottom w:val="single" w:sz="8" w:color="E1E2E2"/>
            </w:tcBorders>
            <w:shd w:val="clear" w:color="auto" w:fill="E1E2E2"/>
          </w:tcPr>
          <w:p>
            <w:pPr>
              <w:jc w:val="right"/>
              <w:ind w:right="277"/>
              <w:spacing w:after="0"/>
              <w:rPr>
                <w:sz w:val="20"/>
                <w:szCs w:val="20"/>
                <w:color w:val="auto"/>
              </w:rPr>
            </w:pPr>
            <w:r>
              <w:rPr>
                <w:rFonts w:ascii="Trebuchet MS" w:cs="Trebuchet MS" w:eastAsia="Trebuchet MS" w:hAnsi="Trebuchet MS"/>
                <w:sz w:val="13"/>
                <w:szCs w:val="13"/>
                <w:color w:val="474C55"/>
              </w:rPr>
              <w:t>46,763,372</w:t>
            </w: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Pinnacle Financial Partners</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rPr>
              <w:t>PNFP</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5"/>
              </w:rPr>
              <w:t>Nashville</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rPr>
              <w:t>TN</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41,970,021</w:t>
            </w:r>
          </w:p>
        </w:tc>
        <w:tc>
          <w:tcPr>
            <w:tcW w:w="0" w:type="dxa"/>
            <w:vAlign w:val="bottom"/>
          </w:tcPr>
          <w:p>
            <w:pPr>
              <w:spacing w:after="0"/>
              <w:rPr>
                <w:sz w:val="1"/>
                <w:szCs w:val="1"/>
                <w:color w:val="auto"/>
              </w:rPr>
            </w:pPr>
          </w:p>
        </w:tc>
      </w:tr>
      <w:tr>
        <w:trPr>
          <w:trHeight w:val="43"/>
        </w:trPr>
        <w:tc>
          <w:tcPr>
            <w:tcW w:w="318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1E2E2"/>
              <w:right w:val="single" w:sz="8" w:color="E1E2E2"/>
            </w:tcBorders>
            <w:shd w:val="clear" w:color="auto" w:fill="E1E2E2"/>
          </w:tcPr>
          <w:p>
            <w:pPr>
              <w:ind w:left="80"/>
              <w:spacing w:after="0"/>
              <w:rPr>
                <w:sz w:val="20"/>
                <w:szCs w:val="20"/>
                <w:color w:val="auto"/>
              </w:rPr>
            </w:pPr>
            <w:r>
              <w:rPr>
                <w:rFonts w:ascii="Trebuchet MS" w:cs="Trebuchet MS" w:eastAsia="Trebuchet MS" w:hAnsi="Trebuchet MS"/>
                <w:sz w:val="13"/>
                <w:szCs w:val="13"/>
                <w:color w:val="474C55"/>
              </w:rPr>
              <w:t>Prosperity Bancshares Inc.</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5"/>
              </w:rPr>
              <w:t>PB</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7"/>
              </w:rPr>
              <w:t>Houston</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4"/>
              </w:rPr>
              <w:t>TX</w:t>
            </w:r>
          </w:p>
        </w:tc>
        <w:tc>
          <w:tcPr>
            <w:tcW w:w="1400" w:type="dxa"/>
            <w:vAlign w:val="bottom"/>
            <w:tcBorders>
              <w:bottom w:val="single" w:sz="8" w:color="E1E2E2"/>
            </w:tcBorders>
            <w:shd w:val="clear" w:color="auto" w:fill="E1E2E2"/>
          </w:tcPr>
          <w:p>
            <w:pPr>
              <w:jc w:val="right"/>
              <w:ind w:right="277"/>
              <w:spacing w:after="0"/>
              <w:rPr>
                <w:sz w:val="20"/>
                <w:szCs w:val="20"/>
                <w:color w:val="auto"/>
              </w:rPr>
            </w:pPr>
            <w:r>
              <w:rPr>
                <w:rFonts w:ascii="Trebuchet MS" w:cs="Trebuchet MS" w:eastAsia="Trebuchet MS" w:hAnsi="Trebuchet MS"/>
                <w:sz w:val="13"/>
                <w:szCs w:val="13"/>
                <w:color w:val="474C55"/>
              </w:rPr>
              <w:t>37,689,829</w:t>
            </w: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Renasant Corp.</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rPr>
              <w:t>RNST</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0"/>
              </w:rPr>
              <w:t>Tupelo</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0"/>
              </w:rPr>
              <w:t>MS</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16,988,176</w:t>
            </w:r>
          </w:p>
        </w:tc>
        <w:tc>
          <w:tcPr>
            <w:tcW w:w="0" w:type="dxa"/>
            <w:vAlign w:val="bottom"/>
          </w:tcPr>
          <w:p>
            <w:pPr>
              <w:spacing w:after="0"/>
              <w:rPr>
                <w:sz w:val="1"/>
                <w:szCs w:val="1"/>
                <w:color w:val="auto"/>
              </w:rPr>
            </w:pPr>
          </w:p>
        </w:tc>
      </w:tr>
      <w:tr>
        <w:trPr>
          <w:trHeight w:val="43"/>
        </w:trPr>
        <w:tc>
          <w:tcPr>
            <w:tcW w:w="318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1E2E2"/>
              <w:right w:val="single" w:sz="8" w:color="E1E2E2"/>
            </w:tcBorders>
            <w:shd w:val="clear" w:color="auto" w:fill="E1E2E2"/>
          </w:tcPr>
          <w:p>
            <w:pPr>
              <w:ind w:left="80"/>
              <w:spacing w:after="0"/>
              <w:rPr>
                <w:sz w:val="20"/>
                <w:szCs w:val="20"/>
                <w:color w:val="auto"/>
              </w:rPr>
            </w:pPr>
            <w:r>
              <w:rPr>
                <w:rFonts w:ascii="Trebuchet MS" w:cs="Trebuchet MS" w:eastAsia="Trebuchet MS" w:hAnsi="Trebuchet MS"/>
                <w:sz w:val="13"/>
                <w:szCs w:val="13"/>
                <w:color w:val="474C55"/>
              </w:rPr>
              <w:t>Simmons First National Corp.</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5"/>
              </w:rPr>
              <w:t>SFNC</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4"/>
              </w:rPr>
              <w:t>Pine Bluff</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1"/>
              </w:rPr>
              <w:t>AR</w:t>
            </w:r>
          </w:p>
        </w:tc>
        <w:tc>
          <w:tcPr>
            <w:tcW w:w="1400" w:type="dxa"/>
            <w:vAlign w:val="bottom"/>
            <w:tcBorders>
              <w:bottom w:val="single" w:sz="8" w:color="E1E2E2"/>
            </w:tcBorders>
            <w:shd w:val="clear" w:color="auto" w:fill="E1E2E2"/>
          </w:tcPr>
          <w:p>
            <w:pPr>
              <w:jc w:val="right"/>
              <w:ind w:right="277"/>
              <w:spacing w:after="0"/>
              <w:rPr>
                <w:sz w:val="20"/>
                <w:szCs w:val="20"/>
                <w:color w:val="auto"/>
              </w:rPr>
            </w:pPr>
            <w:r>
              <w:rPr>
                <w:rFonts w:ascii="Trebuchet MS" w:cs="Trebuchet MS" w:eastAsia="Trebuchet MS" w:hAnsi="Trebuchet MS"/>
                <w:sz w:val="13"/>
                <w:szCs w:val="13"/>
                <w:color w:val="474C55"/>
              </w:rPr>
              <w:t>27,461,061</w:t>
            </w: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SouthState Corp.</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0"/>
              </w:rPr>
              <w:t>SSB</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6"/>
              </w:rPr>
              <w:t>Winter Haven</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89"/>
              </w:rPr>
              <w:t>FL</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43,918,696</w:t>
            </w:r>
          </w:p>
        </w:tc>
        <w:tc>
          <w:tcPr>
            <w:tcW w:w="0" w:type="dxa"/>
            <w:vAlign w:val="bottom"/>
          </w:tcPr>
          <w:p>
            <w:pPr>
              <w:spacing w:after="0"/>
              <w:rPr>
                <w:sz w:val="1"/>
                <w:szCs w:val="1"/>
                <w:color w:val="auto"/>
              </w:rPr>
            </w:pPr>
          </w:p>
        </w:tc>
      </w:tr>
      <w:tr>
        <w:trPr>
          <w:trHeight w:val="43"/>
        </w:trPr>
        <w:tc>
          <w:tcPr>
            <w:tcW w:w="318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1E2E2"/>
              <w:right w:val="single" w:sz="8" w:color="E1E2E2"/>
            </w:tcBorders>
            <w:shd w:val="clear" w:color="auto" w:fill="E1E2E2"/>
          </w:tcPr>
          <w:p>
            <w:pPr>
              <w:ind w:left="80"/>
              <w:spacing w:after="0"/>
              <w:rPr>
                <w:sz w:val="20"/>
                <w:szCs w:val="20"/>
                <w:color w:val="auto"/>
              </w:rPr>
            </w:pPr>
            <w:r>
              <w:rPr>
                <w:rFonts w:ascii="Trebuchet MS" w:cs="Trebuchet MS" w:eastAsia="Trebuchet MS" w:hAnsi="Trebuchet MS"/>
                <w:sz w:val="13"/>
                <w:szCs w:val="13"/>
                <w:color w:val="474C55"/>
              </w:rPr>
              <w:t>Synovus Financial Corp.</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8"/>
              </w:rPr>
              <w:t>SNV</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6"/>
              </w:rPr>
              <w:t>Columbus</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6"/>
              </w:rPr>
              <w:t>GA</w:t>
            </w:r>
          </w:p>
        </w:tc>
        <w:tc>
          <w:tcPr>
            <w:tcW w:w="1400" w:type="dxa"/>
            <w:vAlign w:val="bottom"/>
            <w:tcBorders>
              <w:bottom w:val="single" w:sz="8" w:color="E1E2E2"/>
            </w:tcBorders>
            <w:shd w:val="clear" w:color="auto" w:fill="E1E2E2"/>
          </w:tcPr>
          <w:p>
            <w:pPr>
              <w:jc w:val="right"/>
              <w:ind w:right="277"/>
              <w:spacing w:after="0"/>
              <w:rPr>
                <w:sz w:val="20"/>
                <w:szCs w:val="20"/>
                <w:color w:val="auto"/>
              </w:rPr>
            </w:pPr>
            <w:r>
              <w:rPr>
                <w:rFonts w:ascii="Trebuchet MS" w:cs="Trebuchet MS" w:eastAsia="Trebuchet MS" w:hAnsi="Trebuchet MS"/>
                <w:sz w:val="13"/>
                <w:szCs w:val="13"/>
                <w:color w:val="474C55"/>
              </w:rPr>
              <w:t>59,731,378</w:t>
            </w: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TowneBank</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5"/>
              </w:rPr>
              <w:t>TOWN</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5"/>
              </w:rPr>
              <w:t>Portsmouth</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1"/>
              </w:rPr>
              <w:t>VA</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15,845,267</w:t>
            </w:r>
          </w:p>
        </w:tc>
        <w:tc>
          <w:tcPr>
            <w:tcW w:w="0" w:type="dxa"/>
            <w:vAlign w:val="bottom"/>
          </w:tcPr>
          <w:p>
            <w:pPr>
              <w:spacing w:after="0"/>
              <w:rPr>
                <w:sz w:val="1"/>
                <w:szCs w:val="1"/>
                <w:color w:val="auto"/>
              </w:rPr>
            </w:pPr>
          </w:p>
        </w:tc>
      </w:tr>
      <w:tr>
        <w:trPr>
          <w:trHeight w:val="43"/>
        </w:trPr>
        <w:tc>
          <w:tcPr>
            <w:tcW w:w="318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1E2E2"/>
              <w:right w:val="single" w:sz="8" w:color="E1E2E2"/>
            </w:tcBorders>
            <w:shd w:val="clear" w:color="auto" w:fill="E1E2E2"/>
          </w:tcPr>
          <w:p>
            <w:pPr>
              <w:ind w:left="80"/>
              <w:spacing w:after="0"/>
              <w:rPr>
                <w:sz w:val="20"/>
                <w:szCs w:val="20"/>
                <w:color w:val="auto"/>
              </w:rPr>
            </w:pPr>
            <w:r>
              <w:rPr>
                <w:rFonts w:ascii="Trebuchet MS" w:cs="Trebuchet MS" w:eastAsia="Trebuchet MS" w:hAnsi="Trebuchet MS"/>
                <w:sz w:val="13"/>
                <w:szCs w:val="13"/>
                <w:color w:val="474C55"/>
              </w:rPr>
              <w:t>Trustmark Corp.</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4"/>
              </w:rPr>
              <w:t>TRMK</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6"/>
              </w:rPr>
              <w:t>Jackson</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0"/>
              </w:rPr>
              <w:t>MS</w:t>
            </w:r>
          </w:p>
        </w:tc>
        <w:tc>
          <w:tcPr>
            <w:tcW w:w="1400" w:type="dxa"/>
            <w:vAlign w:val="bottom"/>
            <w:tcBorders>
              <w:bottom w:val="single" w:sz="8" w:color="E1E2E2"/>
            </w:tcBorders>
            <w:shd w:val="clear" w:color="auto" w:fill="E1E2E2"/>
          </w:tcPr>
          <w:p>
            <w:pPr>
              <w:jc w:val="right"/>
              <w:ind w:right="277"/>
              <w:spacing w:after="0"/>
              <w:rPr>
                <w:sz w:val="20"/>
                <w:szCs w:val="20"/>
                <w:color w:val="auto"/>
              </w:rPr>
            </w:pPr>
            <w:r>
              <w:rPr>
                <w:rFonts w:ascii="Trebuchet MS" w:cs="Trebuchet MS" w:eastAsia="Trebuchet MS" w:hAnsi="Trebuchet MS"/>
                <w:sz w:val="13"/>
                <w:szCs w:val="13"/>
                <w:color w:val="474C55"/>
              </w:rPr>
              <w:t>18,015,478</w:t>
            </w: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UMB Financial Corp.</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4"/>
              </w:rPr>
              <w:t>UMBF</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4"/>
              </w:rPr>
              <w:t>Kansas City</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9"/>
              </w:rPr>
              <w:t>MO</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38,512,461</w:t>
            </w:r>
          </w:p>
        </w:tc>
        <w:tc>
          <w:tcPr>
            <w:tcW w:w="0" w:type="dxa"/>
            <w:vAlign w:val="bottom"/>
          </w:tcPr>
          <w:p>
            <w:pPr>
              <w:spacing w:after="0"/>
              <w:rPr>
                <w:sz w:val="1"/>
                <w:szCs w:val="1"/>
                <w:color w:val="auto"/>
              </w:rPr>
            </w:pPr>
          </w:p>
        </w:tc>
      </w:tr>
      <w:tr>
        <w:trPr>
          <w:trHeight w:val="43"/>
        </w:trPr>
        <w:tc>
          <w:tcPr>
            <w:tcW w:w="318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Borders>
              <w:right w:val="single" w:sz="8" w:color="E1E2E2"/>
            </w:tcBorders>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80" w:type="dxa"/>
            <w:vAlign w:val="bottom"/>
            <w:tcBorders>
              <w:bottom w:val="single" w:sz="8" w:color="E1E2E2"/>
              <w:right w:val="single" w:sz="8" w:color="E1E2E2"/>
            </w:tcBorders>
            <w:shd w:val="clear" w:color="auto" w:fill="E1E2E2"/>
          </w:tcPr>
          <w:p>
            <w:pPr>
              <w:ind w:left="80"/>
              <w:spacing w:after="0"/>
              <w:rPr>
                <w:sz w:val="20"/>
                <w:szCs w:val="20"/>
                <w:color w:val="auto"/>
              </w:rPr>
            </w:pPr>
            <w:r>
              <w:rPr>
                <w:rFonts w:ascii="Trebuchet MS" w:cs="Trebuchet MS" w:eastAsia="Trebuchet MS" w:hAnsi="Trebuchet MS"/>
                <w:sz w:val="13"/>
                <w:szCs w:val="13"/>
                <w:color w:val="474C55"/>
              </w:rPr>
              <w:t>United Bankshares Inc.</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rPr>
              <w:t>UBSI</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6"/>
              </w:rPr>
              <w:t>Charleston</w:t>
            </w:r>
          </w:p>
        </w:tc>
        <w:tc>
          <w:tcPr>
            <w:tcW w:w="1400" w:type="dxa"/>
            <w:vAlign w:val="bottom"/>
            <w:tcBorders>
              <w:bottom w:val="single" w:sz="8" w:color="E1E2E2"/>
              <w:right w:val="single" w:sz="8" w:color="E1E2E2"/>
            </w:tcBorders>
            <w:shd w:val="clear" w:color="auto" w:fill="E1E2E2"/>
          </w:tcPr>
          <w:p>
            <w:pPr>
              <w:jc w:val="center"/>
              <w:spacing w:after="0"/>
              <w:rPr>
                <w:sz w:val="20"/>
                <w:szCs w:val="20"/>
                <w:color w:val="auto"/>
              </w:rPr>
            </w:pPr>
            <w:r>
              <w:rPr>
                <w:rFonts w:ascii="Trebuchet MS" w:cs="Trebuchet MS" w:eastAsia="Trebuchet MS" w:hAnsi="Trebuchet MS"/>
                <w:sz w:val="13"/>
                <w:szCs w:val="13"/>
                <w:color w:val="474C55"/>
                <w:w w:val="95"/>
              </w:rPr>
              <w:t>WV</w:t>
            </w:r>
          </w:p>
        </w:tc>
        <w:tc>
          <w:tcPr>
            <w:tcW w:w="1400" w:type="dxa"/>
            <w:vAlign w:val="bottom"/>
            <w:tcBorders>
              <w:bottom w:val="single" w:sz="8" w:color="E1E2E2"/>
            </w:tcBorders>
            <w:shd w:val="clear" w:color="auto" w:fill="E1E2E2"/>
          </w:tcPr>
          <w:p>
            <w:pPr>
              <w:jc w:val="right"/>
              <w:ind w:right="277"/>
              <w:spacing w:after="0"/>
              <w:rPr>
                <w:sz w:val="20"/>
                <w:szCs w:val="20"/>
                <w:color w:val="auto"/>
              </w:rPr>
            </w:pPr>
            <w:r>
              <w:rPr>
                <w:rFonts w:ascii="Trebuchet MS" w:cs="Trebuchet MS" w:eastAsia="Trebuchet MS" w:hAnsi="Trebuchet MS"/>
                <w:sz w:val="13"/>
                <w:szCs w:val="13"/>
                <w:color w:val="474C55"/>
              </w:rPr>
              <w:t>29,489,380</w:t>
            </w:r>
          </w:p>
        </w:tc>
        <w:tc>
          <w:tcPr>
            <w:tcW w:w="0" w:type="dxa"/>
            <w:vAlign w:val="bottom"/>
          </w:tcPr>
          <w:p>
            <w:pPr>
              <w:spacing w:after="0"/>
              <w:rPr>
                <w:sz w:val="1"/>
                <w:szCs w:val="1"/>
                <w:color w:val="auto"/>
              </w:rPr>
            </w:pPr>
          </w:p>
        </w:tc>
      </w:tr>
      <w:tr>
        <w:trPr>
          <w:trHeight w:val="195"/>
        </w:trPr>
        <w:tc>
          <w:tcPr>
            <w:tcW w:w="3180" w:type="dxa"/>
            <w:vAlign w:val="bottom"/>
            <w:tcBorders>
              <w:right w:val="single" w:sz="8" w:color="E1E2E2"/>
            </w:tcBorders>
          </w:tcPr>
          <w:p>
            <w:pPr>
              <w:ind w:left="80"/>
              <w:spacing w:after="0"/>
              <w:rPr>
                <w:sz w:val="20"/>
                <w:szCs w:val="20"/>
                <w:color w:val="auto"/>
              </w:rPr>
            </w:pPr>
            <w:r>
              <w:rPr>
                <w:rFonts w:ascii="Trebuchet MS" w:cs="Trebuchet MS" w:eastAsia="Trebuchet MS" w:hAnsi="Trebuchet MS"/>
                <w:sz w:val="13"/>
                <w:szCs w:val="13"/>
                <w:color w:val="474C55"/>
              </w:rPr>
              <w:t>WesBanco Inc.</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2"/>
              </w:rPr>
              <w:t>WSBC</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7"/>
              </w:rPr>
              <w:t>Wheeling</w:t>
            </w:r>
          </w:p>
        </w:tc>
        <w:tc>
          <w:tcPr>
            <w:tcW w:w="1400" w:type="dxa"/>
            <w:vAlign w:val="bottom"/>
            <w:tcBorders>
              <w:right w:val="single" w:sz="8" w:color="E1E2E2"/>
            </w:tcBorders>
          </w:tcPr>
          <w:p>
            <w:pPr>
              <w:jc w:val="center"/>
              <w:spacing w:after="0"/>
              <w:rPr>
                <w:sz w:val="20"/>
                <w:szCs w:val="20"/>
                <w:color w:val="auto"/>
              </w:rPr>
            </w:pPr>
            <w:r>
              <w:rPr>
                <w:rFonts w:ascii="Trebuchet MS" w:cs="Trebuchet MS" w:eastAsia="Trebuchet MS" w:hAnsi="Trebuchet MS"/>
                <w:sz w:val="13"/>
                <w:szCs w:val="13"/>
                <w:color w:val="474C55"/>
                <w:w w:val="95"/>
              </w:rPr>
              <w:t>WV</w:t>
            </w:r>
          </w:p>
        </w:tc>
        <w:tc>
          <w:tcPr>
            <w:tcW w:w="1400" w:type="dxa"/>
            <w:vAlign w:val="bottom"/>
          </w:tcPr>
          <w:p>
            <w:pPr>
              <w:jc w:val="right"/>
              <w:ind w:right="277"/>
              <w:spacing w:after="0"/>
              <w:rPr>
                <w:sz w:val="20"/>
                <w:szCs w:val="20"/>
                <w:color w:val="auto"/>
              </w:rPr>
            </w:pPr>
            <w:r>
              <w:rPr>
                <w:rFonts w:ascii="Trebuchet MS" w:cs="Trebuchet MS" w:eastAsia="Trebuchet MS" w:hAnsi="Trebuchet MS"/>
                <w:sz w:val="13"/>
                <w:szCs w:val="13"/>
                <w:color w:val="474C55"/>
              </w:rPr>
              <w:t>16,931,905</w:t>
            </w:r>
          </w:p>
        </w:tc>
        <w:tc>
          <w:tcPr>
            <w:tcW w:w="0" w:type="dxa"/>
            <w:vAlign w:val="bottom"/>
          </w:tcPr>
          <w:p>
            <w:pPr>
              <w:spacing w:after="0"/>
              <w:rPr>
                <w:sz w:val="1"/>
                <w:szCs w:val="1"/>
                <w:color w:val="auto"/>
              </w:rPr>
            </w:pPr>
          </w:p>
        </w:tc>
      </w:tr>
      <w:tr>
        <w:trPr>
          <w:trHeight w:val="43"/>
        </w:trPr>
        <w:tc>
          <w:tcPr>
            <w:tcW w:w="3180" w:type="dxa"/>
            <w:vAlign w:val="bottom"/>
            <w:tcBorders>
              <w:bottom w:val="single" w:sz="8" w:color="E2E3E4"/>
              <w:right w:val="single" w:sz="8" w:color="E1E2E2"/>
            </w:tcBorders>
          </w:tcPr>
          <w:p>
            <w:pPr>
              <w:spacing w:after="0"/>
              <w:rPr>
                <w:sz w:val="3"/>
                <w:szCs w:val="3"/>
                <w:color w:val="auto"/>
              </w:rPr>
            </w:pPr>
          </w:p>
        </w:tc>
        <w:tc>
          <w:tcPr>
            <w:tcW w:w="1400" w:type="dxa"/>
            <w:vAlign w:val="bottom"/>
            <w:tcBorders>
              <w:bottom w:val="single" w:sz="8" w:color="E2E3E4"/>
              <w:right w:val="single" w:sz="8" w:color="E1E2E2"/>
            </w:tcBorders>
          </w:tcPr>
          <w:p>
            <w:pPr>
              <w:spacing w:after="0"/>
              <w:rPr>
                <w:sz w:val="3"/>
                <w:szCs w:val="3"/>
                <w:color w:val="auto"/>
              </w:rPr>
            </w:pPr>
          </w:p>
        </w:tc>
        <w:tc>
          <w:tcPr>
            <w:tcW w:w="1400" w:type="dxa"/>
            <w:vAlign w:val="bottom"/>
            <w:tcBorders>
              <w:bottom w:val="single" w:sz="8" w:color="E2E3E4"/>
              <w:right w:val="single" w:sz="8" w:color="E1E2E2"/>
            </w:tcBorders>
          </w:tcPr>
          <w:p>
            <w:pPr>
              <w:spacing w:after="0"/>
              <w:rPr>
                <w:sz w:val="3"/>
                <w:szCs w:val="3"/>
                <w:color w:val="auto"/>
              </w:rPr>
            </w:pPr>
          </w:p>
        </w:tc>
        <w:tc>
          <w:tcPr>
            <w:tcW w:w="1400" w:type="dxa"/>
            <w:vAlign w:val="bottom"/>
            <w:tcBorders>
              <w:bottom w:val="single" w:sz="8" w:color="E2E3E4"/>
              <w:right w:val="single" w:sz="8" w:color="E1E2E2"/>
            </w:tcBorders>
          </w:tcPr>
          <w:p>
            <w:pPr>
              <w:spacing w:after="0"/>
              <w:rPr>
                <w:sz w:val="3"/>
                <w:szCs w:val="3"/>
                <w:color w:val="auto"/>
              </w:rPr>
            </w:pPr>
          </w:p>
        </w:tc>
        <w:tc>
          <w:tcPr>
            <w:tcW w:w="1400" w:type="dxa"/>
            <w:vAlign w:val="bottom"/>
            <w:tcBorders>
              <w:bottom w:val="single" w:sz="8" w:color="E2E3E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4679315</wp:posOffset>
            </wp:positionH>
            <wp:positionV relativeFrom="paragraph">
              <wp:posOffset>-309245</wp:posOffset>
            </wp:positionV>
            <wp:extent cx="8255" cy="1511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-309245</wp:posOffset>
            </wp:positionV>
            <wp:extent cx="8255" cy="1511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-309245</wp:posOffset>
            </wp:positionV>
            <wp:extent cx="8255" cy="151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-309245</wp:posOffset>
            </wp:positionV>
            <wp:extent cx="8255" cy="151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-610870</wp:posOffset>
            </wp:positionV>
            <wp:extent cx="8255" cy="1511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-610870</wp:posOffset>
            </wp:positionV>
            <wp:extent cx="8255" cy="1511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-610870</wp:posOffset>
            </wp:positionV>
            <wp:extent cx="8255" cy="1511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-610870</wp:posOffset>
            </wp:positionV>
            <wp:extent cx="8255" cy="1511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-913130</wp:posOffset>
            </wp:positionV>
            <wp:extent cx="8255" cy="151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-913130</wp:posOffset>
            </wp:positionV>
            <wp:extent cx="8255" cy="1511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-913130</wp:posOffset>
            </wp:positionV>
            <wp:extent cx="8255" cy="151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-913130</wp:posOffset>
            </wp:positionV>
            <wp:extent cx="8255" cy="1511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-1214755</wp:posOffset>
            </wp:positionV>
            <wp:extent cx="8255" cy="1511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-1214755</wp:posOffset>
            </wp:positionV>
            <wp:extent cx="8255" cy="151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-1214755</wp:posOffset>
            </wp:positionV>
            <wp:extent cx="8255" cy="151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-1214755</wp:posOffset>
            </wp:positionV>
            <wp:extent cx="8255" cy="1511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-1517015</wp:posOffset>
            </wp:positionV>
            <wp:extent cx="8255" cy="1511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-1517015</wp:posOffset>
            </wp:positionV>
            <wp:extent cx="8255" cy="151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-1517015</wp:posOffset>
            </wp:positionV>
            <wp:extent cx="8255" cy="1511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-1517015</wp:posOffset>
            </wp:positionV>
            <wp:extent cx="8255" cy="1511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-1818640</wp:posOffset>
            </wp:positionV>
            <wp:extent cx="8255" cy="1511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-1818640</wp:posOffset>
            </wp:positionV>
            <wp:extent cx="8255" cy="1511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-1818640</wp:posOffset>
            </wp:positionV>
            <wp:extent cx="8255" cy="1511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-1818640</wp:posOffset>
            </wp:positionV>
            <wp:extent cx="8255" cy="1511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-2120900</wp:posOffset>
            </wp:positionV>
            <wp:extent cx="8255" cy="1511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-2120900</wp:posOffset>
            </wp:positionV>
            <wp:extent cx="8255" cy="1511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-2120900</wp:posOffset>
            </wp:positionV>
            <wp:extent cx="8255" cy="1511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-2120900</wp:posOffset>
            </wp:positionV>
            <wp:extent cx="8255" cy="1511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-2422525</wp:posOffset>
            </wp:positionV>
            <wp:extent cx="8255" cy="1511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-2422525</wp:posOffset>
            </wp:positionV>
            <wp:extent cx="8255" cy="1511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-2422525</wp:posOffset>
            </wp:positionV>
            <wp:extent cx="8255" cy="1511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-2422525</wp:posOffset>
            </wp:positionV>
            <wp:extent cx="8255" cy="1511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-2724150</wp:posOffset>
            </wp:positionV>
            <wp:extent cx="8255" cy="1511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-2724150</wp:posOffset>
            </wp:positionV>
            <wp:extent cx="8255" cy="1511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-2724150</wp:posOffset>
            </wp:positionV>
            <wp:extent cx="8255" cy="1511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-2724150</wp:posOffset>
            </wp:positionV>
            <wp:extent cx="8255" cy="1511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-3026410</wp:posOffset>
            </wp:positionV>
            <wp:extent cx="8255" cy="1511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-3026410</wp:posOffset>
            </wp:positionV>
            <wp:extent cx="8255" cy="1511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-3026410</wp:posOffset>
            </wp:positionV>
            <wp:extent cx="8255" cy="1511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-3026410</wp:posOffset>
            </wp:positionV>
            <wp:extent cx="8255" cy="1511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-3328035</wp:posOffset>
            </wp:positionV>
            <wp:extent cx="8255" cy="1511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-3328035</wp:posOffset>
            </wp:positionV>
            <wp:extent cx="8255" cy="1511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-3328035</wp:posOffset>
            </wp:positionV>
            <wp:extent cx="8255" cy="1511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-3328035</wp:posOffset>
            </wp:positionV>
            <wp:extent cx="8255" cy="1511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151130"/>
                    </a:xfrm>
                    <a:prstGeom prst="rect">
                      <a:avLst/>
                    </a:prstGeom>
                    <a:noFill/>
                  </pic:spPr>
                </pic:pic>
              </a:graphicData>
            </a:graphic>
          </wp:anchor>
        </w:drawing>
      </w:r>
    </w:p>
    <w:p>
      <w:pPr>
        <w:spacing w:after="0" w:line="151" w:lineRule="exact"/>
        <w:rPr>
          <w:sz w:val="20"/>
          <w:szCs w:val="20"/>
          <w:color w:val="auto"/>
        </w:rPr>
      </w:pPr>
    </w:p>
    <w:p>
      <w:pPr>
        <w:ind w:right="900"/>
        <w:spacing w:after="0" w:line="261" w:lineRule="auto"/>
        <w:rPr>
          <w:sz w:val="20"/>
          <w:szCs w:val="20"/>
          <w:color w:val="auto"/>
        </w:rPr>
      </w:pPr>
      <w:r>
        <w:rPr>
          <w:rFonts w:ascii="Arial" w:cs="Arial" w:eastAsia="Arial" w:hAnsi="Arial"/>
          <w:sz w:val="17"/>
          <w:szCs w:val="17"/>
          <w:color w:val="444A54"/>
        </w:rPr>
        <w:t>The 2023 benchmark group of publicly-traded financial institutions for purposes of setting 2024 compensation was unchanged from the 2022 benchmark group selected for purposes of setting 2023 compensation for our executive officers.</w:t>
      </w:r>
    </w:p>
    <w:p>
      <w:pPr>
        <w:spacing w:after="0" w:line="138" w:lineRule="exact"/>
        <w:rPr>
          <w:sz w:val="20"/>
          <w:szCs w:val="20"/>
          <w:color w:val="auto"/>
        </w:rPr>
      </w:pPr>
    </w:p>
    <w:p>
      <w:pPr>
        <w:ind w:right="180"/>
        <w:spacing w:after="0"/>
        <w:rPr>
          <w:sz w:val="20"/>
          <w:szCs w:val="20"/>
          <w:color w:val="auto"/>
        </w:rPr>
      </w:pPr>
      <w:r>
        <w:rPr>
          <w:rFonts w:ascii="Arial" w:cs="Arial" w:eastAsia="Arial" w:hAnsi="Arial"/>
          <w:sz w:val="17"/>
          <w:szCs w:val="17"/>
          <w:color w:val="444A54"/>
        </w:rPr>
        <w:t>When determining compensation for our executive officers, the Talent and Compensation Committee considers the median range of total compensation and components of compensation for the comparable roles within the peer group companies. The Talent and Compensation Committee also considers the balance of cash and equity compensation and short-term and long-term compensation of comparable roles within the peer group companies.</w:t>
      </w:r>
    </w:p>
    <w:p>
      <w:pPr>
        <w:spacing w:after="0" w:line="156"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444A54"/>
        </w:rPr>
        <w:t>Although the Talent and Compensation Committee does not have a policy or target for the allocation of compensation between cash and equity compensation or short-term and long-term compensation as compared to the peer group companies, the Talent and Compensation Committee considers whether total compensation and the mix of compensation of each of our executive officers is within a reasonable range of median compensation for comparable positions at the peer group companies. The Talent and Compensation Committee’s review resulted in its recommending to the Board changes in base salaries for executive officers as well as changes in targets for annual cash and long-term equity incentive compensation for some executive officers effective January 1, 2024.</w:t>
      </w:r>
    </w:p>
    <w:p>
      <w:pPr>
        <w:spacing w:after="0" w:line="15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444A54"/>
        </w:rPr>
        <w:t>Consistent with the previous year’s compensation process, during the third quarter of 2024, with the assistance of Aon, the Talent and Compensation Committee, selected a benchmark group of publicly-traded financial institutions and reviewed benchmarking data for purposes of setting 2025 compensation for our executive officers. The 2024 benchmark group of publicly-traded financial institutions for purposes of setting 2025 compensation was unchanged from the 2023 benchmark group selected for purposes of setting 2024 compensation for our executive officers. The resulting benchmarking data reflected that our positioning relative to the median range of total compensation and the mix of compensation for the comparable roles within peer group companies lagged the peer market median as compared with our positioning at the time we initially set 2024 compensation (in 2023). The Talent and Compensation Committee’s review resulted in its recommending to the Board changes in base salaries for executive officers as well as changes in targets for annual cash and long-term equity incentive compensation for some executive officers effective September 1, 2024.</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i w:val="1"/>
          <w:iCs w:val="1"/>
          <w:color w:val="017AB5"/>
        </w:rPr>
        <w:t>2024 Executive Compensation Components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444A54"/>
        </w:rPr>
        <w:t>Our executive compensation program is comprised of three main components:</w:t>
      </w:r>
    </w:p>
    <w:p>
      <w:pPr>
        <w:spacing w:after="0" w:line="55" w:lineRule="exact"/>
        <w:rPr>
          <w:sz w:val="20"/>
          <w:szCs w:val="20"/>
          <w:color w:val="auto"/>
        </w:rPr>
      </w:pPr>
    </w:p>
    <w:p>
      <w:pPr>
        <w:ind w:left="600" w:right="560" w:hanging="300"/>
        <w:spacing w:after="0" w:line="261" w:lineRule="auto"/>
        <w:tabs>
          <w:tab w:leader="none" w:pos="600" w:val="left"/>
        </w:tabs>
        <w:numPr>
          <w:ilvl w:val="0"/>
          <w:numId w:val="28"/>
        </w:numPr>
        <w:rPr>
          <w:rFonts w:ascii="Arial" w:cs="Arial" w:eastAsia="Arial" w:hAnsi="Arial"/>
          <w:sz w:val="17"/>
          <w:szCs w:val="17"/>
          <w:color w:val="444A54"/>
        </w:rPr>
      </w:pPr>
      <w:r>
        <w:rPr>
          <w:rFonts w:ascii="Arial" w:cs="Arial" w:eastAsia="Arial" w:hAnsi="Arial"/>
          <w:sz w:val="17"/>
          <w:szCs w:val="17"/>
          <w:color w:val="444A54"/>
        </w:rPr>
        <w:t>Base Salary: Provides the executive officer fixed compensation designed to recognize and reward the skill, competency, experience, and performance an executive brings to the position considering competitiveness in the markets in which we retain executive talent.</w:t>
      </w:r>
    </w:p>
    <w:p>
      <w:pPr>
        <w:spacing w:after="0" w:line="37" w:lineRule="exact"/>
        <w:rPr>
          <w:rFonts w:ascii="Arial" w:cs="Arial" w:eastAsia="Arial" w:hAnsi="Arial"/>
          <w:sz w:val="17"/>
          <w:szCs w:val="17"/>
          <w:color w:val="444A54"/>
        </w:rPr>
      </w:pPr>
    </w:p>
    <w:p>
      <w:pPr>
        <w:ind w:left="600" w:right="860" w:hanging="300"/>
        <w:spacing w:after="0" w:line="261" w:lineRule="auto"/>
        <w:tabs>
          <w:tab w:leader="none" w:pos="600" w:val="left"/>
        </w:tabs>
        <w:numPr>
          <w:ilvl w:val="0"/>
          <w:numId w:val="28"/>
        </w:numPr>
        <w:rPr>
          <w:rFonts w:ascii="Arial" w:cs="Arial" w:eastAsia="Arial" w:hAnsi="Arial"/>
          <w:sz w:val="17"/>
          <w:szCs w:val="17"/>
          <w:color w:val="444A54"/>
        </w:rPr>
      </w:pPr>
      <w:r>
        <w:rPr>
          <w:rFonts w:ascii="Arial" w:cs="Arial" w:eastAsia="Arial" w:hAnsi="Arial"/>
          <w:sz w:val="17"/>
          <w:szCs w:val="17"/>
          <w:color w:val="444A54"/>
        </w:rPr>
        <w:t>Annual Cash Incentive Awards: Provides the executive officer short-term performance-based compensation based on predetermined performance criteria.</w:t>
      </w:r>
    </w:p>
    <w:p>
      <w:pPr>
        <w:spacing w:after="0" w:line="37" w:lineRule="exact"/>
        <w:rPr>
          <w:rFonts w:ascii="Arial" w:cs="Arial" w:eastAsia="Arial" w:hAnsi="Arial"/>
          <w:sz w:val="17"/>
          <w:szCs w:val="17"/>
          <w:color w:val="444A54"/>
        </w:rPr>
      </w:pPr>
    </w:p>
    <w:p>
      <w:pPr>
        <w:ind w:left="600" w:right="820" w:hanging="300"/>
        <w:spacing w:after="0" w:line="261" w:lineRule="auto"/>
        <w:tabs>
          <w:tab w:leader="none" w:pos="600" w:val="left"/>
        </w:tabs>
        <w:numPr>
          <w:ilvl w:val="0"/>
          <w:numId w:val="28"/>
        </w:numPr>
        <w:rPr>
          <w:rFonts w:ascii="Arial" w:cs="Arial" w:eastAsia="Arial" w:hAnsi="Arial"/>
          <w:sz w:val="17"/>
          <w:szCs w:val="17"/>
          <w:color w:val="444A54"/>
        </w:rPr>
      </w:pPr>
      <w:r>
        <w:rPr>
          <w:rFonts w:ascii="Arial" w:cs="Arial" w:eastAsia="Arial" w:hAnsi="Arial"/>
          <w:sz w:val="17"/>
          <w:szCs w:val="17"/>
          <w:color w:val="444A54"/>
        </w:rPr>
        <w:t>Long-term Equity Incentive Awards: Provides the executive officer long-term time-based and performance-based compensation in the form of restricted stock units.</w:t>
      </w:r>
    </w:p>
    <w:p>
      <w:pPr>
        <w:spacing w:after="0" w:line="138" w:lineRule="exact"/>
        <w:rPr>
          <w:sz w:val="20"/>
          <w:szCs w:val="20"/>
          <w:color w:val="auto"/>
        </w:rPr>
      </w:pPr>
    </w:p>
    <w:p>
      <w:pPr>
        <w:ind w:right="1020"/>
        <w:spacing w:after="0" w:line="261" w:lineRule="auto"/>
        <w:rPr>
          <w:sz w:val="20"/>
          <w:szCs w:val="20"/>
          <w:color w:val="auto"/>
        </w:rPr>
      </w:pPr>
      <w:r>
        <w:rPr>
          <w:rFonts w:ascii="Arial" w:cs="Arial" w:eastAsia="Arial" w:hAnsi="Arial"/>
          <w:sz w:val="17"/>
          <w:szCs w:val="17"/>
          <w:color w:val="444A54"/>
        </w:rPr>
        <w:t>We also provide executive officers with limited perquisites and other personal benefits that the Company and our Talent and Compensation Committee believe are reasonable and consistent with its overall compensation program.</w:t>
      </w:r>
    </w:p>
    <w:p>
      <w:pPr>
        <w:spacing w:after="0" w:line="138" w:lineRule="exact"/>
        <w:rPr>
          <w:sz w:val="20"/>
          <w:szCs w:val="20"/>
          <w:color w:val="auto"/>
        </w:rPr>
      </w:pPr>
    </w:p>
    <w:p>
      <w:pPr>
        <w:ind w:right="480"/>
        <w:spacing w:after="0" w:line="246" w:lineRule="auto"/>
        <w:rPr>
          <w:sz w:val="20"/>
          <w:szCs w:val="20"/>
          <w:color w:val="auto"/>
        </w:rPr>
      </w:pPr>
      <w:r>
        <w:rPr>
          <w:rFonts w:ascii="Arial" w:cs="Arial" w:eastAsia="Arial" w:hAnsi="Arial"/>
          <w:sz w:val="17"/>
          <w:szCs w:val="17"/>
          <w:color w:val="444A54"/>
        </w:rPr>
        <w:t>Our Talent and Compensation Committee has structured the Company’s annual cash incentive award program and long-term, performance-based equity incentive award program to motivate executives to achieve the business goals set by the Company and to reward the executives for achieving such goals.</w:t>
      </w:r>
    </w:p>
    <w:p>
      <w:pPr>
        <w:spacing w:after="0" w:line="150"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444A54"/>
        </w:rPr>
        <w:t>Because the Talent and Compensation Committee believes in generally aligning executive compensation with the Company’s performance, at least 50% of a NEO’s pay is typically provided in the form of at-risk, performance-based compensation. The following charts summarize the mix of our CEO’s 2024 target compensation, as well as the mix of the average target compensation for all of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105410</wp:posOffset>
            </wp:positionV>
            <wp:extent cx="6800850" cy="1549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0850"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660"/>
        <w:spacing w:after="0"/>
        <w:rPr>
          <w:sz w:val="20"/>
          <w:szCs w:val="20"/>
          <w:color w:val="auto"/>
        </w:rPr>
      </w:pPr>
      <w:r>
        <w:rPr>
          <w:rFonts w:ascii="Trebuchet MS" w:cs="Trebuchet MS" w:eastAsia="Trebuchet MS" w:hAnsi="Trebuchet MS"/>
          <w:sz w:val="13"/>
          <w:szCs w:val="13"/>
          <w:color w:val="FFFFFF"/>
        </w:rPr>
        <w:t>At Risk/Performance-Based</w:t>
      </w:r>
    </w:p>
    <w:p>
      <w:pPr>
        <w:spacing w:after="0" w:line="68" w:lineRule="exact"/>
        <w:rPr>
          <w:sz w:val="20"/>
          <w:szCs w:val="20"/>
          <w:color w:val="auto"/>
        </w:rPr>
      </w:pPr>
    </w:p>
    <w:tbl>
      <w:tblPr>
        <w:tblLayout w:type="fixed"/>
        <w:tblInd w:w="8100" w:type="dxa"/>
        <w:tblCellMar>
          <w:top w:w="0" w:type="dxa"/>
          <w:left w:w="0" w:type="dxa"/>
          <w:bottom w:w="0" w:type="dxa"/>
          <w:right w:w="0" w:type="dxa"/>
        </w:tblCellMar>
      </w:tblPr>
      <w:tr>
        <w:trPr>
          <w:trHeight w:val="238"/>
        </w:trPr>
        <w:tc>
          <w:tcPr>
            <w:tcW w:w="1360" w:type="dxa"/>
            <w:vAlign w:val="bottom"/>
            <w:tcBorders>
              <w:right w:val="single" w:sz="8" w:color="E1E2E2"/>
            </w:tcBorders>
          </w:tcPr>
          <w:p>
            <w:pPr>
              <w:ind w:left="60"/>
              <w:spacing w:after="0"/>
              <w:rPr>
                <w:sz w:val="20"/>
                <w:szCs w:val="20"/>
                <w:color w:val="auto"/>
              </w:rPr>
            </w:pPr>
            <w:r>
              <w:rPr>
                <w:rFonts w:ascii="Trebuchet MS" w:cs="Trebuchet MS" w:eastAsia="Trebuchet MS" w:hAnsi="Trebuchet MS"/>
                <w:sz w:val="13"/>
                <w:szCs w:val="13"/>
                <w:color w:val="474C55"/>
              </w:rPr>
              <w:t>CEO</w:t>
            </w:r>
          </w:p>
        </w:tc>
        <w:tc>
          <w:tcPr>
            <w:tcW w:w="1300" w:type="dxa"/>
            <w:vAlign w:val="bottom"/>
          </w:tcPr>
          <w:p>
            <w:pPr>
              <w:jc w:val="right"/>
              <w:ind w:right="497"/>
              <w:spacing w:after="0"/>
              <w:rPr>
                <w:sz w:val="20"/>
                <w:szCs w:val="20"/>
                <w:color w:val="auto"/>
              </w:rPr>
            </w:pPr>
            <w:r>
              <w:rPr>
                <w:rFonts w:ascii="Trebuchet MS" w:cs="Trebuchet MS" w:eastAsia="Trebuchet MS" w:hAnsi="Trebuchet MS"/>
                <w:sz w:val="13"/>
                <w:szCs w:val="13"/>
                <w:color w:val="474C55"/>
              </w:rPr>
              <w:t>58%</w:t>
            </w:r>
          </w:p>
        </w:tc>
      </w:tr>
      <w:tr>
        <w:trPr>
          <w:trHeight w:val="195"/>
        </w:trPr>
        <w:tc>
          <w:tcPr>
            <w:tcW w:w="1360" w:type="dxa"/>
            <w:vAlign w:val="bottom"/>
            <w:tcBorders>
              <w:right w:val="single" w:sz="8" w:color="E2E3E4"/>
            </w:tcBorders>
            <w:shd w:val="clear" w:color="auto" w:fill="E2E3E4"/>
          </w:tcPr>
          <w:p>
            <w:pPr>
              <w:ind w:left="60"/>
              <w:spacing w:after="0"/>
              <w:rPr>
                <w:sz w:val="20"/>
                <w:szCs w:val="20"/>
                <w:color w:val="auto"/>
              </w:rPr>
            </w:pPr>
            <w:r>
              <w:rPr>
                <w:rFonts w:ascii="Trebuchet MS" w:cs="Trebuchet MS" w:eastAsia="Trebuchet MS" w:hAnsi="Trebuchet MS"/>
                <w:sz w:val="13"/>
                <w:szCs w:val="13"/>
                <w:color w:val="474C55"/>
              </w:rPr>
              <w:t>All Other NEOs</w:t>
            </w:r>
          </w:p>
        </w:tc>
        <w:tc>
          <w:tcPr>
            <w:tcW w:w="1300" w:type="dxa"/>
            <w:vAlign w:val="bottom"/>
            <w:shd w:val="clear" w:color="auto" w:fill="E2E3E4"/>
          </w:tcPr>
          <w:p>
            <w:pPr>
              <w:jc w:val="right"/>
              <w:ind w:right="497"/>
              <w:spacing w:after="0"/>
              <w:rPr>
                <w:sz w:val="20"/>
                <w:szCs w:val="20"/>
                <w:color w:val="auto"/>
              </w:rPr>
            </w:pPr>
            <w:r>
              <w:rPr>
                <w:rFonts w:ascii="Trebuchet MS" w:cs="Trebuchet MS" w:eastAsia="Trebuchet MS" w:hAnsi="Trebuchet MS"/>
                <w:sz w:val="13"/>
                <w:szCs w:val="13"/>
                <w:color w:val="474C55"/>
              </w:rPr>
              <w:t>50%</w:t>
            </w:r>
          </w:p>
        </w:tc>
      </w:tr>
      <w:tr>
        <w:trPr>
          <w:trHeight w:val="43"/>
        </w:trPr>
        <w:tc>
          <w:tcPr>
            <w:tcW w:w="1360" w:type="dxa"/>
            <w:vAlign w:val="bottom"/>
            <w:tcBorders>
              <w:right w:val="single" w:sz="8" w:color="E2E3E4"/>
            </w:tcBorders>
            <w:shd w:val="clear" w:color="auto" w:fill="E2E3E4"/>
          </w:tcPr>
          <w:p>
            <w:pPr>
              <w:spacing w:after="0"/>
              <w:rPr>
                <w:sz w:val="3"/>
                <w:szCs w:val="3"/>
                <w:color w:val="auto"/>
              </w:rPr>
            </w:pPr>
          </w:p>
        </w:tc>
        <w:tc>
          <w:tcPr>
            <w:tcW w:w="1300" w:type="dxa"/>
            <w:vAlign w:val="bottom"/>
            <w:shd w:val="clear" w:color="auto" w:fill="E2E3E4"/>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5990590</wp:posOffset>
            </wp:positionH>
            <wp:positionV relativeFrom="paragraph">
              <wp:posOffset>-150495</wp:posOffset>
            </wp:positionV>
            <wp:extent cx="8255" cy="1511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15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160"/>
        <w:spacing w:after="0" w:line="261" w:lineRule="auto"/>
        <w:rPr>
          <w:sz w:val="20"/>
          <w:szCs w:val="20"/>
          <w:color w:val="auto"/>
        </w:rPr>
      </w:pPr>
      <w:r>
        <w:rPr>
          <w:rFonts w:ascii="Arial" w:cs="Arial" w:eastAsia="Arial" w:hAnsi="Arial"/>
          <w:sz w:val="17"/>
          <w:szCs w:val="17"/>
          <w:color w:val="444A54"/>
        </w:rPr>
        <w:t>Although the 2024 executive compensation program uses the same elements and general structure as the 2023 executive compensation program, certain changes were made to base salaries and incentive potential for 2024 as described herein.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17AB5"/>
        </w:rPr>
        <w:t>Base Salary</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444A54"/>
        </w:rPr>
        <w:t>Base salaries are designed to recognize and reward the skill, competency, experience, and performance an executive brings to the position. Changes in base salary result primarily from comparison against peers, individual and Company performance, internal equity considerations, value to the organization, promotions and the executive’s specific responsibilities both internally and compared to market. Base salary adjustments are typically effective annually in January. In reviewing compensation in 2024 for purposes of setting 2025 compensation for our executive officers, the Talent and Compensation Committee made the decision to provide additional salary increases effective September 2024 to the executive officers to maintain more competitive compensation packages that reflect the applicable executive officer’s scope of responsibilities as well as his/her contributions to United Community’s success. The Talent and Compensation Committee did not approve additional increases to the executive officers in January 2025.</w:t>
      </w:r>
    </w:p>
    <w:p>
      <w:pPr>
        <w:spacing w:after="0" w:line="149" w:lineRule="exact"/>
        <w:rPr>
          <w:sz w:val="20"/>
          <w:szCs w:val="20"/>
          <w:color w:val="auto"/>
        </w:rPr>
      </w:pPr>
    </w:p>
    <w:p>
      <w:pPr>
        <w:ind w:right="560"/>
        <w:spacing w:after="0" w:line="261" w:lineRule="auto"/>
        <w:rPr>
          <w:sz w:val="20"/>
          <w:szCs w:val="20"/>
          <w:color w:val="auto"/>
        </w:rPr>
      </w:pPr>
      <w:r>
        <w:rPr>
          <w:rFonts w:ascii="Arial" w:cs="Arial" w:eastAsia="Arial" w:hAnsi="Arial"/>
          <w:sz w:val="17"/>
          <w:szCs w:val="17"/>
          <w:color w:val="444A54"/>
        </w:rPr>
        <w:t>The following table summarizes base salary increases recommended by the Talent and Compensation Committee to the Board, and approved by the Board, as of the effective dates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98425</wp:posOffset>
            </wp:positionV>
            <wp:extent cx="8255" cy="9931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99314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98425</wp:posOffset>
            </wp:positionV>
            <wp:extent cx="8255" cy="9931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993140"/>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98425</wp:posOffset>
            </wp:positionV>
            <wp:extent cx="8255" cy="9931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99314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20" w:type="dxa"/>
            <w:vAlign w:val="bottom"/>
            <w:shd w:val="clear" w:color="auto" w:fill="017AB5"/>
          </w:tcPr>
          <w:p>
            <w:pPr>
              <w:spacing w:after="0"/>
              <w:rPr>
                <w:sz w:val="16"/>
                <w:szCs w:val="16"/>
                <w:color w:val="auto"/>
              </w:rPr>
            </w:pPr>
          </w:p>
        </w:tc>
        <w:tc>
          <w:tcPr>
            <w:tcW w:w="1860" w:type="dxa"/>
            <w:vAlign w:val="bottom"/>
            <w:shd w:val="clear" w:color="auto" w:fill="017AB5"/>
          </w:tcPr>
          <w:p>
            <w:pPr>
              <w:jc w:val="right"/>
              <w:ind w:right="197"/>
              <w:spacing w:after="0"/>
              <w:rPr>
                <w:sz w:val="20"/>
                <w:szCs w:val="20"/>
                <w:color w:val="auto"/>
              </w:rPr>
            </w:pPr>
            <w:r>
              <w:rPr>
                <w:rFonts w:ascii="Arial" w:cs="Arial" w:eastAsia="Arial" w:hAnsi="Arial"/>
                <w:sz w:val="13"/>
                <w:szCs w:val="13"/>
                <w:color w:val="FFFFFF"/>
              </w:rPr>
              <w:t>2023 Base Salary</w:t>
            </w:r>
          </w:p>
        </w:tc>
        <w:tc>
          <w:tcPr>
            <w:tcW w:w="1460" w:type="dxa"/>
            <w:vAlign w:val="bottom"/>
            <w:shd w:val="clear" w:color="auto" w:fill="017AB5"/>
          </w:tcPr>
          <w:p>
            <w:pPr>
              <w:jc w:val="right"/>
              <w:ind w:right="157"/>
              <w:spacing w:after="0"/>
              <w:rPr>
                <w:sz w:val="20"/>
                <w:szCs w:val="20"/>
                <w:color w:val="auto"/>
              </w:rPr>
            </w:pPr>
            <w:r>
              <w:rPr>
                <w:rFonts w:ascii="Arial" w:cs="Arial" w:eastAsia="Arial" w:hAnsi="Arial"/>
                <w:sz w:val="13"/>
                <w:szCs w:val="13"/>
                <w:color w:val="FFFFFF"/>
              </w:rPr>
              <w:t>2024 Base Salary</w:t>
            </w:r>
          </w:p>
        </w:tc>
        <w:tc>
          <w:tcPr>
            <w:tcW w:w="1500" w:type="dxa"/>
            <w:vAlign w:val="bottom"/>
            <w:shd w:val="clear" w:color="auto" w:fill="017AB5"/>
          </w:tcPr>
          <w:p>
            <w:pPr>
              <w:jc w:val="right"/>
              <w:ind w:right="197"/>
              <w:spacing w:after="0"/>
              <w:rPr>
                <w:sz w:val="20"/>
                <w:szCs w:val="20"/>
                <w:color w:val="auto"/>
              </w:rPr>
            </w:pPr>
            <w:r>
              <w:rPr>
                <w:rFonts w:ascii="Arial" w:cs="Arial" w:eastAsia="Arial" w:hAnsi="Arial"/>
                <w:sz w:val="13"/>
                <w:szCs w:val="13"/>
                <w:color w:val="FFFFFF"/>
              </w:rPr>
              <w:t>2024 Base Salary</w:t>
            </w:r>
          </w:p>
        </w:tc>
      </w:tr>
      <w:tr>
        <w:trPr>
          <w:trHeight w:val="138"/>
        </w:trPr>
        <w:tc>
          <w:tcPr>
            <w:tcW w:w="1920" w:type="dxa"/>
            <w:vAlign w:val="bottom"/>
            <w:shd w:val="clear" w:color="auto" w:fill="017AB5"/>
          </w:tcPr>
          <w:p>
            <w:pPr>
              <w:spacing w:after="0"/>
              <w:rPr>
                <w:sz w:val="11"/>
                <w:szCs w:val="11"/>
                <w:color w:val="auto"/>
              </w:rPr>
            </w:pPr>
          </w:p>
        </w:tc>
        <w:tc>
          <w:tcPr>
            <w:tcW w:w="1860" w:type="dxa"/>
            <w:vAlign w:val="bottom"/>
            <w:shd w:val="clear" w:color="auto" w:fill="017AB5"/>
          </w:tcPr>
          <w:p>
            <w:pPr>
              <w:jc w:val="right"/>
              <w:ind w:right="457"/>
              <w:spacing w:after="0" w:line="138" w:lineRule="exact"/>
              <w:rPr>
                <w:sz w:val="20"/>
                <w:szCs w:val="20"/>
                <w:color w:val="auto"/>
              </w:rPr>
            </w:pPr>
            <w:r>
              <w:rPr>
                <w:rFonts w:ascii="Arial" w:cs="Arial" w:eastAsia="Arial" w:hAnsi="Arial"/>
                <w:sz w:val="13"/>
                <w:szCs w:val="13"/>
                <w:color w:val="FFFFFF"/>
              </w:rPr>
              <w:t>effective</w:t>
            </w:r>
          </w:p>
        </w:tc>
        <w:tc>
          <w:tcPr>
            <w:tcW w:w="1460" w:type="dxa"/>
            <w:vAlign w:val="bottom"/>
            <w:shd w:val="clear" w:color="auto" w:fill="017AB5"/>
          </w:tcPr>
          <w:p>
            <w:pPr>
              <w:jc w:val="right"/>
              <w:ind w:right="417"/>
              <w:spacing w:after="0" w:line="138" w:lineRule="exact"/>
              <w:rPr>
                <w:sz w:val="20"/>
                <w:szCs w:val="20"/>
                <w:color w:val="auto"/>
              </w:rPr>
            </w:pPr>
            <w:r>
              <w:rPr>
                <w:rFonts w:ascii="Arial" w:cs="Arial" w:eastAsia="Arial" w:hAnsi="Arial"/>
                <w:sz w:val="13"/>
                <w:szCs w:val="13"/>
                <w:color w:val="FFFFFF"/>
              </w:rPr>
              <w:t>effective</w:t>
            </w:r>
          </w:p>
        </w:tc>
        <w:tc>
          <w:tcPr>
            <w:tcW w:w="1500" w:type="dxa"/>
            <w:vAlign w:val="bottom"/>
            <w:shd w:val="clear" w:color="auto" w:fill="017AB5"/>
          </w:tcPr>
          <w:p>
            <w:pPr>
              <w:jc w:val="right"/>
              <w:ind w:right="457"/>
              <w:spacing w:after="0" w:line="138" w:lineRule="exact"/>
              <w:rPr>
                <w:sz w:val="20"/>
                <w:szCs w:val="20"/>
                <w:color w:val="auto"/>
              </w:rPr>
            </w:pPr>
            <w:r>
              <w:rPr>
                <w:rFonts w:ascii="Arial" w:cs="Arial" w:eastAsia="Arial" w:hAnsi="Arial"/>
                <w:sz w:val="13"/>
                <w:szCs w:val="13"/>
                <w:color w:val="FFFFFF"/>
              </w:rPr>
              <w:t>effective</w:t>
            </w:r>
          </w:p>
        </w:tc>
      </w:tr>
      <w:tr>
        <w:trPr>
          <w:trHeight w:val="175"/>
        </w:trPr>
        <w:tc>
          <w:tcPr>
            <w:tcW w:w="1920" w:type="dxa"/>
            <w:vAlign w:val="bottom"/>
            <w:shd w:val="clear" w:color="auto" w:fill="017AB5"/>
          </w:tcPr>
          <w:p>
            <w:pPr>
              <w:spacing w:after="0"/>
              <w:rPr>
                <w:sz w:val="15"/>
                <w:szCs w:val="15"/>
                <w:color w:val="auto"/>
              </w:rPr>
            </w:pPr>
          </w:p>
        </w:tc>
        <w:tc>
          <w:tcPr>
            <w:tcW w:w="1860" w:type="dxa"/>
            <w:vAlign w:val="bottom"/>
            <w:shd w:val="clear" w:color="auto" w:fill="017AB5"/>
          </w:tcPr>
          <w:p>
            <w:pPr>
              <w:jc w:val="right"/>
              <w:ind w:right="217"/>
              <w:spacing w:after="0"/>
              <w:rPr>
                <w:sz w:val="20"/>
                <w:szCs w:val="20"/>
                <w:color w:val="auto"/>
              </w:rPr>
            </w:pPr>
            <w:r>
              <w:rPr>
                <w:rFonts w:ascii="Arial" w:cs="Arial" w:eastAsia="Arial" w:hAnsi="Arial"/>
                <w:sz w:val="13"/>
                <w:szCs w:val="13"/>
                <w:color w:val="FFFFFF"/>
              </w:rPr>
              <w:t>January 1, 2023</w:t>
            </w:r>
          </w:p>
        </w:tc>
        <w:tc>
          <w:tcPr>
            <w:tcW w:w="1460" w:type="dxa"/>
            <w:vAlign w:val="bottom"/>
            <w:shd w:val="clear" w:color="auto" w:fill="017AB5"/>
          </w:tcPr>
          <w:p>
            <w:pPr>
              <w:jc w:val="right"/>
              <w:ind w:right="197"/>
              <w:spacing w:after="0"/>
              <w:rPr>
                <w:sz w:val="20"/>
                <w:szCs w:val="20"/>
                <w:color w:val="auto"/>
              </w:rPr>
            </w:pPr>
            <w:r>
              <w:rPr>
                <w:rFonts w:ascii="Arial" w:cs="Arial" w:eastAsia="Arial" w:hAnsi="Arial"/>
                <w:sz w:val="13"/>
                <w:szCs w:val="13"/>
                <w:color w:val="FFFFFF"/>
              </w:rPr>
              <w:t>January 1, 2024</w:t>
            </w:r>
          </w:p>
        </w:tc>
        <w:tc>
          <w:tcPr>
            <w:tcW w:w="1500" w:type="dxa"/>
            <w:vAlign w:val="bottom"/>
            <w:shd w:val="clear" w:color="auto" w:fill="017AB5"/>
          </w:tcPr>
          <w:p>
            <w:pPr>
              <w:jc w:val="right"/>
              <w:ind w:right="137"/>
              <w:spacing w:after="0"/>
              <w:rPr>
                <w:sz w:val="20"/>
                <w:szCs w:val="20"/>
                <w:color w:val="auto"/>
              </w:rPr>
            </w:pPr>
            <w:r>
              <w:rPr>
                <w:rFonts w:ascii="Arial" w:cs="Arial" w:eastAsia="Arial" w:hAnsi="Arial"/>
                <w:sz w:val="13"/>
                <w:szCs w:val="13"/>
                <w:color w:val="FFFFFF"/>
              </w:rPr>
              <w:t>September 1, 2024</w:t>
            </w:r>
          </w:p>
        </w:tc>
      </w:tr>
      <w:tr>
        <w:trPr>
          <w:trHeight w:val="208"/>
        </w:trPr>
        <w:tc>
          <w:tcPr>
            <w:tcW w:w="1920" w:type="dxa"/>
            <w:vAlign w:val="bottom"/>
          </w:tcPr>
          <w:p>
            <w:pPr>
              <w:ind w:left="60"/>
              <w:spacing w:after="0"/>
              <w:rPr>
                <w:sz w:val="20"/>
                <w:szCs w:val="20"/>
                <w:color w:val="auto"/>
              </w:rPr>
            </w:pPr>
            <w:r>
              <w:rPr>
                <w:rFonts w:ascii="Arial" w:cs="Arial" w:eastAsia="Arial" w:hAnsi="Arial"/>
                <w:sz w:val="13"/>
                <w:szCs w:val="13"/>
                <w:color w:val="444A54"/>
              </w:rPr>
              <w:t>H. Lynn Harton</w:t>
            </w:r>
          </w:p>
        </w:tc>
        <w:tc>
          <w:tcPr>
            <w:tcW w:w="1860" w:type="dxa"/>
            <w:vAlign w:val="bottom"/>
          </w:tcPr>
          <w:p>
            <w:pPr>
              <w:jc w:val="right"/>
              <w:ind w:right="337"/>
              <w:spacing w:after="0"/>
              <w:rPr>
                <w:sz w:val="20"/>
                <w:szCs w:val="20"/>
                <w:color w:val="auto"/>
              </w:rPr>
            </w:pPr>
            <w:r>
              <w:rPr>
                <w:rFonts w:ascii="Arial" w:cs="Arial" w:eastAsia="Arial" w:hAnsi="Arial"/>
                <w:sz w:val="13"/>
                <w:szCs w:val="13"/>
                <w:color w:val="444A54"/>
              </w:rPr>
              <w:t>$ 1,050,000</w:t>
            </w:r>
          </w:p>
        </w:tc>
        <w:tc>
          <w:tcPr>
            <w:tcW w:w="1460" w:type="dxa"/>
            <w:vAlign w:val="bottom"/>
          </w:tcPr>
          <w:p>
            <w:pPr>
              <w:jc w:val="right"/>
              <w:ind w:right="317"/>
              <w:spacing w:after="0"/>
              <w:rPr>
                <w:sz w:val="20"/>
                <w:szCs w:val="20"/>
                <w:color w:val="auto"/>
              </w:rPr>
            </w:pPr>
            <w:r>
              <w:rPr>
                <w:rFonts w:ascii="Arial" w:cs="Arial" w:eastAsia="Arial" w:hAnsi="Arial"/>
                <w:sz w:val="13"/>
                <w:szCs w:val="13"/>
                <w:color w:val="444A54"/>
              </w:rPr>
              <w:t>$ 1,081,500</w:t>
            </w:r>
          </w:p>
        </w:tc>
        <w:tc>
          <w:tcPr>
            <w:tcW w:w="1500" w:type="dxa"/>
            <w:vAlign w:val="bottom"/>
          </w:tcPr>
          <w:p>
            <w:pPr>
              <w:jc w:val="right"/>
              <w:ind w:right="357"/>
              <w:spacing w:after="0"/>
              <w:rPr>
                <w:sz w:val="20"/>
                <w:szCs w:val="20"/>
                <w:color w:val="auto"/>
              </w:rPr>
            </w:pPr>
            <w:r>
              <w:rPr>
                <w:rFonts w:ascii="Arial" w:cs="Arial" w:eastAsia="Arial" w:hAnsi="Arial"/>
                <w:sz w:val="13"/>
                <w:szCs w:val="13"/>
                <w:color w:val="444A54"/>
              </w:rPr>
              <w:t>$ 1,125,000</w:t>
            </w:r>
          </w:p>
        </w:tc>
      </w:tr>
      <w:tr>
        <w:trPr>
          <w:trHeight w:val="218"/>
        </w:trPr>
        <w:tc>
          <w:tcPr>
            <w:tcW w:w="1920" w:type="dxa"/>
            <w:vAlign w:val="bottom"/>
            <w:shd w:val="clear" w:color="auto" w:fill="E5E6E6"/>
          </w:tcPr>
          <w:p>
            <w:pPr>
              <w:ind w:left="60"/>
              <w:spacing w:after="0"/>
              <w:rPr>
                <w:sz w:val="20"/>
                <w:szCs w:val="20"/>
                <w:color w:val="auto"/>
              </w:rPr>
            </w:pPr>
            <w:r>
              <w:rPr>
                <w:rFonts w:ascii="Arial" w:cs="Arial" w:eastAsia="Arial" w:hAnsi="Arial"/>
                <w:sz w:val="13"/>
                <w:szCs w:val="13"/>
                <w:color w:val="444A54"/>
              </w:rPr>
              <w:t>Jefferson L. Harralson</w:t>
            </w:r>
          </w:p>
        </w:tc>
        <w:tc>
          <w:tcPr>
            <w:tcW w:w="1860" w:type="dxa"/>
            <w:vAlign w:val="bottom"/>
            <w:shd w:val="clear" w:color="auto" w:fill="E5E6E6"/>
          </w:tcPr>
          <w:p>
            <w:pPr>
              <w:jc w:val="right"/>
              <w:ind w:right="337"/>
              <w:spacing w:after="0"/>
              <w:rPr>
                <w:sz w:val="20"/>
                <w:szCs w:val="20"/>
                <w:color w:val="auto"/>
              </w:rPr>
            </w:pPr>
            <w:r>
              <w:rPr>
                <w:rFonts w:ascii="Arial" w:cs="Arial" w:eastAsia="Arial" w:hAnsi="Arial"/>
                <w:sz w:val="13"/>
                <w:szCs w:val="13"/>
                <w:color w:val="444A54"/>
              </w:rPr>
              <w:t>515,000</w:t>
            </w:r>
          </w:p>
        </w:tc>
        <w:tc>
          <w:tcPr>
            <w:tcW w:w="1460" w:type="dxa"/>
            <w:vAlign w:val="bottom"/>
            <w:shd w:val="clear" w:color="auto" w:fill="E5E6E6"/>
          </w:tcPr>
          <w:p>
            <w:pPr>
              <w:jc w:val="right"/>
              <w:ind w:right="317"/>
              <w:spacing w:after="0"/>
              <w:rPr>
                <w:sz w:val="20"/>
                <w:szCs w:val="20"/>
                <w:color w:val="auto"/>
              </w:rPr>
            </w:pPr>
            <w:r>
              <w:rPr>
                <w:rFonts w:ascii="Arial" w:cs="Arial" w:eastAsia="Arial" w:hAnsi="Arial"/>
                <w:sz w:val="13"/>
                <w:szCs w:val="13"/>
                <w:color w:val="444A54"/>
              </w:rPr>
              <w:t>530,000</w:t>
            </w:r>
          </w:p>
        </w:tc>
        <w:tc>
          <w:tcPr>
            <w:tcW w:w="1500" w:type="dxa"/>
            <w:vAlign w:val="bottom"/>
            <w:shd w:val="clear" w:color="auto" w:fill="E5E6E6"/>
          </w:tcPr>
          <w:p>
            <w:pPr>
              <w:jc w:val="right"/>
              <w:ind w:right="357"/>
              <w:spacing w:after="0"/>
              <w:rPr>
                <w:sz w:val="20"/>
                <w:szCs w:val="20"/>
                <w:color w:val="auto"/>
              </w:rPr>
            </w:pPr>
            <w:r>
              <w:rPr>
                <w:rFonts w:ascii="Arial" w:cs="Arial" w:eastAsia="Arial" w:hAnsi="Arial"/>
                <w:sz w:val="13"/>
                <w:szCs w:val="13"/>
                <w:color w:val="444A54"/>
              </w:rPr>
              <w:t>550,000</w:t>
            </w:r>
          </w:p>
        </w:tc>
      </w:tr>
      <w:tr>
        <w:trPr>
          <w:trHeight w:val="190"/>
        </w:trPr>
        <w:tc>
          <w:tcPr>
            <w:tcW w:w="1920" w:type="dxa"/>
            <w:vAlign w:val="bottom"/>
          </w:tcPr>
          <w:p>
            <w:pPr>
              <w:ind w:left="60"/>
              <w:spacing w:after="0"/>
              <w:rPr>
                <w:sz w:val="20"/>
                <w:szCs w:val="20"/>
                <w:color w:val="auto"/>
              </w:rPr>
            </w:pPr>
            <w:r>
              <w:rPr>
                <w:rFonts w:ascii="Arial" w:cs="Arial" w:eastAsia="Arial" w:hAnsi="Arial"/>
                <w:sz w:val="13"/>
                <w:szCs w:val="13"/>
                <w:color w:val="444A54"/>
              </w:rPr>
              <w:t>Richard W. Bradshaw</w:t>
            </w:r>
          </w:p>
        </w:tc>
        <w:tc>
          <w:tcPr>
            <w:tcW w:w="1860" w:type="dxa"/>
            <w:vAlign w:val="bottom"/>
          </w:tcPr>
          <w:p>
            <w:pPr>
              <w:jc w:val="right"/>
              <w:ind w:right="337"/>
              <w:spacing w:after="0"/>
              <w:rPr>
                <w:sz w:val="20"/>
                <w:szCs w:val="20"/>
                <w:color w:val="auto"/>
              </w:rPr>
            </w:pPr>
            <w:r>
              <w:rPr>
                <w:rFonts w:ascii="Arial" w:cs="Arial" w:eastAsia="Arial" w:hAnsi="Arial"/>
                <w:sz w:val="13"/>
                <w:szCs w:val="13"/>
                <w:color w:val="444A54"/>
              </w:rPr>
              <w:t>600,000</w:t>
            </w:r>
          </w:p>
        </w:tc>
        <w:tc>
          <w:tcPr>
            <w:tcW w:w="1460" w:type="dxa"/>
            <w:vAlign w:val="bottom"/>
          </w:tcPr>
          <w:p>
            <w:pPr>
              <w:jc w:val="right"/>
              <w:ind w:right="317"/>
              <w:spacing w:after="0"/>
              <w:rPr>
                <w:sz w:val="20"/>
                <w:szCs w:val="20"/>
                <w:color w:val="auto"/>
              </w:rPr>
            </w:pPr>
            <w:r>
              <w:rPr>
                <w:rFonts w:ascii="Arial" w:cs="Arial" w:eastAsia="Arial" w:hAnsi="Arial"/>
                <w:sz w:val="13"/>
                <w:szCs w:val="13"/>
                <w:color w:val="444A54"/>
              </w:rPr>
              <w:t>625,000</w:t>
            </w:r>
          </w:p>
        </w:tc>
        <w:tc>
          <w:tcPr>
            <w:tcW w:w="1500" w:type="dxa"/>
            <w:vAlign w:val="bottom"/>
          </w:tcPr>
          <w:p>
            <w:pPr>
              <w:jc w:val="right"/>
              <w:ind w:right="357"/>
              <w:spacing w:after="0"/>
              <w:rPr>
                <w:sz w:val="20"/>
                <w:szCs w:val="20"/>
                <w:color w:val="auto"/>
              </w:rPr>
            </w:pPr>
            <w:r>
              <w:rPr>
                <w:rFonts w:ascii="Arial" w:cs="Arial" w:eastAsia="Arial" w:hAnsi="Arial"/>
                <w:sz w:val="13"/>
                <w:szCs w:val="13"/>
                <w:color w:val="444A54"/>
              </w:rPr>
              <w:t>675,000</w:t>
            </w:r>
          </w:p>
        </w:tc>
      </w:tr>
      <w:tr>
        <w:trPr>
          <w:trHeight w:val="23"/>
        </w:trPr>
        <w:tc>
          <w:tcPr>
            <w:tcW w:w="1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0"/>
        </w:trPr>
        <w:tc>
          <w:tcPr>
            <w:tcW w:w="1920" w:type="dxa"/>
            <w:vAlign w:val="bottom"/>
            <w:shd w:val="clear" w:color="auto" w:fill="E5E6E6"/>
          </w:tcPr>
          <w:p>
            <w:pPr>
              <w:ind w:left="60"/>
              <w:spacing w:after="0"/>
              <w:rPr>
                <w:sz w:val="20"/>
                <w:szCs w:val="20"/>
                <w:color w:val="auto"/>
              </w:rPr>
            </w:pPr>
            <w:r>
              <w:rPr>
                <w:rFonts w:ascii="Arial" w:cs="Arial" w:eastAsia="Arial" w:hAnsi="Arial"/>
                <w:sz w:val="13"/>
                <w:szCs w:val="13"/>
                <w:color w:val="444A54"/>
              </w:rPr>
              <w:t>Melinda Davis Lux</w:t>
            </w:r>
          </w:p>
        </w:tc>
        <w:tc>
          <w:tcPr>
            <w:tcW w:w="1860" w:type="dxa"/>
            <w:vAlign w:val="bottom"/>
            <w:shd w:val="clear" w:color="auto" w:fill="E5E6E6"/>
          </w:tcPr>
          <w:p>
            <w:pPr>
              <w:jc w:val="right"/>
              <w:ind w:right="337"/>
              <w:spacing w:after="0"/>
              <w:rPr>
                <w:sz w:val="20"/>
                <w:szCs w:val="20"/>
                <w:color w:val="auto"/>
              </w:rPr>
            </w:pPr>
            <w:r>
              <w:rPr>
                <w:rFonts w:ascii="Arial" w:cs="Arial" w:eastAsia="Arial" w:hAnsi="Arial"/>
                <w:sz w:val="13"/>
                <w:szCs w:val="13"/>
                <w:color w:val="444A54"/>
              </w:rPr>
              <w:t>450,000</w:t>
            </w:r>
          </w:p>
        </w:tc>
        <w:tc>
          <w:tcPr>
            <w:tcW w:w="1460" w:type="dxa"/>
            <w:vAlign w:val="bottom"/>
            <w:shd w:val="clear" w:color="auto" w:fill="E5E6E6"/>
          </w:tcPr>
          <w:p>
            <w:pPr>
              <w:jc w:val="right"/>
              <w:ind w:right="317"/>
              <w:spacing w:after="0"/>
              <w:rPr>
                <w:sz w:val="20"/>
                <w:szCs w:val="20"/>
                <w:color w:val="auto"/>
              </w:rPr>
            </w:pPr>
            <w:r>
              <w:rPr>
                <w:rFonts w:ascii="Arial" w:cs="Arial" w:eastAsia="Arial" w:hAnsi="Arial"/>
                <w:sz w:val="13"/>
                <w:szCs w:val="13"/>
                <w:color w:val="444A54"/>
              </w:rPr>
              <w:t>475,000</w:t>
            </w:r>
          </w:p>
        </w:tc>
        <w:tc>
          <w:tcPr>
            <w:tcW w:w="1500" w:type="dxa"/>
            <w:vAlign w:val="bottom"/>
            <w:shd w:val="clear" w:color="auto" w:fill="E5E6E6"/>
          </w:tcPr>
          <w:p>
            <w:pPr>
              <w:jc w:val="right"/>
              <w:ind w:right="357"/>
              <w:spacing w:after="0"/>
              <w:rPr>
                <w:sz w:val="20"/>
                <w:szCs w:val="20"/>
                <w:color w:val="auto"/>
              </w:rPr>
            </w:pPr>
            <w:r>
              <w:rPr>
                <w:rFonts w:ascii="Arial" w:cs="Arial" w:eastAsia="Arial" w:hAnsi="Arial"/>
                <w:sz w:val="13"/>
                <w:szCs w:val="13"/>
                <w:color w:val="444A54"/>
              </w:rPr>
              <w:t>550,000</w:t>
            </w:r>
          </w:p>
        </w:tc>
      </w:tr>
      <w:tr>
        <w:trPr>
          <w:trHeight w:val="190"/>
        </w:trPr>
        <w:tc>
          <w:tcPr>
            <w:tcW w:w="1920" w:type="dxa"/>
            <w:vAlign w:val="bottom"/>
          </w:tcPr>
          <w:p>
            <w:pPr>
              <w:ind w:left="60"/>
              <w:spacing w:after="0"/>
              <w:rPr>
                <w:sz w:val="20"/>
                <w:szCs w:val="20"/>
                <w:color w:val="auto"/>
              </w:rPr>
            </w:pPr>
            <w:r>
              <w:rPr>
                <w:rFonts w:ascii="Arial" w:cs="Arial" w:eastAsia="Arial" w:hAnsi="Arial"/>
                <w:sz w:val="13"/>
                <w:szCs w:val="13"/>
                <w:color w:val="444A54"/>
              </w:rPr>
              <w:t>Robert A. Edwards</w:t>
            </w:r>
          </w:p>
        </w:tc>
        <w:tc>
          <w:tcPr>
            <w:tcW w:w="1860" w:type="dxa"/>
            <w:vAlign w:val="bottom"/>
          </w:tcPr>
          <w:p>
            <w:pPr>
              <w:jc w:val="right"/>
              <w:ind w:right="337"/>
              <w:spacing w:after="0"/>
              <w:rPr>
                <w:sz w:val="20"/>
                <w:szCs w:val="20"/>
                <w:color w:val="auto"/>
              </w:rPr>
            </w:pPr>
            <w:r>
              <w:rPr>
                <w:rFonts w:ascii="Arial" w:cs="Arial" w:eastAsia="Arial" w:hAnsi="Arial"/>
                <w:sz w:val="13"/>
                <w:szCs w:val="13"/>
                <w:color w:val="444A54"/>
              </w:rPr>
              <w:t>450,000</w:t>
            </w:r>
          </w:p>
        </w:tc>
        <w:tc>
          <w:tcPr>
            <w:tcW w:w="1460" w:type="dxa"/>
            <w:vAlign w:val="bottom"/>
          </w:tcPr>
          <w:p>
            <w:pPr>
              <w:jc w:val="right"/>
              <w:ind w:right="317"/>
              <w:spacing w:after="0"/>
              <w:rPr>
                <w:sz w:val="20"/>
                <w:szCs w:val="20"/>
                <w:color w:val="auto"/>
              </w:rPr>
            </w:pPr>
            <w:r>
              <w:rPr>
                <w:rFonts w:ascii="Arial" w:cs="Arial" w:eastAsia="Arial" w:hAnsi="Arial"/>
                <w:sz w:val="13"/>
                <w:szCs w:val="13"/>
                <w:color w:val="444A54"/>
              </w:rPr>
              <w:t>465,000</w:t>
            </w:r>
          </w:p>
        </w:tc>
        <w:tc>
          <w:tcPr>
            <w:tcW w:w="1500" w:type="dxa"/>
            <w:vAlign w:val="bottom"/>
          </w:tcPr>
          <w:p>
            <w:pPr>
              <w:jc w:val="right"/>
              <w:ind w:right="357"/>
              <w:spacing w:after="0"/>
              <w:rPr>
                <w:sz w:val="20"/>
                <w:szCs w:val="20"/>
                <w:color w:val="auto"/>
              </w:rPr>
            </w:pPr>
            <w:r>
              <w:rPr>
                <w:rFonts w:ascii="Arial" w:cs="Arial" w:eastAsia="Arial" w:hAnsi="Arial"/>
                <w:sz w:val="13"/>
                <w:szCs w:val="13"/>
                <w:color w:val="444A54"/>
              </w:rPr>
              <w:t>500,000</w:t>
            </w:r>
          </w:p>
        </w:tc>
      </w:tr>
      <w:tr>
        <w:trPr>
          <w:trHeight w:val="23"/>
        </w:trPr>
        <w:tc>
          <w:tcPr>
            <w:tcW w:w="1920" w:type="dxa"/>
            <w:vAlign w:val="bottom"/>
            <w:tcBorders>
              <w:bottom w:val="single" w:sz="8" w:color="E5E6E6"/>
            </w:tcBorders>
          </w:tcPr>
          <w:p>
            <w:pPr>
              <w:spacing w:after="0" w:line="20" w:lineRule="exact"/>
              <w:rPr>
                <w:sz w:val="1"/>
                <w:szCs w:val="1"/>
                <w:color w:val="auto"/>
              </w:rPr>
            </w:pPr>
          </w:p>
        </w:tc>
        <w:tc>
          <w:tcPr>
            <w:tcW w:w="1860" w:type="dxa"/>
            <w:vAlign w:val="bottom"/>
            <w:tcBorders>
              <w:bottom w:val="single" w:sz="8" w:color="E5E6E6"/>
            </w:tcBorders>
          </w:tcPr>
          <w:p>
            <w:pPr>
              <w:spacing w:after="0" w:line="20" w:lineRule="exact"/>
              <w:rPr>
                <w:sz w:val="1"/>
                <w:szCs w:val="1"/>
                <w:color w:val="auto"/>
              </w:rPr>
            </w:pPr>
          </w:p>
        </w:tc>
        <w:tc>
          <w:tcPr>
            <w:tcW w:w="1460" w:type="dxa"/>
            <w:vAlign w:val="bottom"/>
            <w:tcBorders>
              <w:bottom w:val="single" w:sz="8" w:color="E5E6E6"/>
            </w:tcBorders>
          </w:tcPr>
          <w:p>
            <w:pPr>
              <w:spacing w:after="0" w:line="20" w:lineRule="exact"/>
              <w:rPr>
                <w:sz w:val="1"/>
                <w:szCs w:val="1"/>
                <w:color w:val="auto"/>
              </w:rPr>
            </w:pPr>
          </w:p>
        </w:tc>
        <w:tc>
          <w:tcPr>
            <w:tcW w:w="1500" w:type="dxa"/>
            <w:vAlign w:val="bottom"/>
            <w:tcBorders>
              <w:bottom w:val="single" w:sz="8" w:color="E5E6E6"/>
            </w:tcBorders>
          </w:tcPr>
          <w:p>
            <w:pPr>
              <w:spacing w:after="0" w:line="20" w:lineRule="exact"/>
              <w:rPr>
                <w:sz w:val="1"/>
                <w:szCs w:val="1"/>
                <w:color w:val="auto"/>
              </w:rPr>
            </w:pPr>
          </w:p>
        </w:tc>
      </w:tr>
    </w:tbl>
    <w:p>
      <w:pPr>
        <w:spacing w:after="0" w:line="3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303"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17AB5"/>
        </w:rPr>
        <w:t>Annual Cash Incentive Awards</w:t>
      </w:r>
    </w:p>
    <w:p>
      <w:pPr>
        <w:spacing w:after="0" w:line="180"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444A54"/>
        </w:rPr>
        <w:t>The Talent and Compensation Committee believes that a significant portion of executive compensation should be linked directly to the achievement of specified financial and nonfinancial objectives. Our Management Incentive Plan is a pay-for-performance plan that governs the amount of cash incentive compensation we award annually to our executive officers. Under the Management Incentive Plan, the Talent and Compensation Committee determines eligibility, the threshold, target and maximum payout potential and the corporate performance criteria and qualitative measures used to determine awards. Those measures are generally based on annual corporate and financial performance goals established at threshold, target and maximum levels based on our strategic and operating objectives. At the end of each year, the actual performance for each of the criteria is measured separately against target level. Corporate performance that meets the target level results in a 100% payout. Awards are prorated for actual performance results between levels (e.g., between threshold, target and maximum). The Talent and Compensation Committee has discretion to modify awards under the Management Incentive Plan.</w:t>
      </w:r>
    </w:p>
    <w:p>
      <w:pPr>
        <w:spacing w:after="0" w:line="161"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444A54"/>
        </w:rPr>
        <w:t>In order to qualify for an annual cash incentive award, individual performance must also meet expectations of the CEO, the Talent and Compensation Committee and the Board. The CEO evaluates and reports to the Talent and Compensation Committee on the performance of each of the other executive officers, which includes our NEOs, in each case versus previously established goals. The Talent and Compensation Committee also has input into each of our executive officer’s performance evaluations. The Talent and Compensation Committee evaluates the performance of the CEO primarily based on Company performance relative to the strategic plan and annual business plan.</w:t>
      </w:r>
    </w:p>
    <w:p>
      <w:pPr>
        <w:spacing w:after="0" w:line="157"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444A54"/>
        </w:rPr>
        <w:t>The Talent and Compensation Committee set and approved the following six performance criteria as well as the assigned weight for each criterion, the threshold, target and maximum performance level for each criterion relative to 2024 annual cash incentive awards. The performance criteria, the assigned weight for each criterion, and the threshold, target and maximum performance payout potential for each criterion relative to 2024 annual cash incentive awards and performance period were unchanged from those of the 2023 annual cash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5712460" cy="2540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12460" cy="25400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0" w:type="dxa"/>
            <w:vAlign w:val="bottom"/>
            <w:shd w:val="clear" w:color="auto" w:fill="017AB5"/>
          </w:tcPr>
          <w:p>
            <w:pPr>
              <w:jc w:val="center"/>
              <w:spacing w:after="0"/>
              <w:rPr>
                <w:sz w:val="20"/>
                <w:szCs w:val="20"/>
                <w:color w:val="auto"/>
              </w:rPr>
            </w:pPr>
            <w:r>
              <w:rPr>
                <w:rFonts w:ascii="Arial" w:cs="Arial" w:eastAsia="Arial" w:hAnsi="Arial"/>
                <w:sz w:val="13"/>
                <w:szCs w:val="13"/>
                <w:color w:val="FFFFFF"/>
                <w:w w:val="99"/>
              </w:rPr>
              <w:t>50%</w:t>
            </w:r>
          </w:p>
        </w:tc>
        <w:tc>
          <w:tcPr>
            <w:tcW w:w="1340" w:type="dxa"/>
            <w:vAlign w:val="bottom"/>
            <w:shd w:val="clear" w:color="auto" w:fill="017AB5"/>
          </w:tcPr>
          <w:p>
            <w:pPr>
              <w:jc w:val="center"/>
              <w:ind w:right="77"/>
              <w:spacing w:after="0"/>
              <w:rPr>
                <w:sz w:val="20"/>
                <w:szCs w:val="20"/>
                <w:color w:val="auto"/>
              </w:rPr>
            </w:pPr>
            <w:r>
              <w:rPr>
                <w:rFonts w:ascii="Arial" w:cs="Arial" w:eastAsia="Arial" w:hAnsi="Arial"/>
                <w:sz w:val="13"/>
                <w:szCs w:val="13"/>
                <w:color w:val="FFFFFF"/>
                <w:w w:val="96"/>
              </w:rPr>
              <w:t>100%</w:t>
            </w:r>
          </w:p>
        </w:tc>
        <w:tc>
          <w:tcPr>
            <w:tcW w:w="1180" w:type="dxa"/>
            <w:vAlign w:val="bottom"/>
            <w:shd w:val="clear" w:color="auto" w:fill="017AB5"/>
          </w:tcPr>
          <w:p>
            <w:pPr>
              <w:jc w:val="right"/>
              <w:ind w:right="397"/>
              <w:spacing w:after="0"/>
              <w:rPr>
                <w:sz w:val="20"/>
                <w:szCs w:val="20"/>
                <w:color w:val="auto"/>
              </w:rPr>
            </w:pPr>
            <w:r>
              <w:rPr>
                <w:rFonts w:ascii="Arial" w:cs="Arial" w:eastAsia="Arial" w:hAnsi="Arial"/>
                <w:sz w:val="13"/>
                <w:szCs w:val="13"/>
                <w:color w:val="FFFFFF"/>
              </w:rPr>
              <w:t>150%</w:t>
            </w:r>
          </w:p>
        </w:tc>
      </w:tr>
      <w:tr>
        <w:trPr>
          <w:trHeight w:val="201"/>
        </w:trPr>
        <w:tc>
          <w:tcPr>
            <w:tcW w:w="3200" w:type="dxa"/>
            <w:vAlign w:val="bottom"/>
            <w:shd w:val="clear" w:color="auto" w:fill="017AB5"/>
          </w:tcPr>
          <w:p>
            <w:pPr>
              <w:ind w:left="80"/>
              <w:spacing w:after="0"/>
              <w:rPr>
                <w:sz w:val="20"/>
                <w:szCs w:val="20"/>
                <w:color w:val="auto"/>
              </w:rPr>
            </w:pPr>
            <w:r>
              <w:rPr>
                <w:rFonts w:ascii="Arial" w:cs="Arial" w:eastAsia="Arial" w:hAnsi="Arial"/>
                <w:sz w:val="13"/>
                <w:szCs w:val="13"/>
                <w:color w:val="FFFFFF"/>
              </w:rPr>
              <w:t>Performance Criteria</w:t>
            </w:r>
          </w:p>
        </w:tc>
        <w:tc>
          <w:tcPr>
            <w:tcW w:w="1860" w:type="dxa"/>
            <w:vAlign w:val="bottom"/>
            <w:shd w:val="clear" w:color="auto" w:fill="017AB5"/>
          </w:tcPr>
          <w:p>
            <w:pPr>
              <w:ind w:left="780"/>
              <w:spacing w:after="0"/>
              <w:rPr>
                <w:sz w:val="20"/>
                <w:szCs w:val="20"/>
                <w:color w:val="auto"/>
              </w:rPr>
            </w:pPr>
            <w:r>
              <w:rPr>
                <w:rFonts w:ascii="Arial" w:cs="Arial" w:eastAsia="Arial" w:hAnsi="Arial"/>
                <w:sz w:val="13"/>
                <w:szCs w:val="13"/>
                <w:color w:val="FFFFFF"/>
              </w:rPr>
              <w:t>Overall Weight</w:t>
            </w:r>
          </w:p>
        </w:tc>
        <w:tc>
          <w:tcPr>
            <w:tcW w:w="1400" w:type="dxa"/>
            <w:vAlign w:val="bottom"/>
            <w:shd w:val="clear" w:color="auto" w:fill="017AB5"/>
          </w:tcPr>
          <w:p>
            <w:pPr>
              <w:jc w:val="center"/>
              <w:spacing w:after="0"/>
              <w:rPr>
                <w:sz w:val="20"/>
                <w:szCs w:val="20"/>
                <w:color w:val="auto"/>
              </w:rPr>
            </w:pPr>
            <w:r>
              <w:rPr>
                <w:rFonts w:ascii="Arial" w:cs="Arial" w:eastAsia="Arial" w:hAnsi="Arial"/>
                <w:sz w:val="13"/>
                <w:szCs w:val="13"/>
                <w:color w:val="FFFFFF"/>
                <w:w w:val="93"/>
              </w:rPr>
              <w:t>Threshold</w:t>
            </w:r>
          </w:p>
        </w:tc>
        <w:tc>
          <w:tcPr>
            <w:tcW w:w="1340" w:type="dxa"/>
            <w:vAlign w:val="bottom"/>
            <w:shd w:val="clear" w:color="auto" w:fill="017AB5"/>
          </w:tcPr>
          <w:p>
            <w:pPr>
              <w:jc w:val="center"/>
              <w:ind w:right="57"/>
              <w:spacing w:after="0"/>
              <w:rPr>
                <w:sz w:val="20"/>
                <w:szCs w:val="20"/>
                <w:color w:val="auto"/>
              </w:rPr>
            </w:pPr>
            <w:r>
              <w:rPr>
                <w:rFonts w:ascii="Arial" w:cs="Arial" w:eastAsia="Arial" w:hAnsi="Arial"/>
                <w:sz w:val="13"/>
                <w:szCs w:val="13"/>
                <w:color w:val="FFFFFF"/>
                <w:w w:val="90"/>
              </w:rPr>
              <w:t>Target</w:t>
            </w:r>
          </w:p>
        </w:tc>
        <w:tc>
          <w:tcPr>
            <w:tcW w:w="1180" w:type="dxa"/>
            <w:vAlign w:val="bottom"/>
            <w:shd w:val="clear" w:color="auto" w:fill="017AB5"/>
          </w:tcPr>
          <w:p>
            <w:pPr>
              <w:jc w:val="right"/>
              <w:ind w:right="277"/>
              <w:spacing w:after="0"/>
              <w:rPr>
                <w:sz w:val="20"/>
                <w:szCs w:val="20"/>
                <w:color w:val="auto"/>
              </w:rPr>
            </w:pPr>
            <w:r>
              <w:rPr>
                <w:rFonts w:ascii="Arial" w:cs="Arial" w:eastAsia="Arial" w:hAnsi="Arial"/>
                <w:sz w:val="13"/>
                <w:szCs w:val="13"/>
                <w:color w:val="FFFFFF"/>
              </w:rPr>
              <w:t>Maximum</w:t>
            </w:r>
          </w:p>
        </w:tc>
      </w:tr>
      <w:tr>
        <w:trPr>
          <w:trHeight w:val="195"/>
        </w:trPr>
        <w:tc>
          <w:tcPr>
            <w:tcW w:w="3200" w:type="dxa"/>
            <w:vAlign w:val="bottom"/>
          </w:tcPr>
          <w:p>
            <w:pPr>
              <w:ind w:left="80"/>
              <w:spacing w:after="0"/>
              <w:rPr>
                <w:sz w:val="20"/>
                <w:szCs w:val="20"/>
                <w:color w:val="auto"/>
              </w:rPr>
            </w:pPr>
            <w:r>
              <w:rPr>
                <w:rFonts w:ascii="Arial" w:cs="Arial" w:eastAsia="Arial" w:hAnsi="Arial"/>
                <w:sz w:val="13"/>
                <w:szCs w:val="13"/>
                <w:color w:val="444A54"/>
              </w:rPr>
              <w:t>Pre-Tax Pre-Provision Earnings per Share</w:t>
            </w:r>
          </w:p>
        </w:tc>
        <w:tc>
          <w:tcPr>
            <w:tcW w:w="1860" w:type="dxa"/>
            <w:vAlign w:val="bottom"/>
          </w:tcPr>
          <w:p>
            <w:pPr>
              <w:ind w:left="1340"/>
              <w:spacing w:after="0"/>
              <w:rPr>
                <w:sz w:val="20"/>
                <w:szCs w:val="20"/>
                <w:color w:val="auto"/>
              </w:rPr>
            </w:pPr>
            <w:r>
              <w:rPr>
                <w:rFonts w:ascii="Arial" w:cs="Arial" w:eastAsia="Arial" w:hAnsi="Arial"/>
                <w:sz w:val="13"/>
                <w:szCs w:val="13"/>
                <w:color w:val="444A54"/>
              </w:rPr>
              <w:t>20.0 %</w:t>
            </w:r>
          </w:p>
        </w:tc>
        <w:tc>
          <w:tcPr>
            <w:tcW w:w="1400" w:type="dxa"/>
            <w:vAlign w:val="bottom"/>
          </w:tcPr>
          <w:p>
            <w:pPr>
              <w:jc w:val="right"/>
              <w:ind w:right="257"/>
              <w:spacing w:after="0"/>
              <w:rPr>
                <w:sz w:val="20"/>
                <w:szCs w:val="20"/>
                <w:color w:val="auto"/>
              </w:rPr>
            </w:pPr>
            <w:r>
              <w:rPr>
                <w:rFonts w:ascii="Arial" w:cs="Arial" w:eastAsia="Arial" w:hAnsi="Arial"/>
                <w:sz w:val="13"/>
                <w:szCs w:val="13"/>
                <w:color w:val="444A54"/>
              </w:rPr>
              <w:t>$ 3.10</w:t>
            </w:r>
          </w:p>
        </w:tc>
        <w:tc>
          <w:tcPr>
            <w:tcW w:w="1340" w:type="dxa"/>
            <w:vAlign w:val="bottom"/>
          </w:tcPr>
          <w:p>
            <w:pPr>
              <w:jc w:val="right"/>
              <w:ind w:right="277"/>
              <w:spacing w:after="0"/>
              <w:rPr>
                <w:sz w:val="20"/>
                <w:szCs w:val="20"/>
                <w:color w:val="auto"/>
              </w:rPr>
            </w:pPr>
            <w:r>
              <w:rPr>
                <w:rFonts w:ascii="Arial" w:cs="Arial" w:eastAsia="Arial" w:hAnsi="Arial"/>
                <w:sz w:val="13"/>
                <w:szCs w:val="13"/>
                <w:color w:val="444A54"/>
              </w:rPr>
              <w:t>$ 3.44</w:t>
            </w:r>
          </w:p>
        </w:tc>
        <w:tc>
          <w:tcPr>
            <w:tcW w:w="1180" w:type="dxa"/>
            <w:vAlign w:val="bottom"/>
          </w:tcPr>
          <w:p>
            <w:pPr>
              <w:jc w:val="right"/>
              <w:ind w:right="117"/>
              <w:spacing w:after="0"/>
              <w:rPr>
                <w:sz w:val="20"/>
                <w:szCs w:val="20"/>
                <w:color w:val="auto"/>
              </w:rPr>
            </w:pPr>
            <w:r>
              <w:rPr>
                <w:rFonts w:ascii="Arial" w:cs="Arial" w:eastAsia="Arial" w:hAnsi="Arial"/>
                <w:sz w:val="13"/>
                <w:szCs w:val="13"/>
                <w:color w:val="444A54"/>
              </w:rPr>
              <w:t>$ 3.72</w:t>
            </w:r>
          </w:p>
        </w:tc>
      </w:tr>
      <w:tr>
        <w:trPr>
          <w:trHeight w:val="193"/>
        </w:trPr>
        <w:tc>
          <w:tcPr>
            <w:tcW w:w="3200" w:type="dxa"/>
            <w:vAlign w:val="bottom"/>
            <w:shd w:val="clear" w:color="auto" w:fill="E5E6E6"/>
          </w:tcPr>
          <w:p>
            <w:pPr>
              <w:ind w:left="80"/>
              <w:spacing w:after="0"/>
              <w:rPr>
                <w:sz w:val="20"/>
                <w:szCs w:val="20"/>
                <w:color w:val="auto"/>
              </w:rPr>
            </w:pPr>
            <w:r>
              <w:rPr>
                <w:rFonts w:ascii="Arial" w:cs="Arial" w:eastAsia="Arial" w:hAnsi="Arial"/>
                <w:sz w:val="13"/>
                <w:szCs w:val="13"/>
                <w:color w:val="444A54"/>
              </w:rPr>
              <w:t>Operating Earnings per Share</w:t>
            </w:r>
          </w:p>
        </w:tc>
        <w:tc>
          <w:tcPr>
            <w:tcW w:w="1860" w:type="dxa"/>
            <w:vAlign w:val="bottom"/>
            <w:shd w:val="clear" w:color="auto" w:fill="E5E6E6"/>
          </w:tcPr>
          <w:p>
            <w:pPr>
              <w:ind w:left="1340"/>
              <w:spacing w:after="0"/>
              <w:rPr>
                <w:sz w:val="20"/>
                <w:szCs w:val="20"/>
                <w:color w:val="auto"/>
              </w:rPr>
            </w:pPr>
            <w:r>
              <w:rPr>
                <w:rFonts w:ascii="Arial" w:cs="Arial" w:eastAsia="Arial" w:hAnsi="Arial"/>
                <w:sz w:val="13"/>
                <w:szCs w:val="13"/>
                <w:color w:val="444A54"/>
              </w:rPr>
              <w:t>15.0</w:t>
            </w:r>
          </w:p>
        </w:tc>
        <w:tc>
          <w:tcPr>
            <w:tcW w:w="1400" w:type="dxa"/>
            <w:vAlign w:val="bottom"/>
            <w:shd w:val="clear" w:color="auto" w:fill="E5E6E6"/>
          </w:tcPr>
          <w:p>
            <w:pPr>
              <w:jc w:val="right"/>
              <w:ind w:right="257"/>
              <w:spacing w:after="0"/>
              <w:rPr>
                <w:sz w:val="20"/>
                <w:szCs w:val="20"/>
                <w:color w:val="auto"/>
              </w:rPr>
            </w:pPr>
            <w:r>
              <w:rPr>
                <w:rFonts w:ascii="Arial" w:cs="Arial" w:eastAsia="Arial" w:hAnsi="Arial"/>
                <w:sz w:val="13"/>
                <w:szCs w:val="13"/>
                <w:color w:val="444A54"/>
              </w:rPr>
              <w:t>$ 1.95</w:t>
            </w:r>
          </w:p>
        </w:tc>
        <w:tc>
          <w:tcPr>
            <w:tcW w:w="1340" w:type="dxa"/>
            <w:vAlign w:val="bottom"/>
            <w:shd w:val="clear" w:color="auto" w:fill="E5E6E6"/>
          </w:tcPr>
          <w:p>
            <w:pPr>
              <w:jc w:val="right"/>
              <w:ind w:right="277"/>
              <w:spacing w:after="0"/>
              <w:rPr>
                <w:sz w:val="20"/>
                <w:szCs w:val="20"/>
                <w:color w:val="auto"/>
              </w:rPr>
            </w:pPr>
            <w:r>
              <w:rPr>
                <w:rFonts w:ascii="Arial" w:cs="Arial" w:eastAsia="Arial" w:hAnsi="Arial"/>
                <w:sz w:val="13"/>
                <w:szCs w:val="13"/>
                <w:color w:val="444A54"/>
              </w:rPr>
              <w:t>$ 2.17</w:t>
            </w:r>
          </w:p>
        </w:tc>
        <w:tc>
          <w:tcPr>
            <w:tcW w:w="1180" w:type="dxa"/>
            <w:vAlign w:val="bottom"/>
            <w:shd w:val="clear" w:color="auto" w:fill="E5E6E6"/>
          </w:tcPr>
          <w:p>
            <w:pPr>
              <w:jc w:val="right"/>
              <w:ind w:right="117"/>
              <w:spacing w:after="0"/>
              <w:rPr>
                <w:sz w:val="20"/>
                <w:szCs w:val="20"/>
                <w:color w:val="auto"/>
              </w:rPr>
            </w:pPr>
            <w:r>
              <w:rPr>
                <w:rFonts w:ascii="Arial" w:cs="Arial" w:eastAsia="Arial" w:hAnsi="Arial"/>
                <w:sz w:val="13"/>
                <w:szCs w:val="13"/>
                <w:color w:val="444A54"/>
              </w:rPr>
              <w:t>$ 2.34</w:t>
            </w:r>
          </w:p>
        </w:tc>
      </w:tr>
      <w:tr>
        <w:trPr>
          <w:trHeight w:val="183"/>
        </w:trPr>
        <w:tc>
          <w:tcPr>
            <w:tcW w:w="3200" w:type="dxa"/>
            <w:vAlign w:val="bottom"/>
          </w:tcPr>
          <w:p>
            <w:pPr>
              <w:ind w:left="80"/>
              <w:spacing w:after="0"/>
              <w:rPr>
                <w:sz w:val="20"/>
                <w:szCs w:val="20"/>
                <w:color w:val="auto"/>
              </w:rPr>
            </w:pPr>
            <w:r>
              <w:rPr>
                <w:rFonts w:ascii="Arial" w:cs="Arial" w:eastAsia="Arial" w:hAnsi="Arial"/>
                <w:sz w:val="13"/>
                <w:szCs w:val="13"/>
                <w:color w:val="444A54"/>
              </w:rPr>
              <w:t>Net Charge-Offs / Average Loans</w:t>
            </w:r>
          </w:p>
        </w:tc>
        <w:tc>
          <w:tcPr>
            <w:tcW w:w="1860" w:type="dxa"/>
            <w:vAlign w:val="bottom"/>
          </w:tcPr>
          <w:p>
            <w:pPr>
              <w:ind w:left="1340"/>
              <w:spacing w:after="0"/>
              <w:rPr>
                <w:sz w:val="20"/>
                <w:szCs w:val="20"/>
                <w:color w:val="auto"/>
              </w:rPr>
            </w:pPr>
            <w:r>
              <w:rPr>
                <w:rFonts w:ascii="Arial" w:cs="Arial" w:eastAsia="Arial" w:hAnsi="Arial"/>
                <w:sz w:val="13"/>
                <w:szCs w:val="13"/>
                <w:color w:val="444A54"/>
              </w:rPr>
              <w:t>15.0</w:t>
            </w:r>
          </w:p>
        </w:tc>
        <w:tc>
          <w:tcPr>
            <w:tcW w:w="1400" w:type="dxa"/>
            <w:vAlign w:val="bottom"/>
          </w:tcPr>
          <w:p>
            <w:pPr>
              <w:jc w:val="right"/>
              <w:ind w:right="117"/>
              <w:spacing w:after="0"/>
              <w:rPr>
                <w:sz w:val="20"/>
                <w:szCs w:val="20"/>
                <w:color w:val="auto"/>
              </w:rPr>
            </w:pPr>
            <w:r>
              <w:rPr>
                <w:rFonts w:ascii="Arial" w:cs="Arial" w:eastAsia="Arial" w:hAnsi="Arial"/>
                <w:sz w:val="13"/>
                <w:szCs w:val="13"/>
                <w:color w:val="444A54"/>
              </w:rPr>
              <w:t>0.34 %</w:t>
            </w:r>
          </w:p>
        </w:tc>
        <w:tc>
          <w:tcPr>
            <w:tcW w:w="1340" w:type="dxa"/>
            <w:vAlign w:val="bottom"/>
          </w:tcPr>
          <w:p>
            <w:pPr>
              <w:jc w:val="right"/>
              <w:ind w:right="117"/>
              <w:spacing w:after="0"/>
              <w:rPr>
                <w:sz w:val="20"/>
                <w:szCs w:val="20"/>
                <w:color w:val="auto"/>
              </w:rPr>
            </w:pPr>
            <w:r>
              <w:rPr>
                <w:rFonts w:ascii="Arial" w:cs="Arial" w:eastAsia="Arial" w:hAnsi="Arial"/>
                <w:sz w:val="13"/>
                <w:szCs w:val="13"/>
                <w:color w:val="444A54"/>
              </w:rPr>
              <w:t>0.28 %</w:t>
            </w:r>
          </w:p>
        </w:tc>
        <w:tc>
          <w:tcPr>
            <w:tcW w:w="1180" w:type="dxa"/>
            <w:vAlign w:val="bottom"/>
          </w:tcPr>
          <w:p>
            <w:pPr>
              <w:jc w:val="right"/>
              <w:spacing w:after="0"/>
              <w:rPr>
                <w:sz w:val="20"/>
                <w:szCs w:val="20"/>
                <w:color w:val="auto"/>
              </w:rPr>
            </w:pPr>
            <w:r>
              <w:rPr>
                <w:rFonts w:ascii="Arial" w:cs="Arial" w:eastAsia="Arial" w:hAnsi="Arial"/>
                <w:sz w:val="13"/>
                <w:szCs w:val="13"/>
                <w:color w:val="444A54"/>
              </w:rPr>
              <w:t xml:space="preserve">0.21 </w:t>
            </w:r>
            <w:r>
              <w:rPr>
                <w:rFonts w:ascii="Arial" w:cs="Arial" w:eastAsia="Arial" w:hAnsi="Arial"/>
                <w:sz w:val="13"/>
                <w:szCs w:val="13"/>
                <w:color w:val="000000"/>
              </w:rPr>
              <w:t>%</w:t>
            </w:r>
          </w:p>
        </w:tc>
      </w:tr>
      <w:tr>
        <w:trPr>
          <w:trHeight w:val="230"/>
        </w:trPr>
        <w:tc>
          <w:tcPr>
            <w:tcW w:w="3200" w:type="dxa"/>
            <w:vAlign w:val="bottom"/>
            <w:shd w:val="clear" w:color="auto" w:fill="E5E6E6"/>
          </w:tcPr>
          <w:p>
            <w:pPr>
              <w:ind w:left="80"/>
              <w:spacing w:after="0"/>
              <w:rPr>
                <w:sz w:val="20"/>
                <w:szCs w:val="20"/>
                <w:color w:val="auto"/>
              </w:rPr>
            </w:pPr>
            <w:r>
              <w:rPr>
                <w:rFonts w:ascii="Arial" w:cs="Arial" w:eastAsia="Arial" w:hAnsi="Arial"/>
                <w:sz w:val="13"/>
                <w:szCs w:val="13"/>
                <w:color w:val="444A54"/>
              </w:rPr>
              <w:t>NPAs / Total Assets</w:t>
            </w:r>
            <w:r>
              <w:rPr>
                <w:rFonts w:ascii="Arial" w:cs="Arial" w:eastAsia="Arial" w:hAnsi="Arial"/>
                <w:sz w:val="20"/>
                <w:szCs w:val="20"/>
                <w:color w:val="444A54"/>
                <w:vertAlign w:val="superscript"/>
              </w:rPr>
              <w:t>1</w:t>
            </w:r>
          </w:p>
        </w:tc>
        <w:tc>
          <w:tcPr>
            <w:tcW w:w="1860" w:type="dxa"/>
            <w:vAlign w:val="bottom"/>
            <w:shd w:val="clear" w:color="auto" w:fill="E5E6E6"/>
          </w:tcPr>
          <w:p>
            <w:pPr>
              <w:ind w:left="1340"/>
              <w:spacing w:after="0"/>
              <w:rPr>
                <w:sz w:val="20"/>
                <w:szCs w:val="20"/>
                <w:color w:val="auto"/>
              </w:rPr>
            </w:pPr>
            <w:r>
              <w:rPr>
                <w:rFonts w:ascii="Arial" w:cs="Arial" w:eastAsia="Arial" w:hAnsi="Arial"/>
                <w:sz w:val="13"/>
                <w:szCs w:val="13"/>
                <w:color w:val="444A54"/>
              </w:rPr>
              <w:t>15.0</w:t>
            </w:r>
          </w:p>
        </w:tc>
        <w:tc>
          <w:tcPr>
            <w:tcW w:w="1400" w:type="dxa"/>
            <w:vAlign w:val="bottom"/>
            <w:shd w:val="clear" w:color="auto" w:fill="E5E6E6"/>
          </w:tcPr>
          <w:p>
            <w:pPr>
              <w:jc w:val="center"/>
              <w:ind w:right="17"/>
              <w:spacing w:after="0"/>
              <w:rPr>
                <w:sz w:val="20"/>
                <w:szCs w:val="20"/>
                <w:color w:val="auto"/>
              </w:rPr>
            </w:pPr>
            <w:r>
              <w:rPr>
                <w:rFonts w:ascii="Arial" w:cs="Arial" w:eastAsia="Arial" w:hAnsi="Arial"/>
                <w:sz w:val="13"/>
                <w:szCs w:val="13"/>
                <w:color w:val="444A54"/>
                <w:w w:val="96"/>
              </w:rPr>
              <w:t>25th Percentile</w:t>
            </w:r>
          </w:p>
        </w:tc>
        <w:tc>
          <w:tcPr>
            <w:tcW w:w="1340" w:type="dxa"/>
            <w:vAlign w:val="bottom"/>
            <w:shd w:val="clear" w:color="auto" w:fill="E5E6E6"/>
          </w:tcPr>
          <w:p>
            <w:pPr>
              <w:jc w:val="center"/>
              <w:ind w:right="97"/>
              <w:spacing w:after="0"/>
              <w:rPr>
                <w:sz w:val="20"/>
                <w:szCs w:val="20"/>
                <w:color w:val="auto"/>
              </w:rPr>
            </w:pPr>
            <w:r>
              <w:rPr>
                <w:rFonts w:ascii="Arial" w:cs="Arial" w:eastAsia="Arial" w:hAnsi="Arial"/>
                <w:sz w:val="13"/>
                <w:szCs w:val="13"/>
                <w:color w:val="444A54"/>
                <w:w w:val="94"/>
              </w:rPr>
              <w:t>50th Percentile</w:t>
            </w:r>
          </w:p>
        </w:tc>
        <w:tc>
          <w:tcPr>
            <w:tcW w:w="1180" w:type="dxa"/>
            <w:vAlign w:val="bottom"/>
            <w:shd w:val="clear" w:color="auto" w:fill="E5E6E6"/>
          </w:tcPr>
          <w:p>
            <w:pPr>
              <w:jc w:val="right"/>
              <w:ind w:right="117"/>
              <w:spacing w:after="0"/>
              <w:rPr>
                <w:sz w:val="20"/>
                <w:szCs w:val="20"/>
                <w:color w:val="auto"/>
              </w:rPr>
            </w:pPr>
            <w:r>
              <w:rPr>
                <w:rFonts w:ascii="Arial" w:cs="Arial" w:eastAsia="Arial" w:hAnsi="Arial"/>
                <w:sz w:val="13"/>
                <w:szCs w:val="13"/>
                <w:color w:val="444A54"/>
              </w:rPr>
              <w:t>75th Percentile</w:t>
            </w:r>
          </w:p>
        </w:tc>
      </w:tr>
      <w:tr>
        <w:trPr>
          <w:trHeight w:val="183"/>
        </w:trPr>
        <w:tc>
          <w:tcPr>
            <w:tcW w:w="3200" w:type="dxa"/>
            <w:vAlign w:val="bottom"/>
          </w:tcPr>
          <w:p>
            <w:pPr>
              <w:ind w:left="80"/>
              <w:spacing w:after="0"/>
              <w:rPr>
                <w:sz w:val="20"/>
                <w:szCs w:val="20"/>
                <w:color w:val="auto"/>
              </w:rPr>
            </w:pPr>
            <w:r>
              <w:rPr>
                <w:rFonts w:ascii="Arial" w:cs="Arial" w:eastAsia="Arial" w:hAnsi="Arial"/>
                <w:sz w:val="13"/>
                <w:szCs w:val="13"/>
                <w:color w:val="444A54"/>
              </w:rPr>
              <w:t>Operating Efficiency Ratio</w:t>
            </w:r>
          </w:p>
        </w:tc>
        <w:tc>
          <w:tcPr>
            <w:tcW w:w="1860" w:type="dxa"/>
            <w:vAlign w:val="bottom"/>
          </w:tcPr>
          <w:p>
            <w:pPr>
              <w:ind w:left="1340"/>
              <w:spacing w:after="0"/>
              <w:rPr>
                <w:sz w:val="20"/>
                <w:szCs w:val="20"/>
                <w:color w:val="auto"/>
              </w:rPr>
            </w:pPr>
            <w:r>
              <w:rPr>
                <w:rFonts w:ascii="Arial" w:cs="Arial" w:eastAsia="Arial" w:hAnsi="Arial"/>
                <w:sz w:val="13"/>
                <w:szCs w:val="13"/>
                <w:color w:val="444A54"/>
              </w:rPr>
              <w:t>20.0</w:t>
            </w:r>
          </w:p>
        </w:tc>
        <w:tc>
          <w:tcPr>
            <w:tcW w:w="1400" w:type="dxa"/>
            <w:vAlign w:val="bottom"/>
          </w:tcPr>
          <w:p>
            <w:pPr>
              <w:jc w:val="right"/>
              <w:ind w:right="117"/>
              <w:spacing w:after="0"/>
              <w:rPr>
                <w:sz w:val="20"/>
                <w:szCs w:val="20"/>
                <w:color w:val="auto"/>
              </w:rPr>
            </w:pPr>
            <w:r>
              <w:rPr>
                <w:rFonts w:ascii="Arial" w:cs="Arial" w:eastAsia="Arial" w:hAnsi="Arial"/>
                <w:sz w:val="13"/>
                <w:szCs w:val="13"/>
                <w:color w:val="444A54"/>
              </w:rPr>
              <w:t>59.90 %</w:t>
            </w:r>
          </w:p>
        </w:tc>
        <w:tc>
          <w:tcPr>
            <w:tcW w:w="1340" w:type="dxa"/>
            <w:vAlign w:val="bottom"/>
          </w:tcPr>
          <w:p>
            <w:pPr>
              <w:jc w:val="right"/>
              <w:ind w:right="117"/>
              <w:spacing w:after="0"/>
              <w:rPr>
                <w:sz w:val="20"/>
                <w:szCs w:val="20"/>
                <w:color w:val="auto"/>
              </w:rPr>
            </w:pPr>
            <w:r>
              <w:rPr>
                <w:rFonts w:ascii="Arial" w:cs="Arial" w:eastAsia="Arial" w:hAnsi="Arial"/>
                <w:sz w:val="13"/>
                <w:szCs w:val="13"/>
                <w:color w:val="444A54"/>
              </w:rPr>
              <w:t>56.90 %</w:t>
            </w:r>
          </w:p>
        </w:tc>
        <w:tc>
          <w:tcPr>
            <w:tcW w:w="1180" w:type="dxa"/>
            <w:vAlign w:val="bottom"/>
          </w:tcPr>
          <w:p>
            <w:pPr>
              <w:jc w:val="right"/>
              <w:spacing w:after="0"/>
              <w:rPr>
                <w:sz w:val="20"/>
                <w:szCs w:val="20"/>
                <w:color w:val="auto"/>
              </w:rPr>
            </w:pPr>
            <w:r>
              <w:rPr>
                <w:rFonts w:ascii="Arial" w:cs="Arial" w:eastAsia="Arial" w:hAnsi="Arial"/>
                <w:sz w:val="13"/>
                <w:szCs w:val="13"/>
                <w:color w:val="444A54"/>
              </w:rPr>
              <w:t xml:space="preserve">54.50 % </w:t>
            </w:r>
            <w:r>
              <w:rPr>
                <w:rFonts w:ascii="Arial" w:cs="Arial" w:eastAsia="Arial" w:hAnsi="Arial"/>
                <w:sz w:val="13"/>
                <w:szCs w:val="13"/>
                <w:color w:val="000000"/>
              </w:rPr>
              <w:t>%</w:t>
            </w:r>
          </w:p>
        </w:tc>
      </w:tr>
      <w:tr>
        <w:trPr>
          <w:trHeight w:val="193"/>
        </w:trPr>
        <w:tc>
          <w:tcPr>
            <w:tcW w:w="3200" w:type="dxa"/>
            <w:vAlign w:val="bottom"/>
            <w:shd w:val="clear" w:color="auto" w:fill="E5E6E6"/>
          </w:tcPr>
          <w:p>
            <w:pPr>
              <w:ind w:left="80"/>
              <w:spacing w:after="0"/>
              <w:rPr>
                <w:sz w:val="20"/>
                <w:szCs w:val="20"/>
                <w:color w:val="auto"/>
              </w:rPr>
            </w:pPr>
            <w:r>
              <w:rPr>
                <w:rFonts w:ascii="Arial" w:cs="Arial" w:eastAsia="Arial" w:hAnsi="Arial"/>
                <w:sz w:val="13"/>
                <w:szCs w:val="13"/>
                <w:color w:val="444A54"/>
              </w:rPr>
              <w:t>Customer Satisfaction Rating</w:t>
            </w:r>
          </w:p>
        </w:tc>
        <w:tc>
          <w:tcPr>
            <w:tcW w:w="1860" w:type="dxa"/>
            <w:vAlign w:val="bottom"/>
            <w:shd w:val="clear" w:color="auto" w:fill="E5E6E6"/>
          </w:tcPr>
          <w:p>
            <w:pPr>
              <w:ind w:left="1340"/>
              <w:spacing w:after="0"/>
              <w:rPr>
                <w:sz w:val="20"/>
                <w:szCs w:val="20"/>
                <w:color w:val="auto"/>
              </w:rPr>
            </w:pPr>
            <w:r>
              <w:rPr>
                <w:rFonts w:ascii="Arial" w:cs="Arial" w:eastAsia="Arial" w:hAnsi="Arial"/>
                <w:sz w:val="13"/>
                <w:szCs w:val="13"/>
                <w:color w:val="444A54"/>
              </w:rPr>
              <w:t>15.0</w:t>
            </w:r>
          </w:p>
        </w:tc>
        <w:tc>
          <w:tcPr>
            <w:tcW w:w="1400" w:type="dxa"/>
            <w:vAlign w:val="bottom"/>
            <w:shd w:val="clear" w:color="auto" w:fill="E5E6E6"/>
          </w:tcPr>
          <w:p>
            <w:pPr>
              <w:jc w:val="right"/>
              <w:ind w:right="117"/>
              <w:spacing w:after="0"/>
              <w:rPr>
                <w:sz w:val="20"/>
                <w:szCs w:val="20"/>
                <w:color w:val="auto"/>
              </w:rPr>
            </w:pPr>
            <w:r>
              <w:rPr>
                <w:rFonts w:ascii="Arial" w:cs="Arial" w:eastAsia="Arial" w:hAnsi="Arial"/>
                <w:sz w:val="13"/>
                <w:szCs w:val="13"/>
                <w:color w:val="444A54"/>
              </w:rPr>
              <w:t>95.50 %</w:t>
            </w:r>
          </w:p>
        </w:tc>
        <w:tc>
          <w:tcPr>
            <w:tcW w:w="1340" w:type="dxa"/>
            <w:vAlign w:val="bottom"/>
            <w:shd w:val="clear" w:color="auto" w:fill="E5E6E6"/>
          </w:tcPr>
          <w:p>
            <w:pPr>
              <w:jc w:val="right"/>
              <w:ind w:right="117"/>
              <w:spacing w:after="0"/>
              <w:rPr>
                <w:sz w:val="20"/>
                <w:szCs w:val="20"/>
                <w:color w:val="auto"/>
              </w:rPr>
            </w:pPr>
            <w:r>
              <w:rPr>
                <w:rFonts w:ascii="Arial" w:cs="Arial" w:eastAsia="Arial" w:hAnsi="Arial"/>
                <w:sz w:val="13"/>
                <w:szCs w:val="13"/>
                <w:color w:val="444A54"/>
              </w:rPr>
              <w:t>96.50 %</w:t>
            </w:r>
          </w:p>
        </w:tc>
        <w:tc>
          <w:tcPr>
            <w:tcW w:w="1180" w:type="dxa"/>
            <w:vAlign w:val="bottom"/>
            <w:shd w:val="clear" w:color="auto" w:fill="E5E6E6"/>
          </w:tcPr>
          <w:p>
            <w:pPr>
              <w:jc w:val="right"/>
              <w:spacing w:after="0"/>
              <w:rPr>
                <w:sz w:val="20"/>
                <w:szCs w:val="20"/>
                <w:color w:val="auto"/>
              </w:rPr>
            </w:pPr>
            <w:r>
              <w:rPr>
                <w:rFonts w:ascii="Arial" w:cs="Arial" w:eastAsia="Arial" w:hAnsi="Arial"/>
                <w:sz w:val="13"/>
                <w:szCs w:val="13"/>
                <w:color w:val="444A54"/>
              </w:rPr>
              <w:t xml:space="preserve">97.50 % </w:t>
            </w:r>
            <w:r>
              <w:rPr>
                <w:rFonts w:ascii="Arial" w:cs="Arial" w:eastAsia="Arial" w:hAnsi="Arial"/>
                <w:sz w:val="13"/>
                <w:szCs w:val="13"/>
                <w:color w:val="000000"/>
              </w:rPr>
              <w:t>%</w:t>
            </w:r>
          </w:p>
        </w:tc>
      </w:tr>
    </w:tbl>
    <w:p>
      <w:pPr>
        <w:spacing w:after="0" w:line="24" w:lineRule="exact"/>
        <w:rPr>
          <w:sz w:val="20"/>
          <w:szCs w:val="20"/>
          <w:color w:val="auto"/>
        </w:rPr>
      </w:pPr>
    </w:p>
    <w:p>
      <w:pPr>
        <w:ind w:left="180" w:hanging="97"/>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3"/>
          <w:szCs w:val="13"/>
          <w:color w:val="auto"/>
        </w:rPr>
        <w:t>NPAs / Total Assets metric excludes restructured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5704205"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04205" cy="15875"/>
                    </a:xfrm>
                    <a:prstGeom prst="rect">
                      <a:avLst/>
                    </a:prstGeom>
                    <a:noFill/>
                  </pic:spPr>
                </pic:pic>
              </a:graphicData>
            </a:graphic>
          </wp:anchor>
        </w:drawing>
      </w:r>
    </w:p>
    <w:p>
      <w:pPr>
        <w:spacing w:after="0" w:line="236" w:lineRule="exact"/>
        <w:rPr>
          <w:sz w:val="20"/>
          <w:szCs w:val="20"/>
          <w:color w:val="auto"/>
        </w:rPr>
      </w:pPr>
    </w:p>
    <w:p>
      <w:pPr>
        <w:ind w:right="780"/>
        <w:spacing w:after="0" w:line="261" w:lineRule="auto"/>
        <w:rPr>
          <w:sz w:val="20"/>
          <w:szCs w:val="20"/>
          <w:color w:val="auto"/>
        </w:rPr>
      </w:pPr>
      <w:r>
        <w:rPr>
          <w:rFonts w:ascii="Arial" w:cs="Arial" w:eastAsia="Arial" w:hAnsi="Arial"/>
          <w:sz w:val="17"/>
          <w:szCs w:val="17"/>
          <w:color w:val="444A54"/>
        </w:rPr>
        <w:t>The following table summarizes each NEO’s 2024 annual cash incentive award payout potential as approved by the Talent and Compensation Committee, under the Management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6292215</wp:posOffset>
            </wp:positionH>
            <wp:positionV relativeFrom="paragraph">
              <wp:posOffset>98425</wp:posOffset>
            </wp:positionV>
            <wp:extent cx="8255" cy="3257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98425</wp:posOffset>
            </wp:positionV>
            <wp:extent cx="8255" cy="3257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4568190</wp:posOffset>
            </wp:positionH>
            <wp:positionV relativeFrom="paragraph">
              <wp:posOffset>98425</wp:posOffset>
            </wp:positionV>
            <wp:extent cx="8255" cy="3257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3686175</wp:posOffset>
            </wp:positionH>
            <wp:positionV relativeFrom="paragraph">
              <wp:posOffset>98425</wp:posOffset>
            </wp:positionV>
            <wp:extent cx="8255" cy="3257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98425</wp:posOffset>
            </wp:positionV>
            <wp:extent cx="8255" cy="3257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1938655</wp:posOffset>
            </wp:positionH>
            <wp:positionV relativeFrom="paragraph">
              <wp:posOffset>98425</wp:posOffset>
            </wp:positionV>
            <wp:extent cx="8255" cy="3257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32575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40" w:type="dxa"/>
            <w:vAlign w:val="bottom"/>
            <w:shd w:val="clear" w:color="auto" w:fill="007DB6"/>
          </w:tcPr>
          <w:p>
            <w:pPr>
              <w:spacing w:after="0"/>
              <w:rPr>
                <w:sz w:val="15"/>
                <w:szCs w:val="15"/>
                <w:color w:val="auto"/>
              </w:rPr>
            </w:pPr>
          </w:p>
        </w:tc>
        <w:tc>
          <w:tcPr>
            <w:tcW w:w="2040" w:type="dxa"/>
            <w:vAlign w:val="bottom"/>
            <w:shd w:val="clear" w:color="auto" w:fill="007DB6"/>
          </w:tcPr>
          <w:p>
            <w:pPr>
              <w:jc w:val="center"/>
              <w:ind w:left="957"/>
              <w:spacing w:after="0"/>
              <w:rPr>
                <w:sz w:val="20"/>
                <w:szCs w:val="20"/>
                <w:color w:val="auto"/>
              </w:rPr>
            </w:pPr>
            <w:r>
              <w:rPr>
                <w:rFonts w:ascii="Arial" w:cs="Arial" w:eastAsia="Arial" w:hAnsi="Arial"/>
                <w:sz w:val="13"/>
                <w:szCs w:val="13"/>
                <w:color w:val="FFFFFF"/>
                <w:w w:val="96"/>
              </w:rPr>
              <w:t>Threshold Payout</w:t>
            </w:r>
          </w:p>
        </w:tc>
        <w:tc>
          <w:tcPr>
            <w:tcW w:w="240" w:type="dxa"/>
            <w:vAlign w:val="bottom"/>
            <w:shd w:val="clear" w:color="auto" w:fill="007DB6"/>
          </w:tcPr>
          <w:p>
            <w:pPr>
              <w:spacing w:after="0"/>
              <w:rPr>
                <w:sz w:val="15"/>
                <w:szCs w:val="15"/>
                <w:color w:val="auto"/>
              </w:rPr>
            </w:pPr>
          </w:p>
        </w:tc>
        <w:tc>
          <w:tcPr>
            <w:tcW w:w="1240" w:type="dxa"/>
            <w:vAlign w:val="bottom"/>
            <w:vMerge w:val="restart"/>
            <w:shd w:val="clear" w:color="auto" w:fill="007DB6"/>
          </w:tcPr>
          <w:p>
            <w:pPr>
              <w:jc w:val="right"/>
              <w:ind w:right="77"/>
              <w:spacing w:after="0"/>
              <w:rPr>
                <w:sz w:val="20"/>
                <w:szCs w:val="20"/>
                <w:color w:val="auto"/>
              </w:rPr>
            </w:pPr>
            <w:r>
              <w:rPr>
                <w:rFonts w:ascii="Arial" w:cs="Arial" w:eastAsia="Arial" w:hAnsi="Arial"/>
                <w:sz w:val="13"/>
                <w:szCs w:val="13"/>
                <w:color w:val="FFFFFF"/>
              </w:rPr>
              <w:t>Threshold Payout</w:t>
            </w:r>
          </w:p>
        </w:tc>
        <w:tc>
          <w:tcPr>
            <w:tcW w:w="1240" w:type="dxa"/>
            <w:vAlign w:val="bottom"/>
            <w:shd w:val="clear" w:color="auto" w:fill="007DB6"/>
          </w:tcPr>
          <w:p>
            <w:pPr>
              <w:jc w:val="center"/>
              <w:ind w:left="197"/>
              <w:spacing w:after="0"/>
              <w:rPr>
                <w:sz w:val="20"/>
                <w:szCs w:val="20"/>
                <w:color w:val="auto"/>
              </w:rPr>
            </w:pPr>
            <w:r>
              <w:rPr>
                <w:rFonts w:ascii="Arial" w:cs="Arial" w:eastAsia="Arial" w:hAnsi="Arial"/>
                <w:sz w:val="13"/>
                <w:szCs w:val="13"/>
                <w:color w:val="FFFFFF"/>
                <w:w w:val="95"/>
              </w:rPr>
              <w:t>Target Payout</w:t>
            </w:r>
          </w:p>
        </w:tc>
        <w:tc>
          <w:tcPr>
            <w:tcW w:w="300" w:type="dxa"/>
            <w:vAlign w:val="bottom"/>
            <w:shd w:val="clear" w:color="auto" w:fill="007DB6"/>
          </w:tcPr>
          <w:p>
            <w:pPr>
              <w:spacing w:after="0"/>
              <w:rPr>
                <w:sz w:val="15"/>
                <w:szCs w:val="15"/>
                <w:color w:val="auto"/>
              </w:rPr>
            </w:pPr>
          </w:p>
        </w:tc>
        <w:tc>
          <w:tcPr>
            <w:tcW w:w="1160" w:type="dxa"/>
            <w:vAlign w:val="bottom"/>
            <w:vMerge w:val="restart"/>
            <w:shd w:val="clear" w:color="auto" w:fill="007DB6"/>
          </w:tcPr>
          <w:p>
            <w:pPr>
              <w:jc w:val="right"/>
              <w:ind w:right="157"/>
              <w:spacing w:after="0"/>
              <w:rPr>
                <w:sz w:val="20"/>
                <w:szCs w:val="20"/>
                <w:color w:val="auto"/>
              </w:rPr>
            </w:pPr>
            <w:r>
              <w:rPr>
                <w:rFonts w:ascii="Arial" w:cs="Arial" w:eastAsia="Arial" w:hAnsi="Arial"/>
                <w:sz w:val="13"/>
                <w:szCs w:val="13"/>
                <w:color w:val="FFFFFF"/>
              </w:rPr>
              <w:t>Target Payout</w:t>
            </w:r>
          </w:p>
        </w:tc>
        <w:tc>
          <w:tcPr>
            <w:tcW w:w="1260" w:type="dxa"/>
            <w:vAlign w:val="bottom"/>
            <w:shd w:val="clear" w:color="auto" w:fill="007DB6"/>
          </w:tcPr>
          <w:p>
            <w:pPr>
              <w:jc w:val="center"/>
              <w:ind w:left="197"/>
              <w:spacing w:after="0"/>
              <w:rPr>
                <w:sz w:val="20"/>
                <w:szCs w:val="20"/>
                <w:color w:val="auto"/>
              </w:rPr>
            </w:pPr>
            <w:r>
              <w:rPr>
                <w:rFonts w:ascii="Arial" w:cs="Arial" w:eastAsia="Arial" w:hAnsi="Arial"/>
                <w:sz w:val="13"/>
                <w:szCs w:val="13"/>
                <w:color w:val="FFFFFF"/>
                <w:w w:val="95"/>
              </w:rPr>
              <w:t>Maximum Payout</w:t>
            </w:r>
          </w:p>
        </w:tc>
        <w:tc>
          <w:tcPr>
            <w:tcW w:w="240" w:type="dxa"/>
            <w:vAlign w:val="bottom"/>
            <w:shd w:val="clear" w:color="auto" w:fill="007DB6"/>
          </w:tcPr>
          <w:p>
            <w:pPr>
              <w:spacing w:after="0"/>
              <w:rPr>
                <w:sz w:val="15"/>
                <w:szCs w:val="15"/>
                <w:color w:val="auto"/>
              </w:rPr>
            </w:pPr>
          </w:p>
        </w:tc>
        <w:tc>
          <w:tcPr>
            <w:tcW w:w="1280" w:type="dxa"/>
            <w:vAlign w:val="bottom"/>
            <w:vMerge w:val="restart"/>
            <w:shd w:val="clear" w:color="auto" w:fill="007DB6"/>
          </w:tcPr>
          <w:p>
            <w:pPr>
              <w:jc w:val="right"/>
              <w:ind w:right="137"/>
              <w:spacing w:after="0"/>
              <w:rPr>
                <w:sz w:val="20"/>
                <w:szCs w:val="20"/>
                <w:color w:val="auto"/>
              </w:rPr>
            </w:pPr>
            <w:r>
              <w:rPr>
                <w:rFonts w:ascii="Arial" w:cs="Arial" w:eastAsia="Arial" w:hAnsi="Arial"/>
                <w:sz w:val="13"/>
                <w:szCs w:val="13"/>
                <w:color w:val="FFFFFF"/>
              </w:rPr>
              <w:t>Maximum Payout</w:t>
            </w:r>
          </w:p>
        </w:tc>
        <w:tc>
          <w:tcPr>
            <w:tcW w:w="0" w:type="dxa"/>
            <w:vAlign w:val="bottom"/>
          </w:tcPr>
          <w:p>
            <w:pPr>
              <w:spacing w:after="0"/>
              <w:rPr>
                <w:sz w:val="1"/>
                <w:szCs w:val="1"/>
                <w:color w:val="auto"/>
              </w:rPr>
            </w:pPr>
          </w:p>
        </w:tc>
      </w:tr>
      <w:tr>
        <w:trPr>
          <w:trHeight w:val="63"/>
        </w:trPr>
        <w:tc>
          <w:tcPr>
            <w:tcW w:w="2240" w:type="dxa"/>
            <w:vAlign w:val="bottom"/>
            <w:vMerge w:val="restart"/>
            <w:shd w:val="clear" w:color="auto" w:fill="007DB6"/>
          </w:tcPr>
          <w:p>
            <w:pPr>
              <w:ind w:left="80"/>
              <w:spacing w:after="0" w:line="138" w:lineRule="exact"/>
              <w:rPr>
                <w:sz w:val="20"/>
                <w:szCs w:val="20"/>
                <w:color w:val="auto"/>
              </w:rPr>
            </w:pPr>
            <w:r>
              <w:rPr>
                <w:rFonts w:ascii="Arial" w:cs="Arial" w:eastAsia="Arial" w:hAnsi="Arial"/>
                <w:sz w:val="13"/>
                <w:szCs w:val="13"/>
                <w:color w:val="FFFFFF"/>
              </w:rPr>
              <w:t>Name</w:t>
            </w:r>
          </w:p>
        </w:tc>
        <w:tc>
          <w:tcPr>
            <w:tcW w:w="2040" w:type="dxa"/>
            <w:vAlign w:val="bottom"/>
            <w:vMerge w:val="restart"/>
            <w:shd w:val="clear" w:color="auto" w:fill="007DB6"/>
          </w:tcPr>
          <w:p>
            <w:pPr>
              <w:jc w:val="center"/>
              <w:ind w:left="957"/>
              <w:spacing w:after="0" w:line="138" w:lineRule="exact"/>
              <w:rPr>
                <w:sz w:val="20"/>
                <w:szCs w:val="20"/>
                <w:color w:val="auto"/>
              </w:rPr>
            </w:pPr>
            <w:r>
              <w:rPr>
                <w:rFonts w:ascii="Arial" w:cs="Arial" w:eastAsia="Arial" w:hAnsi="Arial"/>
                <w:sz w:val="13"/>
                <w:szCs w:val="13"/>
                <w:color w:val="FFFFFF"/>
                <w:w w:val="98"/>
              </w:rPr>
              <w:t>Potential</w:t>
            </w:r>
          </w:p>
        </w:tc>
        <w:tc>
          <w:tcPr>
            <w:tcW w:w="240" w:type="dxa"/>
            <w:vAlign w:val="bottom"/>
            <w:shd w:val="clear" w:color="auto" w:fill="007DB6"/>
          </w:tcPr>
          <w:p>
            <w:pPr>
              <w:spacing w:after="0"/>
              <w:rPr>
                <w:sz w:val="5"/>
                <w:szCs w:val="5"/>
                <w:color w:val="auto"/>
              </w:rPr>
            </w:pPr>
          </w:p>
        </w:tc>
        <w:tc>
          <w:tcPr>
            <w:tcW w:w="1240" w:type="dxa"/>
            <w:vAlign w:val="bottom"/>
            <w:vMerge w:val="continue"/>
            <w:shd w:val="clear" w:color="auto" w:fill="007DB6"/>
          </w:tcPr>
          <w:p>
            <w:pPr>
              <w:spacing w:after="0"/>
              <w:rPr>
                <w:sz w:val="5"/>
                <w:szCs w:val="5"/>
                <w:color w:val="auto"/>
              </w:rPr>
            </w:pPr>
          </w:p>
        </w:tc>
        <w:tc>
          <w:tcPr>
            <w:tcW w:w="1240" w:type="dxa"/>
            <w:vAlign w:val="bottom"/>
            <w:vMerge w:val="restart"/>
            <w:shd w:val="clear" w:color="auto" w:fill="007DB6"/>
          </w:tcPr>
          <w:p>
            <w:pPr>
              <w:jc w:val="center"/>
              <w:ind w:left="177"/>
              <w:spacing w:after="0" w:line="138" w:lineRule="exact"/>
              <w:rPr>
                <w:sz w:val="20"/>
                <w:szCs w:val="20"/>
                <w:color w:val="auto"/>
              </w:rPr>
            </w:pPr>
            <w:r>
              <w:rPr>
                <w:rFonts w:ascii="Arial" w:cs="Arial" w:eastAsia="Arial" w:hAnsi="Arial"/>
                <w:sz w:val="13"/>
                <w:szCs w:val="13"/>
                <w:color w:val="FFFFFF"/>
                <w:w w:val="94"/>
              </w:rPr>
              <w:t>Potential</w:t>
            </w:r>
          </w:p>
        </w:tc>
        <w:tc>
          <w:tcPr>
            <w:tcW w:w="300" w:type="dxa"/>
            <w:vAlign w:val="bottom"/>
            <w:shd w:val="clear" w:color="auto" w:fill="007DB6"/>
          </w:tcPr>
          <w:p>
            <w:pPr>
              <w:spacing w:after="0"/>
              <w:rPr>
                <w:sz w:val="5"/>
                <w:szCs w:val="5"/>
                <w:color w:val="auto"/>
              </w:rPr>
            </w:pPr>
          </w:p>
        </w:tc>
        <w:tc>
          <w:tcPr>
            <w:tcW w:w="1160" w:type="dxa"/>
            <w:vAlign w:val="bottom"/>
            <w:vMerge w:val="continue"/>
            <w:shd w:val="clear" w:color="auto" w:fill="007DB6"/>
          </w:tcPr>
          <w:p>
            <w:pPr>
              <w:spacing w:after="0"/>
              <w:rPr>
                <w:sz w:val="5"/>
                <w:szCs w:val="5"/>
                <w:color w:val="auto"/>
              </w:rPr>
            </w:pPr>
          </w:p>
        </w:tc>
        <w:tc>
          <w:tcPr>
            <w:tcW w:w="1260" w:type="dxa"/>
            <w:vAlign w:val="bottom"/>
            <w:vMerge w:val="restart"/>
            <w:shd w:val="clear" w:color="auto" w:fill="007DB6"/>
          </w:tcPr>
          <w:p>
            <w:pPr>
              <w:jc w:val="center"/>
              <w:ind w:left="197"/>
              <w:spacing w:after="0" w:line="138" w:lineRule="exact"/>
              <w:rPr>
                <w:sz w:val="20"/>
                <w:szCs w:val="20"/>
                <w:color w:val="auto"/>
              </w:rPr>
            </w:pPr>
            <w:r>
              <w:rPr>
                <w:rFonts w:ascii="Arial" w:cs="Arial" w:eastAsia="Arial" w:hAnsi="Arial"/>
                <w:sz w:val="13"/>
                <w:szCs w:val="13"/>
                <w:color w:val="FFFFFF"/>
                <w:w w:val="94"/>
              </w:rPr>
              <w:t>Potential</w:t>
            </w:r>
          </w:p>
        </w:tc>
        <w:tc>
          <w:tcPr>
            <w:tcW w:w="240" w:type="dxa"/>
            <w:vAlign w:val="bottom"/>
            <w:shd w:val="clear" w:color="auto" w:fill="007DB6"/>
          </w:tcPr>
          <w:p>
            <w:pPr>
              <w:spacing w:after="0"/>
              <w:rPr>
                <w:sz w:val="5"/>
                <w:szCs w:val="5"/>
                <w:color w:val="auto"/>
              </w:rPr>
            </w:pPr>
          </w:p>
        </w:tc>
        <w:tc>
          <w:tcPr>
            <w:tcW w:w="1280" w:type="dxa"/>
            <w:vAlign w:val="bottom"/>
            <w:vMerge w:val="continue"/>
            <w:shd w:val="clear" w:color="auto" w:fill="007DB6"/>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240" w:type="dxa"/>
            <w:vAlign w:val="bottom"/>
            <w:vMerge w:val="continue"/>
            <w:shd w:val="clear" w:color="auto" w:fill="007DB6"/>
          </w:tcPr>
          <w:p>
            <w:pPr>
              <w:spacing w:after="0"/>
              <w:rPr>
                <w:sz w:val="6"/>
                <w:szCs w:val="6"/>
                <w:color w:val="auto"/>
              </w:rPr>
            </w:pPr>
          </w:p>
        </w:tc>
        <w:tc>
          <w:tcPr>
            <w:tcW w:w="2040" w:type="dxa"/>
            <w:vAlign w:val="bottom"/>
            <w:vMerge w:val="continue"/>
            <w:shd w:val="clear" w:color="auto" w:fill="007DB6"/>
          </w:tcPr>
          <w:p>
            <w:pPr>
              <w:spacing w:after="0"/>
              <w:rPr>
                <w:sz w:val="6"/>
                <w:szCs w:val="6"/>
                <w:color w:val="auto"/>
              </w:rPr>
            </w:pPr>
          </w:p>
        </w:tc>
        <w:tc>
          <w:tcPr>
            <w:tcW w:w="240" w:type="dxa"/>
            <w:vAlign w:val="bottom"/>
            <w:shd w:val="clear" w:color="auto" w:fill="007DB6"/>
          </w:tcPr>
          <w:p>
            <w:pPr>
              <w:spacing w:after="0"/>
              <w:rPr>
                <w:sz w:val="6"/>
                <w:szCs w:val="6"/>
                <w:color w:val="auto"/>
              </w:rPr>
            </w:pPr>
          </w:p>
        </w:tc>
        <w:tc>
          <w:tcPr>
            <w:tcW w:w="1240" w:type="dxa"/>
            <w:vAlign w:val="bottom"/>
            <w:vMerge w:val="restart"/>
            <w:shd w:val="clear" w:color="auto" w:fill="007DB6"/>
          </w:tcPr>
          <w:p>
            <w:pPr>
              <w:jc w:val="right"/>
              <w:ind w:right="297"/>
              <w:spacing w:after="0"/>
              <w:rPr>
                <w:sz w:val="20"/>
                <w:szCs w:val="20"/>
                <w:color w:val="auto"/>
              </w:rPr>
            </w:pPr>
            <w:r>
              <w:rPr>
                <w:rFonts w:ascii="Arial" w:cs="Arial" w:eastAsia="Arial" w:hAnsi="Arial"/>
                <w:sz w:val="13"/>
                <w:szCs w:val="13"/>
                <w:color w:val="FFFFFF"/>
              </w:rPr>
              <w:t>Potential</w:t>
            </w:r>
          </w:p>
        </w:tc>
        <w:tc>
          <w:tcPr>
            <w:tcW w:w="1240" w:type="dxa"/>
            <w:vAlign w:val="bottom"/>
            <w:vMerge w:val="continue"/>
            <w:shd w:val="clear" w:color="auto" w:fill="007DB6"/>
          </w:tcPr>
          <w:p>
            <w:pPr>
              <w:spacing w:after="0"/>
              <w:rPr>
                <w:sz w:val="6"/>
                <w:szCs w:val="6"/>
                <w:color w:val="auto"/>
              </w:rPr>
            </w:pPr>
          </w:p>
        </w:tc>
        <w:tc>
          <w:tcPr>
            <w:tcW w:w="300" w:type="dxa"/>
            <w:vAlign w:val="bottom"/>
            <w:shd w:val="clear" w:color="auto" w:fill="007DB6"/>
          </w:tcPr>
          <w:p>
            <w:pPr>
              <w:spacing w:after="0"/>
              <w:rPr>
                <w:sz w:val="6"/>
                <w:szCs w:val="6"/>
                <w:color w:val="auto"/>
              </w:rPr>
            </w:pPr>
          </w:p>
        </w:tc>
        <w:tc>
          <w:tcPr>
            <w:tcW w:w="1160" w:type="dxa"/>
            <w:vAlign w:val="bottom"/>
            <w:vMerge w:val="restart"/>
            <w:shd w:val="clear" w:color="auto" w:fill="007DB6"/>
          </w:tcPr>
          <w:p>
            <w:pPr>
              <w:jc w:val="right"/>
              <w:ind w:right="297"/>
              <w:spacing w:after="0"/>
              <w:rPr>
                <w:sz w:val="20"/>
                <w:szCs w:val="20"/>
                <w:color w:val="auto"/>
              </w:rPr>
            </w:pPr>
            <w:r>
              <w:rPr>
                <w:rFonts w:ascii="Arial" w:cs="Arial" w:eastAsia="Arial" w:hAnsi="Arial"/>
                <w:sz w:val="13"/>
                <w:szCs w:val="13"/>
                <w:color w:val="FFFFFF"/>
              </w:rPr>
              <w:t>Potential</w:t>
            </w:r>
          </w:p>
        </w:tc>
        <w:tc>
          <w:tcPr>
            <w:tcW w:w="1260" w:type="dxa"/>
            <w:vAlign w:val="bottom"/>
            <w:vMerge w:val="continue"/>
            <w:shd w:val="clear" w:color="auto" w:fill="007DB6"/>
          </w:tcPr>
          <w:p>
            <w:pPr>
              <w:spacing w:after="0"/>
              <w:rPr>
                <w:sz w:val="6"/>
                <w:szCs w:val="6"/>
                <w:color w:val="auto"/>
              </w:rPr>
            </w:pPr>
          </w:p>
        </w:tc>
        <w:tc>
          <w:tcPr>
            <w:tcW w:w="240" w:type="dxa"/>
            <w:vAlign w:val="bottom"/>
            <w:shd w:val="clear" w:color="auto" w:fill="007DB6"/>
          </w:tcPr>
          <w:p>
            <w:pPr>
              <w:spacing w:after="0"/>
              <w:rPr>
                <w:sz w:val="6"/>
                <w:szCs w:val="6"/>
                <w:color w:val="auto"/>
              </w:rPr>
            </w:pPr>
          </w:p>
        </w:tc>
        <w:tc>
          <w:tcPr>
            <w:tcW w:w="1280" w:type="dxa"/>
            <w:vAlign w:val="bottom"/>
            <w:vMerge w:val="restart"/>
            <w:shd w:val="clear" w:color="auto" w:fill="007DB6"/>
          </w:tcPr>
          <w:p>
            <w:pPr>
              <w:jc w:val="right"/>
              <w:ind w:right="357"/>
              <w:spacing w:after="0"/>
              <w:rPr>
                <w:sz w:val="20"/>
                <w:szCs w:val="20"/>
                <w:color w:val="auto"/>
              </w:rPr>
            </w:pPr>
            <w:r>
              <w:rPr>
                <w:rFonts w:ascii="Arial" w:cs="Arial" w:eastAsia="Arial" w:hAnsi="Arial"/>
                <w:sz w:val="13"/>
                <w:szCs w:val="13"/>
                <w:color w:val="FFFFFF"/>
              </w:rPr>
              <w:t>Potential</w:t>
            </w:r>
          </w:p>
        </w:tc>
        <w:tc>
          <w:tcPr>
            <w:tcW w:w="0" w:type="dxa"/>
            <w:vAlign w:val="bottom"/>
          </w:tcPr>
          <w:p>
            <w:pPr>
              <w:spacing w:after="0"/>
              <w:rPr>
                <w:sz w:val="1"/>
                <w:szCs w:val="1"/>
                <w:color w:val="auto"/>
              </w:rPr>
            </w:pPr>
          </w:p>
        </w:tc>
      </w:tr>
      <w:tr>
        <w:trPr>
          <w:trHeight w:val="90"/>
        </w:trPr>
        <w:tc>
          <w:tcPr>
            <w:tcW w:w="2240" w:type="dxa"/>
            <w:vAlign w:val="bottom"/>
            <w:shd w:val="clear" w:color="auto" w:fill="007DB6"/>
          </w:tcPr>
          <w:p>
            <w:pPr>
              <w:spacing w:after="0"/>
              <w:rPr>
                <w:sz w:val="7"/>
                <w:szCs w:val="7"/>
                <w:color w:val="auto"/>
              </w:rPr>
            </w:pPr>
          </w:p>
        </w:tc>
        <w:tc>
          <w:tcPr>
            <w:tcW w:w="2280" w:type="dxa"/>
            <w:vAlign w:val="bottom"/>
            <w:gridSpan w:val="2"/>
            <w:vMerge w:val="restart"/>
            <w:shd w:val="clear" w:color="auto" w:fill="007DB6"/>
          </w:tcPr>
          <w:p>
            <w:pPr>
              <w:jc w:val="center"/>
              <w:ind w:left="697"/>
              <w:spacing w:after="0"/>
              <w:rPr>
                <w:sz w:val="20"/>
                <w:szCs w:val="20"/>
                <w:color w:val="auto"/>
              </w:rPr>
            </w:pPr>
            <w:r>
              <w:rPr>
                <w:rFonts w:ascii="Arial" w:cs="Arial" w:eastAsia="Arial" w:hAnsi="Arial"/>
                <w:sz w:val="13"/>
                <w:szCs w:val="13"/>
                <w:color w:val="FFFFFF"/>
                <w:w w:val="95"/>
              </w:rPr>
              <w:t>(as % of Base Salary)</w:t>
            </w:r>
          </w:p>
        </w:tc>
        <w:tc>
          <w:tcPr>
            <w:tcW w:w="1240" w:type="dxa"/>
            <w:vAlign w:val="bottom"/>
            <w:vMerge w:val="continue"/>
            <w:shd w:val="clear" w:color="auto" w:fill="007DB6"/>
          </w:tcPr>
          <w:p>
            <w:pPr>
              <w:spacing w:after="0"/>
              <w:rPr>
                <w:sz w:val="7"/>
                <w:szCs w:val="7"/>
                <w:color w:val="auto"/>
              </w:rPr>
            </w:pPr>
          </w:p>
        </w:tc>
        <w:tc>
          <w:tcPr>
            <w:tcW w:w="1540" w:type="dxa"/>
            <w:vAlign w:val="bottom"/>
            <w:gridSpan w:val="2"/>
            <w:vMerge w:val="restart"/>
            <w:shd w:val="clear" w:color="auto" w:fill="007DB6"/>
          </w:tcPr>
          <w:p>
            <w:pPr>
              <w:jc w:val="center"/>
              <w:spacing w:after="0"/>
              <w:rPr>
                <w:sz w:val="20"/>
                <w:szCs w:val="20"/>
                <w:color w:val="auto"/>
              </w:rPr>
            </w:pPr>
            <w:r>
              <w:rPr>
                <w:rFonts w:ascii="Arial" w:cs="Arial" w:eastAsia="Arial" w:hAnsi="Arial"/>
                <w:sz w:val="13"/>
                <w:szCs w:val="13"/>
                <w:color w:val="FFFFFF"/>
                <w:w w:val="97"/>
              </w:rPr>
              <w:t>(as % of Base Salary)</w:t>
            </w:r>
          </w:p>
        </w:tc>
        <w:tc>
          <w:tcPr>
            <w:tcW w:w="1160" w:type="dxa"/>
            <w:vAlign w:val="bottom"/>
            <w:vMerge w:val="continue"/>
            <w:shd w:val="clear" w:color="auto" w:fill="007DB6"/>
          </w:tcPr>
          <w:p>
            <w:pPr>
              <w:spacing w:after="0"/>
              <w:rPr>
                <w:sz w:val="7"/>
                <w:szCs w:val="7"/>
                <w:color w:val="auto"/>
              </w:rPr>
            </w:pPr>
          </w:p>
        </w:tc>
        <w:tc>
          <w:tcPr>
            <w:tcW w:w="1500" w:type="dxa"/>
            <w:vAlign w:val="bottom"/>
            <w:gridSpan w:val="2"/>
            <w:vMerge w:val="restart"/>
            <w:shd w:val="clear" w:color="auto" w:fill="007DB6"/>
          </w:tcPr>
          <w:p>
            <w:pPr>
              <w:jc w:val="center"/>
              <w:spacing w:after="0"/>
              <w:rPr>
                <w:sz w:val="20"/>
                <w:szCs w:val="20"/>
                <w:color w:val="auto"/>
              </w:rPr>
            </w:pPr>
            <w:r>
              <w:rPr>
                <w:rFonts w:ascii="Arial" w:cs="Arial" w:eastAsia="Arial" w:hAnsi="Arial"/>
                <w:sz w:val="13"/>
                <w:szCs w:val="13"/>
                <w:color w:val="FFFFFF"/>
                <w:w w:val="95"/>
              </w:rPr>
              <w:t>(as % of Base Salary)</w:t>
            </w:r>
          </w:p>
        </w:tc>
        <w:tc>
          <w:tcPr>
            <w:tcW w:w="1280" w:type="dxa"/>
            <w:vAlign w:val="bottom"/>
            <w:vMerge w:val="continue"/>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240" w:type="dxa"/>
            <w:vAlign w:val="bottom"/>
            <w:tcBorders>
              <w:bottom w:val="single" w:sz="8" w:color="007DB6"/>
            </w:tcBorders>
            <w:shd w:val="clear" w:color="auto" w:fill="007DB6"/>
          </w:tcPr>
          <w:p>
            <w:pPr>
              <w:spacing w:after="0"/>
              <w:rPr>
                <w:sz w:val="7"/>
                <w:szCs w:val="7"/>
                <w:color w:val="auto"/>
              </w:rPr>
            </w:pPr>
          </w:p>
        </w:tc>
        <w:tc>
          <w:tcPr>
            <w:tcW w:w="2280" w:type="dxa"/>
            <w:vAlign w:val="bottom"/>
            <w:tcBorders>
              <w:bottom w:val="single" w:sz="8" w:color="007DB6"/>
            </w:tcBorders>
            <w:gridSpan w:val="2"/>
            <w:vMerge w:val="continue"/>
            <w:shd w:val="clear" w:color="auto" w:fill="007DB6"/>
          </w:tcPr>
          <w:p>
            <w:pPr>
              <w:spacing w:after="0"/>
              <w:rPr>
                <w:sz w:val="7"/>
                <w:szCs w:val="7"/>
                <w:color w:val="auto"/>
              </w:rPr>
            </w:pPr>
          </w:p>
        </w:tc>
        <w:tc>
          <w:tcPr>
            <w:tcW w:w="1240" w:type="dxa"/>
            <w:vAlign w:val="bottom"/>
            <w:tcBorders>
              <w:bottom w:val="single" w:sz="8" w:color="007DB6"/>
            </w:tcBorders>
            <w:shd w:val="clear" w:color="auto" w:fill="007DB6"/>
          </w:tcPr>
          <w:p>
            <w:pPr>
              <w:spacing w:after="0"/>
              <w:rPr>
                <w:sz w:val="7"/>
                <w:szCs w:val="7"/>
                <w:color w:val="auto"/>
              </w:rPr>
            </w:pPr>
          </w:p>
        </w:tc>
        <w:tc>
          <w:tcPr>
            <w:tcW w:w="1540" w:type="dxa"/>
            <w:vAlign w:val="bottom"/>
            <w:tcBorders>
              <w:bottom w:val="single" w:sz="8" w:color="007DB6"/>
            </w:tcBorders>
            <w:gridSpan w:val="2"/>
            <w:vMerge w:val="continue"/>
            <w:shd w:val="clear" w:color="auto" w:fill="007DB6"/>
          </w:tcPr>
          <w:p>
            <w:pPr>
              <w:spacing w:after="0"/>
              <w:rPr>
                <w:sz w:val="7"/>
                <w:szCs w:val="7"/>
                <w:color w:val="auto"/>
              </w:rPr>
            </w:pPr>
          </w:p>
        </w:tc>
        <w:tc>
          <w:tcPr>
            <w:tcW w:w="1160" w:type="dxa"/>
            <w:vAlign w:val="bottom"/>
            <w:tcBorders>
              <w:bottom w:val="single" w:sz="8" w:color="007DB6"/>
            </w:tcBorders>
            <w:shd w:val="clear" w:color="auto" w:fill="007DB6"/>
          </w:tcPr>
          <w:p>
            <w:pPr>
              <w:spacing w:after="0"/>
              <w:rPr>
                <w:sz w:val="7"/>
                <w:szCs w:val="7"/>
                <w:color w:val="auto"/>
              </w:rPr>
            </w:pPr>
          </w:p>
        </w:tc>
        <w:tc>
          <w:tcPr>
            <w:tcW w:w="1500" w:type="dxa"/>
            <w:vAlign w:val="bottom"/>
            <w:tcBorders>
              <w:bottom w:val="single" w:sz="8" w:color="007DB6"/>
            </w:tcBorders>
            <w:gridSpan w:val="2"/>
            <w:vMerge w:val="continue"/>
            <w:shd w:val="clear" w:color="auto" w:fill="007DB6"/>
          </w:tcPr>
          <w:p>
            <w:pPr>
              <w:spacing w:after="0"/>
              <w:rPr>
                <w:sz w:val="7"/>
                <w:szCs w:val="7"/>
                <w:color w:val="auto"/>
              </w:rPr>
            </w:pPr>
          </w:p>
        </w:tc>
        <w:tc>
          <w:tcPr>
            <w:tcW w:w="1280" w:type="dxa"/>
            <w:vAlign w:val="bottom"/>
            <w:tcBorders>
              <w:bottom w:val="single" w:sz="8" w:color="007DB6"/>
            </w:tcBorders>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80"/>
              <w:spacing w:after="0"/>
              <w:rPr>
                <w:sz w:val="20"/>
                <w:szCs w:val="20"/>
                <w:color w:val="auto"/>
              </w:rPr>
            </w:pPr>
            <w:r>
              <w:rPr>
                <w:rFonts w:ascii="Arial" w:cs="Arial" w:eastAsia="Arial" w:hAnsi="Arial"/>
                <w:sz w:val="13"/>
                <w:szCs w:val="13"/>
                <w:color w:val="444A54"/>
              </w:rPr>
              <w:t>H. Lynn Harton</w:t>
            </w:r>
          </w:p>
        </w:tc>
        <w:tc>
          <w:tcPr>
            <w:tcW w:w="2040" w:type="dxa"/>
            <w:vAlign w:val="bottom"/>
          </w:tcPr>
          <w:p>
            <w:pPr>
              <w:jc w:val="right"/>
              <w:spacing w:after="0"/>
              <w:rPr>
                <w:sz w:val="20"/>
                <w:szCs w:val="20"/>
                <w:color w:val="auto"/>
              </w:rPr>
            </w:pPr>
            <w:r>
              <w:rPr>
                <w:rFonts w:ascii="Arial" w:cs="Arial" w:eastAsia="Arial" w:hAnsi="Arial"/>
                <w:sz w:val="13"/>
                <w:szCs w:val="13"/>
                <w:color w:val="444A54"/>
              </w:rPr>
              <w:t>62.5</w:t>
            </w:r>
          </w:p>
        </w:tc>
        <w:tc>
          <w:tcPr>
            <w:tcW w:w="240" w:type="dxa"/>
            <w:vAlign w:val="bottom"/>
          </w:tcPr>
          <w:p>
            <w:pPr>
              <w:jc w:val="right"/>
              <w:ind w:right="37"/>
              <w:spacing w:after="0"/>
              <w:rPr>
                <w:sz w:val="20"/>
                <w:szCs w:val="20"/>
                <w:color w:val="auto"/>
              </w:rPr>
            </w:pPr>
            <w:r>
              <w:rPr>
                <w:rFonts w:ascii="Arial" w:cs="Arial" w:eastAsia="Arial" w:hAnsi="Arial"/>
                <w:sz w:val="13"/>
                <w:szCs w:val="13"/>
                <w:color w:val="444A54"/>
              </w:rPr>
              <w:t>%</w:t>
            </w:r>
          </w:p>
        </w:tc>
        <w:tc>
          <w:tcPr>
            <w:tcW w:w="1240" w:type="dxa"/>
            <w:vAlign w:val="bottom"/>
          </w:tcPr>
          <w:p>
            <w:pPr>
              <w:jc w:val="right"/>
              <w:ind w:right="97"/>
              <w:spacing w:after="0"/>
              <w:rPr>
                <w:sz w:val="20"/>
                <w:szCs w:val="20"/>
                <w:color w:val="auto"/>
              </w:rPr>
            </w:pPr>
            <w:r>
              <w:rPr>
                <w:rFonts w:ascii="Arial" w:cs="Arial" w:eastAsia="Arial" w:hAnsi="Arial"/>
                <w:sz w:val="13"/>
                <w:szCs w:val="13"/>
                <w:color w:val="444A54"/>
              </w:rPr>
              <w:t>$ 703,125</w:t>
            </w:r>
          </w:p>
        </w:tc>
        <w:tc>
          <w:tcPr>
            <w:tcW w:w="1240" w:type="dxa"/>
            <w:vAlign w:val="bottom"/>
          </w:tcPr>
          <w:p>
            <w:pPr>
              <w:jc w:val="right"/>
              <w:spacing w:after="0"/>
              <w:rPr>
                <w:sz w:val="20"/>
                <w:szCs w:val="20"/>
                <w:color w:val="auto"/>
              </w:rPr>
            </w:pPr>
            <w:r>
              <w:rPr>
                <w:rFonts w:ascii="Arial" w:cs="Arial" w:eastAsia="Arial" w:hAnsi="Arial"/>
                <w:sz w:val="13"/>
                <w:szCs w:val="13"/>
                <w:color w:val="444A54"/>
              </w:rPr>
              <w:t>125.0</w:t>
            </w:r>
          </w:p>
        </w:tc>
        <w:tc>
          <w:tcPr>
            <w:tcW w:w="300" w:type="dxa"/>
            <w:vAlign w:val="bottom"/>
          </w:tcPr>
          <w:p>
            <w:pPr>
              <w:jc w:val="right"/>
              <w:ind w:right="97"/>
              <w:spacing w:after="0"/>
              <w:rPr>
                <w:sz w:val="20"/>
                <w:szCs w:val="20"/>
                <w:color w:val="auto"/>
              </w:rPr>
            </w:pPr>
            <w:r>
              <w:rPr>
                <w:rFonts w:ascii="Arial" w:cs="Arial" w:eastAsia="Arial" w:hAnsi="Arial"/>
                <w:sz w:val="13"/>
                <w:szCs w:val="13"/>
                <w:color w:val="444A54"/>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444A54"/>
              </w:rPr>
              <w:t>$ 1,406,250</w:t>
            </w:r>
          </w:p>
        </w:tc>
        <w:tc>
          <w:tcPr>
            <w:tcW w:w="1260" w:type="dxa"/>
            <w:vAlign w:val="bottom"/>
          </w:tcPr>
          <w:p>
            <w:pPr>
              <w:jc w:val="right"/>
              <w:spacing w:after="0"/>
              <w:rPr>
                <w:sz w:val="20"/>
                <w:szCs w:val="20"/>
                <w:color w:val="auto"/>
              </w:rPr>
            </w:pPr>
            <w:r>
              <w:rPr>
                <w:rFonts w:ascii="Arial" w:cs="Arial" w:eastAsia="Arial" w:hAnsi="Arial"/>
                <w:sz w:val="13"/>
                <w:szCs w:val="13"/>
                <w:color w:val="444A54"/>
              </w:rPr>
              <w:t>187.5</w:t>
            </w:r>
          </w:p>
        </w:tc>
        <w:tc>
          <w:tcPr>
            <w:tcW w:w="240" w:type="dxa"/>
            <w:vAlign w:val="bottom"/>
          </w:tcPr>
          <w:p>
            <w:pPr>
              <w:jc w:val="right"/>
              <w:ind w:right="37"/>
              <w:spacing w:after="0"/>
              <w:rPr>
                <w:sz w:val="20"/>
                <w:szCs w:val="20"/>
                <w:color w:val="auto"/>
              </w:rPr>
            </w:pPr>
            <w:r>
              <w:rPr>
                <w:rFonts w:ascii="Arial" w:cs="Arial" w:eastAsia="Arial" w:hAnsi="Arial"/>
                <w:sz w:val="13"/>
                <w:szCs w:val="13"/>
                <w:color w:val="444A54"/>
              </w:rPr>
              <w:t>%</w:t>
            </w:r>
          </w:p>
        </w:tc>
        <w:tc>
          <w:tcPr>
            <w:tcW w:w="1280" w:type="dxa"/>
            <w:vAlign w:val="bottom"/>
          </w:tcPr>
          <w:p>
            <w:pPr>
              <w:jc w:val="right"/>
              <w:ind w:right="157"/>
              <w:spacing w:after="0"/>
              <w:rPr>
                <w:sz w:val="20"/>
                <w:szCs w:val="20"/>
                <w:color w:val="auto"/>
              </w:rPr>
            </w:pPr>
            <w:r>
              <w:rPr>
                <w:rFonts w:ascii="Arial" w:cs="Arial" w:eastAsia="Arial" w:hAnsi="Arial"/>
                <w:sz w:val="13"/>
                <w:szCs w:val="13"/>
                <w:color w:val="444A54"/>
              </w:rPr>
              <w:t>$ 2,109,375</w:t>
            </w: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240" w:type="dxa"/>
            <w:vAlign w:val="bottom"/>
            <w:tcBorders>
              <w:bottom w:val="single" w:sz="8" w:color="E5E6E6"/>
            </w:tcBorders>
            <w:shd w:val="clear" w:color="auto" w:fill="E5E6E6"/>
          </w:tcPr>
          <w:p>
            <w:pPr>
              <w:ind w:left="80"/>
              <w:spacing w:after="0"/>
              <w:rPr>
                <w:sz w:val="20"/>
                <w:szCs w:val="20"/>
                <w:color w:val="auto"/>
              </w:rPr>
            </w:pPr>
            <w:r>
              <w:rPr>
                <w:rFonts w:ascii="Arial" w:cs="Arial" w:eastAsia="Arial" w:hAnsi="Arial"/>
                <w:sz w:val="13"/>
                <w:szCs w:val="13"/>
                <w:color w:val="444A54"/>
              </w:rPr>
              <w:t>Jefferson L. Harralson</w:t>
            </w:r>
          </w:p>
        </w:tc>
        <w:tc>
          <w:tcPr>
            <w:tcW w:w="204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40.0</w:t>
            </w:r>
          </w:p>
        </w:tc>
        <w:tc>
          <w:tcPr>
            <w:tcW w:w="240" w:type="dxa"/>
            <w:vAlign w:val="bottom"/>
            <w:tcBorders>
              <w:bottom w:val="single" w:sz="8" w:color="E5E6E6"/>
            </w:tcBorders>
            <w:shd w:val="clear" w:color="auto" w:fill="E5E6E6"/>
          </w:tcPr>
          <w:p>
            <w:pPr>
              <w:spacing w:after="0"/>
              <w:rPr>
                <w:sz w:val="18"/>
                <w:szCs w:val="18"/>
                <w:color w:val="auto"/>
              </w:rPr>
            </w:pPr>
          </w:p>
        </w:tc>
        <w:tc>
          <w:tcPr>
            <w:tcW w:w="1240" w:type="dxa"/>
            <w:vAlign w:val="bottom"/>
            <w:tcBorders>
              <w:bottom w:val="single" w:sz="8" w:color="E5E6E6"/>
            </w:tcBorders>
            <w:shd w:val="clear" w:color="auto" w:fill="E5E6E6"/>
          </w:tcPr>
          <w:p>
            <w:pPr>
              <w:jc w:val="right"/>
              <w:ind w:right="97"/>
              <w:spacing w:after="0"/>
              <w:rPr>
                <w:sz w:val="20"/>
                <w:szCs w:val="20"/>
                <w:color w:val="auto"/>
              </w:rPr>
            </w:pPr>
            <w:r>
              <w:rPr>
                <w:rFonts w:ascii="Arial" w:cs="Arial" w:eastAsia="Arial" w:hAnsi="Arial"/>
                <w:sz w:val="13"/>
                <w:szCs w:val="13"/>
                <w:color w:val="444A54"/>
              </w:rPr>
              <w:t>220,000</w:t>
            </w:r>
          </w:p>
        </w:tc>
        <w:tc>
          <w:tcPr>
            <w:tcW w:w="124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80.0</w:t>
            </w:r>
          </w:p>
        </w:tc>
        <w:tc>
          <w:tcPr>
            <w:tcW w:w="300" w:type="dxa"/>
            <w:vAlign w:val="bottom"/>
            <w:tcBorders>
              <w:bottom w:val="single" w:sz="8" w:color="E5E6E6"/>
            </w:tcBorders>
            <w:shd w:val="clear" w:color="auto" w:fill="E5E6E6"/>
          </w:tcPr>
          <w:p>
            <w:pPr>
              <w:spacing w:after="0"/>
              <w:rPr>
                <w:sz w:val="18"/>
                <w:szCs w:val="18"/>
                <w:color w:val="auto"/>
              </w:rPr>
            </w:pPr>
          </w:p>
        </w:tc>
        <w:tc>
          <w:tcPr>
            <w:tcW w:w="1160" w:type="dxa"/>
            <w:vAlign w:val="bottom"/>
            <w:tcBorders>
              <w:bottom w:val="single" w:sz="8" w:color="E5E6E6"/>
            </w:tcBorders>
            <w:shd w:val="clear" w:color="auto" w:fill="E5E6E6"/>
          </w:tcPr>
          <w:p>
            <w:pPr>
              <w:jc w:val="right"/>
              <w:ind w:right="97"/>
              <w:spacing w:after="0"/>
              <w:rPr>
                <w:sz w:val="20"/>
                <w:szCs w:val="20"/>
                <w:color w:val="auto"/>
              </w:rPr>
            </w:pPr>
            <w:r>
              <w:rPr>
                <w:rFonts w:ascii="Arial" w:cs="Arial" w:eastAsia="Arial" w:hAnsi="Arial"/>
                <w:sz w:val="13"/>
                <w:szCs w:val="13"/>
                <w:color w:val="444A54"/>
              </w:rPr>
              <w:t>440,000</w:t>
            </w:r>
          </w:p>
        </w:tc>
        <w:tc>
          <w:tcPr>
            <w:tcW w:w="126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120.0</w:t>
            </w:r>
          </w:p>
        </w:tc>
        <w:tc>
          <w:tcPr>
            <w:tcW w:w="240" w:type="dxa"/>
            <w:vAlign w:val="bottom"/>
            <w:tcBorders>
              <w:bottom w:val="single" w:sz="8" w:color="E5E6E6"/>
            </w:tcBorders>
            <w:shd w:val="clear" w:color="auto" w:fill="E5E6E6"/>
          </w:tcPr>
          <w:p>
            <w:pPr>
              <w:spacing w:after="0"/>
              <w:rPr>
                <w:sz w:val="18"/>
                <w:szCs w:val="18"/>
                <w:color w:val="auto"/>
              </w:rPr>
            </w:pPr>
          </w:p>
        </w:tc>
        <w:tc>
          <w:tcPr>
            <w:tcW w:w="1280" w:type="dxa"/>
            <w:vAlign w:val="bottom"/>
            <w:tcBorders>
              <w:bottom w:val="single" w:sz="8" w:color="E5E6E6"/>
            </w:tcBorders>
            <w:shd w:val="clear" w:color="auto" w:fill="E5E6E6"/>
          </w:tcPr>
          <w:p>
            <w:pPr>
              <w:jc w:val="right"/>
              <w:ind w:right="157"/>
              <w:spacing w:after="0"/>
              <w:rPr>
                <w:sz w:val="20"/>
                <w:szCs w:val="20"/>
                <w:color w:val="auto"/>
              </w:rPr>
            </w:pPr>
            <w:r>
              <w:rPr>
                <w:rFonts w:ascii="Arial" w:cs="Arial" w:eastAsia="Arial" w:hAnsi="Arial"/>
                <w:sz w:val="13"/>
                <w:szCs w:val="13"/>
                <w:color w:val="444A54"/>
              </w:rPr>
              <w:t>660,000</w:t>
            </w:r>
          </w:p>
        </w:tc>
        <w:tc>
          <w:tcPr>
            <w:tcW w:w="0" w:type="dxa"/>
            <w:vAlign w:val="bottom"/>
          </w:tcPr>
          <w:p>
            <w:pPr>
              <w:spacing w:after="0"/>
              <w:rPr>
                <w:sz w:val="1"/>
                <w:szCs w:val="1"/>
                <w:color w:val="auto"/>
              </w:rPr>
            </w:pPr>
          </w:p>
        </w:tc>
      </w:tr>
      <w:tr>
        <w:trPr>
          <w:trHeight w:val="203"/>
        </w:trPr>
        <w:tc>
          <w:tcPr>
            <w:tcW w:w="2240" w:type="dxa"/>
            <w:vAlign w:val="bottom"/>
          </w:tcPr>
          <w:p>
            <w:pPr>
              <w:ind w:left="80"/>
              <w:spacing w:after="0"/>
              <w:rPr>
                <w:sz w:val="20"/>
                <w:szCs w:val="20"/>
                <w:color w:val="auto"/>
              </w:rPr>
            </w:pPr>
            <w:r>
              <w:rPr>
                <w:rFonts w:ascii="Arial" w:cs="Arial" w:eastAsia="Arial" w:hAnsi="Arial"/>
                <w:sz w:val="13"/>
                <w:szCs w:val="13"/>
                <w:color w:val="444A54"/>
              </w:rPr>
              <w:t>Richard W. Bradshaw</w:t>
            </w:r>
          </w:p>
        </w:tc>
        <w:tc>
          <w:tcPr>
            <w:tcW w:w="2040" w:type="dxa"/>
            <w:vAlign w:val="bottom"/>
          </w:tcPr>
          <w:p>
            <w:pPr>
              <w:jc w:val="right"/>
              <w:spacing w:after="0"/>
              <w:rPr>
                <w:sz w:val="20"/>
                <w:szCs w:val="20"/>
                <w:color w:val="auto"/>
              </w:rPr>
            </w:pPr>
            <w:r>
              <w:rPr>
                <w:rFonts w:ascii="Arial" w:cs="Arial" w:eastAsia="Arial" w:hAnsi="Arial"/>
                <w:sz w:val="13"/>
                <w:szCs w:val="13"/>
                <w:color w:val="444A54"/>
              </w:rPr>
              <w:t>50.0</w:t>
            </w:r>
          </w:p>
        </w:tc>
        <w:tc>
          <w:tcPr>
            <w:tcW w:w="240" w:type="dxa"/>
            <w:vAlign w:val="bottom"/>
          </w:tcPr>
          <w:p>
            <w:pPr>
              <w:spacing w:after="0"/>
              <w:rPr>
                <w:sz w:val="17"/>
                <w:szCs w:val="17"/>
                <w:color w:val="auto"/>
              </w:rPr>
            </w:pPr>
          </w:p>
        </w:tc>
        <w:tc>
          <w:tcPr>
            <w:tcW w:w="1240" w:type="dxa"/>
            <w:vAlign w:val="bottom"/>
          </w:tcPr>
          <w:p>
            <w:pPr>
              <w:jc w:val="right"/>
              <w:ind w:right="97"/>
              <w:spacing w:after="0"/>
              <w:rPr>
                <w:sz w:val="20"/>
                <w:szCs w:val="20"/>
                <w:color w:val="auto"/>
              </w:rPr>
            </w:pPr>
            <w:r>
              <w:rPr>
                <w:rFonts w:ascii="Arial" w:cs="Arial" w:eastAsia="Arial" w:hAnsi="Arial"/>
                <w:sz w:val="13"/>
                <w:szCs w:val="13"/>
                <w:color w:val="444A54"/>
              </w:rPr>
              <w:t>337,500</w:t>
            </w:r>
          </w:p>
        </w:tc>
        <w:tc>
          <w:tcPr>
            <w:tcW w:w="1240" w:type="dxa"/>
            <w:vAlign w:val="bottom"/>
          </w:tcPr>
          <w:p>
            <w:pPr>
              <w:jc w:val="right"/>
              <w:spacing w:after="0"/>
              <w:rPr>
                <w:sz w:val="20"/>
                <w:szCs w:val="20"/>
                <w:color w:val="auto"/>
              </w:rPr>
            </w:pPr>
            <w:r>
              <w:rPr>
                <w:rFonts w:ascii="Arial" w:cs="Arial" w:eastAsia="Arial" w:hAnsi="Arial"/>
                <w:sz w:val="13"/>
                <w:szCs w:val="13"/>
                <w:color w:val="444A54"/>
              </w:rPr>
              <w:t>100.0</w:t>
            </w:r>
          </w:p>
        </w:tc>
        <w:tc>
          <w:tcPr>
            <w:tcW w:w="300" w:type="dxa"/>
            <w:vAlign w:val="bottom"/>
          </w:tcPr>
          <w:p>
            <w:pPr>
              <w:spacing w:after="0"/>
              <w:rPr>
                <w:sz w:val="17"/>
                <w:szCs w:val="17"/>
                <w:color w:val="auto"/>
              </w:rPr>
            </w:pPr>
          </w:p>
        </w:tc>
        <w:tc>
          <w:tcPr>
            <w:tcW w:w="1160" w:type="dxa"/>
            <w:vAlign w:val="bottom"/>
          </w:tcPr>
          <w:p>
            <w:pPr>
              <w:jc w:val="right"/>
              <w:ind w:right="97"/>
              <w:spacing w:after="0"/>
              <w:rPr>
                <w:sz w:val="20"/>
                <w:szCs w:val="20"/>
                <w:color w:val="auto"/>
              </w:rPr>
            </w:pPr>
            <w:r>
              <w:rPr>
                <w:rFonts w:ascii="Arial" w:cs="Arial" w:eastAsia="Arial" w:hAnsi="Arial"/>
                <w:sz w:val="13"/>
                <w:szCs w:val="13"/>
                <w:color w:val="444A54"/>
              </w:rPr>
              <w:t>675,000</w:t>
            </w:r>
          </w:p>
        </w:tc>
        <w:tc>
          <w:tcPr>
            <w:tcW w:w="1260" w:type="dxa"/>
            <w:vAlign w:val="bottom"/>
          </w:tcPr>
          <w:p>
            <w:pPr>
              <w:jc w:val="right"/>
              <w:spacing w:after="0"/>
              <w:rPr>
                <w:sz w:val="20"/>
                <w:szCs w:val="20"/>
                <w:color w:val="auto"/>
              </w:rPr>
            </w:pPr>
            <w:r>
              <w:rPr>
                <w:rFonts w:ascii="Arial" w:cs="Arial" w:eastAsia="Arial" w:hAnsi="Arial"/>
                <w:sz w:val="13"/>
                <w:szCs w:val="13"/>
                <w:color w:val="444A54"/>
              </w:rPr>
              <w:t>150.0</w:t>
            </w:r>
          </w:p>
        </w:tc>
        <w:tc>
          <w:tcPr>
            <w:tcW w:w="240" w:type="dxa"/>
            <w:vAlign w:val="bottom"/>
          </w:tcPr>
          <w:p>
            <w:pPr>
              <w:spacing w:after="0"/>
              <w:rPr>
                <w:sz w:val="17"/>
                <w:szCs w:val="17"/>
                <w:color w:val="auto"/>
              </w:rPr>
            </w:pPr>
          </w:p>
        </w:tc>
        <w:tc>
          <w:tcPr>
            <w:tcW w:w="1280" w:type="dxa"/>
            <w:vAlign w:val="bottom"/>
          </w:tcPr>
          <w:p>
            <w:pPr>
              <w:jc w:val="right"/>
              <w:ind w:right="157"/>
              <w:spacing w:after="0"/>
              <w:rPr>
                <w:sz w:val="20"/>
                <w:szCs w:val="20"/>
                <w:color w:val="auto"/>
              </w:rPr>
            </w:pPr>
            <w:r>
              <w:rPr>
                <w:rFonts w:ascii="Arial" w:cs="Arial" w:eastAsia="Arial" w:hAnsi="Arial"/>
                <w:sz w:val="13"/>
                <w:szCs w:val="13"/>
                <w:color w:val="444A54"/>
              </w:rPr>
              <w:t>1,012,500</w:t>
            </w: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240" w:type="dxa"/>
            <w:vAlign w:val="bottom"/>
            <w:tcBorders>
              <w:bottom w:val="single" w:sz="8" w:color="E5E6E6"/>
            </w:tcBorders>
            <w:shd w:val="clear" w:color="auto" w:fill="E5E6E6"/>
          </w:tcPr>
          <w:p>
            <w:pPr>
              <w:ind w:left="80"/>
              <w:spacing w:after="0"/>
              <w:rPr>
                <w:sz w:val="20"/>
                <w:szCs w:val="20"/>
                <w:color w:val="auto"/>
              </w:rPr>
            </w:pPr>
            <w:r>
              <w:rPr>
                <w:rFonts w:ascii="Arial" w:cs="Arial" w:eastAsia="Arial" w:hAnsi="Arial"/>
                <w:sz w:val="13"/>
                <w:szCs w:val="13"/>
                <w:color w:val="444A54"/>
              </w:rPr>
              <w:t>Melinda Davis Lux</w:t>
            </w:r>
          </w:p>
        </w:tc>
        <w:tc>
          <w:tcPr>
            <w:tcW w:w="204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40.0</w:t>
            </w:r>
          </w:p>
        </w:tc>
        <w:tc>
          <w:tcPr>
            <w:tcW w:w="240" w:type="dxa"/>
            <w:vAlign w:val="bottom"/>
            <w:tcBorders>
              <w:bottom w:val="single" w:sz="8" w:color="E5E6E6"/>
            </w:tcBorders>
            <w:shd w:val="clear" w:color="auto" w:fill="E5E6E6"/>
          </w:tcPr>
          <w:p>
            <w:pPr>
              <w:spacing w:after="0"/>
              <w:rPr>
                <w:sz w:val="18"/>
                <w:szCs w:val="18"/>
                <w:color w:val="auto"/>
              </w:rPr>
            </w:pPr>
          </w:p>
        </w:tc>
        <w:tc>
          <w:tcPr>
            <w:tcW w:w="1240" w:type="dxa"/>
            <w:vAlign w:val="bottom"/>
            <w:tcBorders>
              <w:bottom w:val="single" w:sz="8" w:color="E5E6E6"/>
            </w:tcBorders>
            <w:shd w:val="clear" w:color="auto" w:fill="E5E6E6"/>
          </w:tcPr>
          <w:p>
            <w:pPr>
              <w:jc w:val="right"/>
              <w:ind w:right="97"/>
              <w:spacing w:after="0"/>
              <w:rPr>
                <w:sz w:val="20"/>
                <w:szCs w:val="20"/>
                <w:color w:val="auto"/>
              </w:rPr>
            </w:pPr>
            <w:r>
              <w:rPr>
                <w:rFonts w:ascii="Arial" w:cs="Arial" w:eastAsia="Arial" w:hAnsi="Arial"/>
                <w:sz w:val="13"/>
                <w:szCs w:val="13"/>
                <w:color w:val="444A54"/>
              </w:rPr>
              <w:t>220,000</w:t>
            </w:r>
          </w:p>
        </w:tc>
        <w:tc>
          <w:tcPr>
            <w:tcW w:w="124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80.0</w:t>
            </w:r>
          </w:p>
        </w:tc>
        <w:tc>
          <w:tcPr>
            <w:tcW w:w="300" w:type="dxa"/>
            <w:vAlign w:val="bottom"/>
            <w:tcBorders>
              <w:bottom w:val="single" w:sz="8" w:color="E5E6E6"/>
            </w:tcBorders>
            <w:shd w:val="clear" w:color="auto" w:fill="E5E6E6"/>
          </w:tcPr>
          <w:p>
            <w:pPr>
              <w:spacing w:after="0"/>
              <w:rPr>
                <w:sz w:val="18"/>
                <w:szCs w:val="18"/>
                <w:color w:val="auto"/>
              </w:rPr>
            </w:pPr>
          </w:p>
        </w:tc>
        <w:tc>
          <w:tcPr>
            <w:tcW w:w="1160" w:type="dxa"/>
            <w:vAlign w:val="bottom"/>
            <w:tcBorders>
              <w:bottom w:val="single" w:sz="8" w:color="E5E6E6"/>
            </w:tcBorders>
            <w:shd w:val="clear" w:color="auto" w:fill="E5E6E6"/>
          </w:tcPr>
          <w:p>
            <w:pPr>
              <w:jc w:val="right"/>
              <w:ind w:right="97"/>
              <w:spacing w:after="0"/>
              <w:rPr>
                <w:sz w:val="20"/>
                <w:szCs w:val="20"/>
                <w:color w:val="auto"/>
              </w:rPr>
            </w:pPr>
            <w:r>
              <w:rPr>
                <w:rFonts w:ascii="Arial" w:cs="Arial" w:eastAsia="Arial" w:hAnsi="Arial"/>
                <w:sz w:val="13"/>
                <w:szCs w:val="13"/>
                <w:color w:val="444A54"/>
              </w:rPr>
              <w:t>440,000</w:t>
            </w:r>
          </w:p>
        </w:tc>
        <w:tc>
          <w:tcPr>
            <w:tcW w:w="126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120.0</w:t>
            </w:r>
          </w:p>
        </w:tc>
        <w:tc>
          <w:tcPr>
            <w:tcW w:w="240" w:type="dxa"/>
            <w:vAlign w:val="bottom"/>
            <w:tcBorders>
              <w:bottom w:val="single" w:sz="8" w:color="E5E6E6"/>
            </w:tcBorders>
            <w:shd w:val="clear" w:color="auto" w:fill="E5E6E6"/>
          </w:tcPr>
          <w:p>
            <w:pPr>
              <w:spacing w:after="0"/>
              <w:rPr>
                <w:sz w:val="18"/>
                <w:szCs w:val="18"/>
                <w:color w:val="auto"/>
              </w:rPr>
            </w:pPr>
          </w:p>
        </w:tc>
        <w:tc>
          <w:tcPr>
            <w:tcW w:w="1280" w:type="dxa"/>
            <w:vAlign w:val="bottom"/>
            <w:tcBorders>
              <w:bottom w:val="single" w:sz="8" w:color="E5E6E6"/>
            </w:tcBorders>
            <w:shd w:val="clear" w:color="auto" w:fill="E5E6E6"/>
          </w:tcPr>
          <w:p>
            <w:pPr>
              <w:jc w:val="right"/>
              <w:ind w:right="157"/>
              <w:spacing w:after="0"/>
              <w:rPr>
                <w:sz w:val="20"/>
                <w:szCs w:val="20"/>
                <w:color w:val="auto"/>
              </w:rPr>
            </w:pPr>
            <w:r>
              <w:rPr>
                <w:rFonts w:ascii="Arial" w:cs="Arial" w:eastAsia="Arial" w:hAnsi="Arial"/>
                <w:sz w:val="13"/>
                <w:szCs w:val="13"/>
                <w:color w:val="444A54"/>
              </w:rPr>
              <w:t>660,000</w:t>
            </w:r>
          </w:p>
        </w:tc>
        <w:tc>
          <w:tcPr>
            <w:tcW w:w="0" w:type="dxa"/>
            <w:vAlign w:val="bottom"/>
          </w:tcPr>
          <w:p>
            <w:pPr>
              <w:spacing w:after="0"/>
              <w:rPr>
                <w:sz w:val="1"/>
                <w:szCs w:val="1"/>
                <w:color w:val="auto"/>
              </w:rPr>
            </w:pPr>
          </w:p>
        </w:tc>
      </w:tr>
      <w:tr>
        <w:trPr>
          <w:trHeight w:val="203"/>
        </w:trPr>
        <w:tc>
          <w:tcPr>
            <w:tcW w:w="2240" w:type="dxa"/>
            <w:vAlign w:val="bottom"/>
          </w:tcPr>
          <w:p>
            <w:pPr>
              <w:ind w:left="80"/>
              <w:spacing w:after="0"/>
              <w:rPr>
                <w:sz w:val="20"/>
                <w:szCs w:val="20"/>
                <w:color w:val="auto"/>
              </w:rPr>
            </w:pPr>
            <w:r>
              <w:rPr>
                <w:rFonts w:ascii="Arial" w:cs="Arial" w:eastAsia="Arial" w:hAnsi="Arial"/>
                <w:sz w:val="13"/>
                <w:szCs w:val="13"/>
                <w:color w:val="444A54"/>
              </w:rPr>
              <w:t>Robert A. Edwards</w:t>
            </w:r>
          </w:p>
        </w:tc>
        <w:tc>
          <w:tcPr>
            <w:tcW w:w="2040" w:type="dxa"/>
            <w:vAlign w:val="bottom"/>
          </w:tcPr>
          <w:p>
            <w:pPr>
              <w:jc w:val="right"/>
              <w:spacing w:after="0"/>
              <w:rPr>
                <w:sz w:val="20"/>
                <w:szCs w:val="20"/>
                <w:color w:val="auto"/>
              </w:rPr>
            </w:pPr>
            <w:r>
              <w:rPr>
                <w:rFonts w:ascii="Arial" w:cs="Arial" w:eastAsia="Arial" w:hAnsi="Arial"/>
                <w:sz w:val="13"/>
                <w:szCs w:val="13"/>
                <w:color w:val="444A54"/>
              </w:rPr>
              <w:t>30.0</w:t>
            </w:r>
          </w:p>
        </w:tc>
        <w:tc>
          <w:tcPr>
            <w:tcW w:w="240" w:type="dxa"/>
            <w:vAlign w:val="bottom"/>
          </w:tcPr>
          <w:p>
            <w:pPr>
              <w:spacing w:after="0"/>
              <w:rPr>
                <w:sz w:val="17"/>
                <w:szCs w:val="17"/>
                <w:color w:val="auto"/>
              </w:rPr>
            </w:pPr>
          </w:p>
        </w:tc>
        <w:tc>
          <w:tcPr>
            <w:tcW w:w="1240" w:type="dxa"/>
            <w:vAlign w:val="bottom"/>
          </w:tcPr>
          <w:p>
            <w:pPr>
              <w:jc w:val="right"/>
              <w:ind w:right="97"/>
              <w:spacing w:after="0"/>
              <w:rPr>
                <w:sz w:val="20"/>
                <w:szCs w:val="20"/>
                <w:color w:val="auto"/>
              </w:rPr>
            </w:pPr>
            <w:r>
              <w:rPr>
                <w:rFonts w:ascii="Arial" w:cs="Arial" w:eastAsia="Arial" w:hAnsi="Arial"/>
                <w:sz w:val="13"/>
                <w:szCs w:val="13"/>
                <w:color w:val="444A54"/>
              </w:rPr>
              <w:t>150,000</w:t>
            </w:r>
          </w:p>
        </w:tc>
        <w:tc>
          <w:tcPr>
            <w:tcW w:w="1240" w:type="dxa"/>
            <w:vAlign w:val="bottom"/>
          </w:tcPr>
          <w:p>
            <w:pPr>
              <w:jc w:val="right"/>
              <w:spacing w:after="0"/>
              <w:rPr>
                <w:sz w:val="20"/>
                <w:szCs w:val="20"/>
                <w:color w:val="auto"/>
              </w:rPr>
            </w:pPr>
            <w:r>
              <w:rPr>
                <w:rFonts w:ascii="Arial" w:cs="Arial" w:eastAsia="Arial" w:hAnsi="Arial"/>
                <w:sz w:val="13"/>
                <w:szCs w:val="13"/>
                <w:color w:val="444A54"/>
              </w:rPr>
              <w:t>60.0</w:t>
            </w:r>
          </w:p>
        </w:tc>
        <w:tc>
          <w:tcPr>
            <w:tcW w:w="300" w:type="dxa"/>
            <w:vAlign w:val="bottom"/>
          </w:tcPr>
          <w:p>
            <w:pPr>
              <w:spacing w:after="0"/>
              <w:rPr>
                <w:sz w:val="17"/>
                <w:szCs w:val="17"/>
                <w:color w:val="auto"/>
              </w:rPr>
            </w:pPr>
          </w:p>
        </w:tc>
        <w:tc>
          <w:tcPr>
            <w:tcW w:w="1160" w:type="dxa"/>
            <w:vAlign w:val="bottom"/>
          </w:tcPr>
          <w:p>
            <w:pPr>
              <w:jc w:val="right"/>
              <w:ind w:right="97"/>
              <w:spacing w:after="0"/>
              <w:rPr>
                <w:sz w:val="20"/>
                <w:szCs w:val="20"/>
                <w:color w:val="auto"/>
              </w:rPr>
            </w:pPr>
            <w:r>
              <w:rPr>
                <w:rFonts w:ascii="Arial" w:cs="Arial" w:eastAsia="Arial" w:hAnsi="Arial"/>
                <w:sz w:val="13"/>
                <w:szCs w:val="13"/>
                <w:color w:val="444A54"/>
              </w:rPr>
              <w:t>300,000</w:t>
            </w:r>
          </w:p>
        </w:tc>
        <w:tc>
          <w:tcPr>
            <w:tcW w:w="1260" w:type="dxa"/>
            <w:vAlign w:val="bottom"/>
          </w:tcPr>
          <w:p>
            <w:pPr>
              <w:jc w:val="right"/>
              <w:spacing w:after="0"/>
              <w:rPr>
                <w:sz w:val="20"/>
                <w:szCs w:val="20"/>
                <w:color w:val="auto"/>
              </w:rPr>
            </w:pPr>
            <w:r>
              <w:rPr>
                <w:rFonts w:ascii="Arial" w:cs="Arial" w:eastAsia="Arial" w:hAnsi="Arial"/>
                <w:sz w:val="13"/>
                <w:szCs w:val="13"/>
                <w:color w:val="444A54"/>
              </w:rPr>
              <w:t>90.0</w:t>
            </w:r>
          </w:p>
        </w:tc>
        <w:tc>
          <w:tcPr>
            <w:tcW w:w="240" w:type="dxa"/>
            <w:vAlign w:val="bottom"/>
          </w:tcPr>
          <w:p>
            <w:pPr>
              <w:spacing w:after="0"/>
              <w:rPr>
                <w:sz w:val="17"/>
                <w:szCs w:val="17"/>
                <w:color w:val="auto"/>
              </w:rPr>
            </w:pPr>
          </w:p>
        </w:tc>
        <w:tc>
          <w:tcPr>
            <w:tcW w:w="1280" w:type="dxa"/>
            <w:vAlign w:val="bottom"/>
          </w:tcPr>
          <w:p>
            <w:pPr>
              <w:jc w:val="right"/>
              <w:ind w:right="157"/>
              <w:spacing w:after="0"/>
              <w:rPr>
                <w:sz w:val="20"/>
                <w:szCs w:val="20"/>
                <w:color w:val="auto"/>
              </w:rPr>
            </w:pPr>
            <w:r>
              <w:rPr>
                <w:rFonts w:ascii="Arial" w:cs="Arial" w:eastAsia="Arial" w:hAnsi="Arial"/>
                <w:sz w:val="13"/>
                <w:szCs w:val="13"/>
                <w:color w:val="444A54"/>
              </w:rPr>
              <w:t>450,000</w:t>
            </w:r>
          </w:p>
        </w:tc>
        <w:tc>
          <w:tcPr>
            <w:tcW w:w="0" w:type="dxa"/>
            <w:vAlign w:val="bottom"/>
          </w:tcPr>
          <w:p>
            <w:pPr>
              <w:spacing w:after="0"/>
              <w:rPr>
                <w:sz w:val="1"/>
                <w:szCs w:val="1"/>
                <w:color w:val="auto"/>
              </w:rPr>
            </w:pPr>
          </w:p>
        </w:tc>
      </w:tr>
      <w:tr>
        <w:trPr>
          <w:trHeight w:val="40"/>
        </w:trPr>
        <w:tc>
          <w:tcPr>
            <w:tcW w:w="2240" w:type="dxa"/>
            <w:vAlign w:val="bottom"/>
            <w:tcBorders>
              <w:bottom w:val="single" w:sz="8" w:color="E5E6E6"/>
            </w:tcBorders>
          </w:tcPr>
          <w:p>
            <w:pPr>
              <w:spacing w:after="0"/>
              <w:rPr>
                <w:sz w:val="3"/>
                <w:szCs w:val="3"/>
                <w:color w:val="auto"/>
              </w:rPr>
            </w:pPr>
          </w:p>
        </w:tc>
        <w:tc>
          <w:tcPr>
            <w:tcW w:w="2040" w:type="dxa"/>
            <w:vAlign w:val="bottom"/>
            <w:tcBorders>
              <w:bottom w:val="single" w:sz="8" w:color="E5E6E6"/>
            </w:tcBorders>
          </w:tcPr>
          <w:p>
            <w:pPr>
              <w:spacing w:after="0"/>
              <w:rPr>
                <w:sz w:val="3"/>
                <w:szCs w:val="3"/>
                <w:color w:val="auto"/>
              </w:rPr>
            </w:pPr>
          </w:p>
        </w:tc>
        <w:tc>
          <w:tcPr>
            <w:tcW w:w="240" w:type="dxa"/>
            <w:vAlign w:val="bottom"/>
            <w:tcBorders>
              <w:bottom w:val="single" w:sz="8" w:color="E5E6E6"/>
            </w:tcBorders>
          </w:tcPr>
          <w:p>
            <w:pPr>
              <w:spacing w:after="0"/>
              <w:rPr>
                <w:sz w:val="3"/>
                <w:szCs w:val="3"/>
                <w:color w:val="auto"/>
              </w:rPr>
            </w:pPr>
          </w:p>
        </w:tc>
        <w:tc>
          <w:tcPr>
            <w:tcW w:w="1240" w:type="dxa"/>
            <w:vAlign w:val="bottom"/>
            <w:tcBorders>
              <w:bottom w:val="single" w:sz="8" w:color="E5E6E6"/>
            </w:tcBorders>
          </w:tcPr>
          <w:p>
            <w:pPr>
              <w:spacing w:after="0"/>
              <w:rPr>
                <w:sz w:val="3"/>
                <w:szCs w:val="3"/>
                <w:color w:val="auto"/>
              </w:rPr>
            </w:pPr>
          </w:p>
        </w:tc>
        <w:tc>
          <w:tcPr>
            <w:tcW w:w="1240" w:type="dxa"/>
            <w:vAlign w:val="bottom"/>
            <w:tcBorders>
              <w:bottom w:val="single" w:sz="8" w:color="E5E6E6"/>
            </w:tcBorders>
          </w:tcPr>
          <w:p>
            <w:pPr>
              <w:spacing w:after="0"/>
              <w:rPr>
                <w:sz w:val="3"/>
                <w:szCs w:val="3"/>
                <w:color w:val="auto"/>
              </w:rPr>
            </w:pPr>
          </w:p>
        </w:tc>
        <w:tc>
          <w:tcPr>
            <w:tcW w:w="300" w:type="dxa"/>
            <w:vAlign w:val="bottom"/>
            <w:tcBorders>
              <w:bottom w:val="single" w:sz="8" w:color="E5E6E6"/>
            </w:tcBorders>
          </w:tcPr>
          <w:p>
            <w:pPr>
              <w:spacing w:after="0"/>
              <w:rPr>
                <w:sz w:val="3"/>
                <w:szCs w:val="3"/>
                <w:color w:val="auto"/>
              </w:rPr>
            </w:pPr>
          </w:p>
        </w:tc>
        <w:tc>
          <w:tcPr>
            <w:tcW w:w="1160" w:type="dxa"/>
            <w:vAlign w:val="bottom"/>
            <w:tcBorders>
              <w:bottom w:val="single" w:sz="8" w:color="E5E6E6"/>
            </w:tcBorders>
          </w:tcPr>
          <w:p>
            <w:pPr>
              <w:spacing w:after="0"/>
              <w:rPr>
                <w:sz w:val="3"/>
                <w:szCs w:val="3"/>
                <w:color w:val="auto"/>
              </w:rPr>
            </w:pPr>
          </w:p>
        </w:tc>
        <w:tc>
          <w:tcPr>
            <w:tcW w:w="1260" w:type="dxa"/>
            <w:vAlign w:val="bottom"/>
            <w:tcBorders>
              <w:bottom w:val="single" w:sz="8" w:color="E5E6E6"/>
            </w:tcBorders>
          </w:tcPr>
          <w:p>
            <w:pPr>
              <w:spacing w:after="0"/>
              <w:rPr>
                <w:sz w:val="3"/>
                <w:szCs w:val="3"/>
                <w:color w:val="auto"/>
              </w:rPr>
            </w:pPr>
          </w:p>
        </w:tc>
        <w:tc>
          <w:tcPr>
            <w:tcW w:w="240" w:type="dxa"/>
            <w:vAlign w:val="bottom"/>
            <w:tcBorders>
              <w:bottom w:val="single" w:sz="8" w:color="E5E6E6"/>
            </w:tcBorders>
          </w:tcPr>
          <w:p>
            <w:pPr>
              <w:spacing w:after="0"/>
              <w:rPr>
                <w:sz w:val="3"/>
                <w:szCs w:val="3"/>
                <w:color w:val="auto"/>
              </w:rPr>
            </w:pPr>
          </w:p>
        </w:tc>
        <w:tc>
          <w:tcPr>
            <w:tcW w:w="1280" w:type="dxa"/>
            <w:vAlign w:val="bottom"/>
            <w:tcBorders>
              <w:bottom w:val="single" w:sz="8" w:color="E5E6E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444A54"/>
        </w:rPr>
        <w:t>Award payouts for performance within threshold, target and maximum payout levels are interpolated. Awards payouts are subject to forfeiture if the applicable minimum performance thresholds are not achieved.</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5" w:name="page46"/>
    <w:bookmarkEnd w:id="45"/>
    <w:p>
      <w:pPr>
        <w:ind w:right="1060"/>
        <w:spacing w:after="0" w:line="261" w:lineRule="auto"/>
        <w:rPr>
          <w:sz w:val="20"/>
          <w:szCs w:val="20"/>
          <w:color w:val="auto"/>
        </w:rPr>
      </w:pPr>
      <w:r>
        <w:rPr>
          <w:rFonts w:ascii="Arial" w:cs="Arial" w:eastAsia="Arial" w:hAnsi="Arial"/>
          <w:sz w:val="17"/>
          <w:szCs w:val="17"/>
          <w:color w:val="444A54"/>
        </w:rPr>
        <w:t>As a result of applicable 2024 performance, the Talent and Compensation Committee determined that a 2024 annual cash incentive award payout of 109.88% of target was achieved as calculated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142480" cy="4292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2480" cy="42926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shd w:val="clear" w:color="auto" w:fill="007CB6"/>
          </w:tcPr>
          <w:p>
            <w:pPr>
              <w:jc w:val="right"/>
              <w:ind w:right="577"/>
              <w:spacing w:after="0"/>
              <w:rPr>
                <w:sz w:val="20"/>
                <w:szCs w:val="20"/>
                <w:color w:val="auto"/>
              </w:rPr>
            </w:pPr>
            <w:r>
              <w:rPr>
                <w:rFonts w:ascii="Arial" w:cs="Arial" w:eastAsia="Arial" w:hAnsi="Arial"/>
                <w:sz w:val="13"/>
                <w:szCs w:val="13"/>
                <w:color w:val="FFFFFF"/>
              </w:rPr>
              <w:t>50%</w:t>
            </w:r>
          </w:p>
        </w:tc>
        <w:tc>
          <w:tcPr>
            <w:tcW w:w="1460" w:type="dxa"/>
            <w:vAlign w:val="bottom"/>
            <w:shd w:val="clear" w:color="auto" w:fill="007CB6"/>
          </w:tcPr>
          <w:p>
            <w:pPr>
              <w:jc w:val="right"/>
              <w:ind w:right="537"/>
              <w:spacing w:after="0"/>
              <w:rPr>
                <w:sz w:val="20"/>
                <w:szCs w:val="20"/>
                <w:color w:val="auto"/>
              </w:rPr>
            </w:pPr>
            <w:r>
              <w:rPr>
                <w:rFonts w:ascii="Arial" w:cs="Arial" w:eastAsia="Arial" w:hAnsi="Arial"/>
                <w:sz w:val="13"/>
                <w:szCs w:val="13"/>
                <w:color w:val="FFFFFF"/>
              </w:rPr>
              <w:t>100%</w:t>
            </w:r>
          </w:p>
        </w:tc>
        <w:tc>
          <w:tcPr>
            <w:tcW w:w="1320" w:type="dxa"/>
            <w:vAlign w:val="bottom"/>
            <w:shd w:val="clear" w:color="auto" w:fill="007CB6"/>
          </w:tcPr>
          <w:p>
            <w:pPr>
              <w:jc w:val="right"/>
              <w:ind w:right="457"/>
              <w:spacing w:after="0"/>
              <w:rPr>
                <w:sz w:val="20"/>
                <w:szCs w:val="20"/>
                <w:color w:val="auto"/>
              </w:rPr>
            </w:pPr>
            <w:r>
              <w:rPr>
                <w:rFonts w:ascii="Arial" w:cs="Arial" w:eastAsia="Arial" w:hAnsi="Arial"/>
                <w:sz w:val="13"/>
                <w:szCs w:val="13"/>
                <w:color w:val="FFFFFF"/>
              </w:rPr>
              <w:t>150%</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8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00" w:type="dxa"/>
            <w:vAlign w:val="bottom"/>
            <w:shd w:val="clear" w:color="auto" w:fill="007CB6"/>
          </w:tcPr>
          <w:p>
            <w:pPr>
              <w:spacing w:after="0"/>
              <w:rPr>
                <w:sz w:val="4"/>
                <w:szCs w:val="4"/>
                <w:color w:val="auto"/>
              </w:rPr>
            </w:pPr>
          </w:p>
        </w:tc>
        <w:tc>
          <w:tcPr>
            <w:tcW w:w="1460" w:type="dxa"/>
            <w:vAlign w:val="bottom"/>
            <w:shd w:val="clear" w:color="auto" w:fill="007CB6"/>
          </w:tcPr>
          <w:p>
            <w:pPr>
              <w:spacing w:after="0"/>
              <w:rPr>
                <w:sz w:val="4"/>
                <w:szCs w:val="4"/>
                <w:color w:val="auto"/>
              </w:rPr>
            </w:pPr>
          </w:p>
        </w:tc>
        <w:tc>
          <w:tcPr>
            <w:tcW w:w="1320" w:type="dxa"/>
            <w:vAlign w:val="bottom"/>
            <w:shd w:val="clear" w:color="auto" w:fill="007CB6"/>
          </w:tcPr>
          <w:p>
            <w:pPr>
              <w:spacing w:after="0"/>
              <w:rPr>
                <w:sz w:val="4"/>
                <w:szCs w:val="4"/>
                <w:color w:val="auto"/>
              </w:rPr>
            </w:pPr>
          </w:p>
        </w:tc>
        <w:tc>
          <w:tcPr>
            <w:tcW w:w="1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820" w:type="dxa"/>
            <w:vAlign w:val="bottom"/>
            <w:vMerge w:val="restart"/>
            <w:shd w:val="clear" w:color="auto" w:fill="007CB6"/>
          </w:tcPr>
          <w:p>
            <w:pPr>
              <w:ind w:left="100"/>
              <w:spacing w:after="0"/>
              <w:rPr>
                <w:sz w:val="20"/>
                <w:szCs w:val="20"/>
                <w:color w:val="auto"/>
              </w:rPr>
            </w:pPr>
            <w:r>
              <w:rPr>
                <w:rFonts w:ascii="Arial" w:cs="Arial" w:eastAsia="Arial" w:hAnsi="Arial"/>
                <w:sz w:val="13"/>
                <w:szCs w:val="13"/>
                <w:color w:val="FFFFFF"/>
              </w:rPr>
              <w:t>Performance Criteria</w:t>
            </w:r>
          </w:p>
        </w:tc>
        <w:tc>
          <w:tcPr>
            <w:tcW w:w="1240" w:type="dxa"/>
            <w:vAlign w:val="bottom"/>
            <w:shd w:val="clear" w:color="auto" w:fill="007CB6"/>
          </w:tcPr>
          <w:p>
            <w:pPr>
              <w:ind w:left="400"/>
              <w:spacing w:after="0"/>
              <w:rPr>
                <w:sz w:val="20"/>
                <w:szCs w:val="20"/>
                <w:color w:val="auto"/>
              </w:rPr>
            </w:pPr>
            <w:r>
              <w:rPr>
                <w:rFonts w:ascii="Arial" w:cs="Arial" w:eastAsia="Arial" w:hAnsi="Arial"/>
                <w:sz w:val="13"/>
                <w:szCs w:val="13"/>
                <w:color w:val="FFFFFF"/>
              </w:rPr>
              <w:t>Overall</w:t>
            </w:r>
          </w:p>
        </w:tc>
        <w:tc>
          <w:tcPr>
            <w:tcW w:w="1500" w:type="dxa"/>
            <w:vAlign w:val="bottom"/>
            <w:vMerge w:val="restart"/>
            <w:shd w:val="clear" w:color="auto" w:fill="007CB6"/>
          </w:tcPr>
          <w:p>
            <w:pPr>
              <w:jc w:val="right"/>
              <w:ind w:right="417"/>
              <w:spacing w:after="0"/>
              <w:rPr>
                <w:sz w:val="20"/>
                <w:szCs w:val="20"/>
                <w:color w:val="auto"/>
              </w:rPr>
            </w:pPr>
            <w:r>
              <w:rPr>
                <w:rFonts w:ascii="Arial" w:cs="Arial" w:eastAsia="Arial" w:hAnsi="Arial"/>
                <w:sz w:val="13"/>
                <w:szCs w:val="13"/>
                <w:color w:val="FFFFFF"/>
              </w:rPr>
              <w:t>Threshold</w:t>
            </w:r>
          </w:p>
        </w:tc>
        <w:tc>
          <w:tcPr>
            <w:tcW w:w="1460" w:type="dxa"/>
            <w:vAlign w:val="bottom"/>
            <w:vMerge w:val="restart"/>
            <w:shd w:val="clear" w:color="auto" w:fill="007CB6"/>
          </w:tcPr>
          <w:p>
            <w:pPr>
              <w:jc w:val="right"/>
              <w:ind w:right="537"/>
              <w:spacing w:after="0"/>
              <w:rPr>
                <w:sz w:val="20"/>
                <w:szCs w:val="20"/>
                <w:color w:val="auto"/>
              </w:rPr>
            </w:pPr>
            <w:r>
              <w:rPr>
                <w:rFonts w:ascii="Arial" w:cs="Arial" w:eastAsia="Arial" w:hAnsi="Arial"/>
                <w:sz w:val="13"/>
                <w:szCs w:val="13"/>
                <w:color w:val="FFFFFF"/>
              </w:rPr>
              <w:t>Target</w:t>
            </w:r>
          </w:p>
        </w:tc>
        <w:tc>
          <w:tcPr>
            <w:tcW w:w="1320" w:type="dxa"/>
            <w:vAlign w:val="bottom"/>
            <w:vMerge w:val="restart"/>
            <w:shd w:val="clear" w:color="auto" w:fill="007CB6"/>
          </w:tcPr>
          <w:p>
            <w:pPr>
              <w:jc w:val="right"/>
              <w:ind w:right="337"/>
              <w:spacing w:after="0"/>
              <w:rPr>
                <w:sz w:val="20"/>
                <w:szCs w:val="20"/>
                <w:color w:val="auto"/>
              </w:rPr>
            </w:pPr>
            <w:r>
              <w:rPr>
                <w:rFonts w:ascii="Arial" w:cs="Arial" w:eastAsia="Arial" w:hAnsi="Arial"/>
                <w:sz w:val="13"/>
                <w:szCs w:val="13"/>
                <w:color w:val="FFFFFF"/>
              </w:rPr>
              <w:t>Maximum</w:t>
            </w:r>
          </w:p>
        </w:tc>
        <w:tc>
          <w:tcPr>
            <w:tcW w:w="1660" w:type="dxa"/>
            <w:vAlign w:val="bottom"/>
            <w:vMerge w:val="restart"/>
            <w:shd w:val="clear" w:color="auto" w:fill="007CB6"/>
          </w:tcPr>
          <w:p>
            <w:pPr>
              <w:jc w:val="right"/>
              <w:ind w:right="437"/>
              <w:spacing w:after="0"/>
              <w:rPr>
                <w:sz w:val="20"/>
                <w:szCs w:val="20"/>
                <w:color w:val="auto"/>
              </w:rPr>
            </w:pPr>
            <w:r>
              <w:rPr>
                <w:rFonts w:ascii="Arial" w:cs="Arial" w:eastAsia="Arial" w:hAnsi="Arial"/>
                <w:sz w:val="13"/>
                <w:szCs w:val="13"/>
                <w:color w:val="FFFFFF"/>
              </w:rPr>
              <w:t>2024 Actual</w:t>
            </w:r>
          </w:p>
        </w:tc>
        <w:tc>
          <w:tcPr>
            <w:tcW w:w="1060" w:type="dxa"/>
            <w:vAlign w:val="bottom"/>
            <w:gridSpan w:val="2"/>
            <w:vMerge w:val="restart"/>
            <w:shd w:val="clear" w:color="auto" w:fill="007CB6"/>
          </w:tcPr>
          <w:p>
            <w:pPr>
              <w:jc w:val="right"/>
              <w:ind w:right="77"/>
              <w:spacing w:after="0"/>
              <w:rPr>
                <w:sz w:val="20"/>
                <w:szCs w:val="20"/>
                <w:color w:val="auto"/>
              </w:rPr>
            </w:pPr>
            <w:r>
              <w:rPr>
                <w:rFonts w:ascii="Arial" w:cs="Arial" w:eastAsia="Arial" w:hAnsi="Arial"/>
                <w:sz w:val="13"/>
                <w:szCs w:val="13"/>
                <w:color w:val="FFFFFF"/>
              </w:rPr>
              <w:t>2024 Result</w:t>
            </w:r>
          </w:p>
        </w:tc>
        <w:tc>
          <w:tcPr>
            <w:tcW w:w="180" w:type="dxa"/>
            <w:vAlign w:val="bottom"/>
            <w:shd w:val="clear" w:color="auto" w:fill="007CB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820" w:type="dxa"/>
            <w:vAlign w:val="bottom"/>
            <w:vMerge w:val="continue"/>
            <w:shd w:val="clear" w:color="auto" w:fill="007CB6"/>
          </w:tcPr>
          <w:p>
            <w:pPr>
              <w:spacing w:after="0"/>
              <w:rPr>
                <w:sz w:val="7"/>
                <w:szCs w:val="7"/>
                <w:color w:val="auto"/>
              </w:rPr>
            </w:pPr>
          </w:p>
        </w:tc>
        <w:tc>
          <w:tcPr>
            <w:tcW w:w="1240" w:type="dxa"/>
            <w:vAlign w:val="bottom"/>
            <w:vMerge w:val="restart"/>
            <w:shd w:val="clear" w:color="auto" w:fill="007CB6"/>
          </w:tcPr>
          <w:p>
            <w:pPr>
              <w:ind w:left="420"/>
              <w:spacing w:after="0"/>
              <w:rPr>
                <w:sz w:val="20"/>
                <w:szCs w:val="20"/>
                <w:color w:val="auto"/>
              </w:rPr>
            </w:pPr>
            <w:r>
              <w:rPr>
                <w:rFonts w:ascii="Arial" w:cs="Arial" w:eastAsia="Arial" w:hAnsi="Arial"/>
                <w:sz w:val="13"/>
                <w:szCs w:val="13"/>
                <w:color w:val="FFFFFF"/>
              </w:rPr>
              <w:t>Weight</w:t>
            </w:r>
          </w:p>
        </w:tc>
        <w:tc>
          <w:tcPr>
            <w:tcW w:w="1500" w:type="dxa"/>
            <w:vAlign w:val="bottom"/>
            <w:vMerge w:val="continue"/>
            <w:shd w:val="clear" w:color="auto" w:fill="007CB6"/>
          </w:tcPr>
          <w:p>
            <w:pPr>
              <w:spacing w:after="0"/>
              <w:rPr>
                <w:sz w:val="7"/>
                <w:szCs w:val="7"/>
                <w:color w:val="auto"/>
              </w:rPr>
            </w:pPr>
          </w:p>
        </w:tc>
        <w:tc>
          <w:tcPr>
            <w:tcW w:w="1460" w:type="dxa"/>
            <w:vAlign w:val="bottom"/>
            <w:vMerge w:val="continue"/>
            <w:shd w:val="clear" w:color="auto" w:fill="007CB6"/>
          </w:tcPr>
          <w:p>
            <w:pPr>
              <w:spacing w:after="0"/>
              <w:rPr>
                <w:sz w:val="7"/>
                <w:szCs w:val="7"/>
                <w:color w:val="auto"/>
              </w:rPr>
            </w:pPr>
          </w:p>
        </w:tc>
        <w:tc>
          <w:tcPr>
            <w:tcW w:w="1320" w:type="dxa"/>
            <w:vAlign w:val="bottom"/>
            <w:vMerge w:val="continue"/>
            <w:shd w:val="clear" w:color="auto" w:fill="007CB6"/>
          </w:tcPr>
          <w:p>
            <w:pPr>
              <w:spacing w:after="0"/>
              <w:rPr>
                <w:sz w:val="7"/>
                <w:szCs w:val="7"/>
                <w:color w:val="auto"/>
              </w:rPr>
            </w:pPr>
          </w:p>
        </w:tc>
        <w:tc>
          <w:tcPr>
            <w:tcW w:w="1660" w:type="dxa"/>
            <w:vAlign w:val="bottom"/>
            <w:vMerge w:val="continue"/>
            <w:shd w:val="clear" w:color="auto" w:fill="007CB6"/>
          </w:tcPr>
          <w:p>
            <w:pPr>
              <w:spacing w:after="0"/>
              <w:rPr>
                <w:sz w:val="7"/>
                <w:szCs w:val="7"/>
                <w:color w:val="auto"/>
              </w:rPr>
            </w:pPr>
          </w:p>
        </w:tc>
        <w:tc>
          <w:tcPr>
            <w:tcW w:w="1060" w:type="dxa"/>
            <w:vAlign w:val="bottom"/>
            <w:gridSpan w:val="2"/>
            <w:vMerge w:val="continue"/>
            <w:shd w:val="clear" w:color="auto" w:fill="007CB6"/>
          </w:tcPr>
          <w:p>
            <w:pPr>
              <w:spacing w:after="0"/>
              <w:rPr>
                <w:sz w:val="7"/>
                <w:szCs w:val="7"/>
                <w:color w:val="auto"/>
              </w:rPr>
            </w:pPr>
          </w:p>
        </w:tc>
        <w:tc>
          <w:tcPr>
            <w:tcW w:w="180" w:type="dxa"/>
            <w:vAlign w:val="bottom"/>
            <w:shd w:val="clear" w:color="auto" w:fill="007CB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820" w:type="dxa"/>
            <w:vAlign w:val="bottom"/>
            <w:tcBorders>
              <w:bottom w:val="single" w:sz="8" w:color="007CB6"/>
            </w:tcBorders>
            <w:shd w:val="clear" w:color="auto" w:fill="007CB6"/>
          </w:tcPr>
          <w:p>
            <w:pPr>
              <w:spacing w:after="0"/>
              <w:rPr>
                <w:sz w:val="8"/>
                <w:szCs w:val="8"/>
                <w:color w:val="auto"/>
              </w:rPr>
            </w:pPr>
          </w:p>
        </w:tc>
        <w:tc>
          <w:tcPr>
            <w:tcW w:w="1240" w:type="dxa"/>
            <w:vAlign w:val="bottom"/>
            <w:tcBorders>
              <w:bottom w:val="single" w:sz="8" w:color="007CB6"/>
            </w:tcBorders>
            <w:vMerge w:val="continue"/>
            <w:shd w:val="clear" w:color="auto" w:fill="007CB6"/>
          </w:tcPr>
          <w:p>
            <w:pPr>
              <w:spacing w:after="0"/>
              <w:rPr>
                <w:sz w:val="8"/>
                <w:szCs w:val="8"/>
                <w:color w:val="auto"/>
              </w:rPr>
            </w:pPr>
          </w:p>
        </w:tc>
        <w:tc>
          <w:tcPr>
            <w:tcW w:w="1500" w:type="dxa"/>
            <w:vAlign w:val="bottom"/>
            <w:tcBorders>
              <w:bottom w:val="single" w:sz="8" w:color="007CB6"/>
            </w:tcBorders>
            <w:shd w:val="clear" w:color="auto" w:fill="007CB6"/>
          </w:tcPr>
          <w:p>
            <w:pPr>
              <w:spacing w:after="0"/>
              <w:rPr>
                <w:sz w:val="8"/>
                <w:szCs w:val="8"/>
                <w:color w:val="auto"/>
              </w:rPr>
            </w:pPr>
          </w:p>
        </w:tc>
        <w:tc>
          <w:tcPr>
            <w:tcW w:w="1460" w:type="dxa"/>
            <w:vAlign w:val="bottom"/>
            <w:tcBorders>
              <w:bottom w:val="single" w:sz="8" w:color="007CB6"/>
            </w:tcBorders>
            <w:shd w:val="clear" w:color="auto" w:fill="007CB6"/>
          </w:tcPr>
          <w:p>
            <w:pPr>
              <w:spacing w:after="0"/>
              <w:rPr>
                <w:sz w:val="8"/>
                <w:szCs w:val="8"/>
                <w:color w:val="auto"/>
              </w:rPr>
            </w:pPr>
          </w:p>
        </w:tc>
        <w:tc>
          <w:tcPr>
            <w:tcW w:w="1320" w:type="dxa"/>
            <w:vAlign w:val="bottom"/>
            <w:tcBorders>
              <w:bottom w:val="single" w:sz="8" w:color="007CB6"/>
            </w:tcBorders>
            <w:shd w:val="clear" w:color="auto" w:fill="007CB6"/>
          </w:tcPr>
          <w:p>
            <w:pPr>
              <w:spacing w:after="0"/>
              <w:rPr>
                <w:sz w:val="8"/>
                <w:szCs w:val="8"/>
                <w:color w:val="auto"/>
              </w:rPr>
            </w:pPr>
          </w:p>
        </w:tc>
        <w:tc>
          <w:tcPr>
            <w:tcW w:w="1660" w:type="dxa"/>
            <w:vAlign w:val="bottom"/>
            <w:tcBorders>
              <w:bottom w:val="single" w:sz="8" w:color="007CB6"/>
            </w:tcBorders>
            <w:shd w:val="clear" w:color="auto" w:fill="007CB6"/>
          </w:tcPr>
          <w:p>
            <w:pPr>
              <w:spacing w:after="0"/>
              <w:rPr>
                <w:sz w:val="8"/>
                <w:szCs w:val="8"/>
                <w:color w:val="auto"/>
              </w:rPr>
            </w:pPr>
          </w:p>
        </w:tc>
        <w:tc>
          <w:tcPr>
            <w:tcW w:w="500" w:type="dxa"/>
            <w:vAlign w:val="bottom"/>
            <w:tcBorders>
              <w:bottom w:val="single" w:sz="8" w:color="007CB6"/>
              <w:right w:val="single" w:sz="8" w:color="007CB6"/>
            </w:tcBorders>
            <w:shd w:val="clear" w:color="auto" w:fill="007CB6"/>
          </w:tcPr>
          <w:p>
            <w:pPr>
              <w:spacing w:after="0"/>
              <w:rPr>
                <w:sz w:val="8"/>
                <w:szCs w:val="8"/>
                <w:color w:val="auto"/>
              </w:rPr>
            </w:pPr>
          </w:p>
        </w:tc>
        <w:tc>
          <w:tcPr>
            <w:tcW w:w="560" w:type="dxa"/>
            <w:vAlign w:val="bottom"/>
            <w:tcBorders>
              <w:bottom w:val="single" w:sz="8" w:color="007CB6"/>
            </w:tcBorders>
            <w:shd w:val="clear" w:color="auto" w:fill="007CB6"/>
          </w:tcPr>
          <w:p>
            <w:pPr>
              <w:spacing w:after="0"/>
              <w:rPr>
                <w:sz w:val="8"/>
                <w:szCs w:val="8"/>
                <w:color w:val="auto"/>
              </w:rPr>
            </w:pPr>
          </w:p>
        </w:tc>
        <w:tc>
          <w:tcPr>
            <w:tcW w:w="180" w:type="dxa"/>
            <w:vAlign w:val="bottom"/>
            <w:tcBorders>
              <w:bottom w:val="single" w:sz="8" w:color="007CB6"/>
            </w:tcBorders>
            <w:shd w:val="clear" w:color="auto" w:fill="007CB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820" w:type="dxa"/>
            <w:vAlign w:val="bottom"/>
          </w:tcPr>
          <w:p>
            <w:pPr>
              <w:ind w:left="100"/>
              <w:spacing w:after="0"/>
              <w:rPr>
                <w:sz w:val="20"/>
                <w:szCs w:val="20"/>
                <w:color w:val="auto"/>
              </w:rPr>
            </w:pPr>
            <w:r>
              <w:rPr>
                <w:rFonts w:ascii="Arial" w:cs="Arial" w:eastAsia="Arial" w:hAnsi="Arial"/>
                <w:sz w:val="13"/>
                <w:szCs w:val="13"/>
                <w:color w:val="474C55"/>
              </w:rPr>
              <w:t>Pre-Tax Pre-Provision Earnings per Share</w:t>
            </w:r>
          </w:p>
        </w:tc>
        <w:tc>
          <w:tcPr>
            <w:tcW w:w="1240" w:type="dxa"/>
            <w:vAlign w:val="bottom"/>
          </w:tcPr>
          <w:p>
            <w:pPr>
              <w:ind w:left="660"/>
              <w:spacing w:after="0"/>
              <w:rPr>
                <w:sz w:val="20"/>
                <w:szCs w:val="20"/>
                <w:color w:val="auto"/>
              </w:rPr>
            </w:pPr>
            <w:r>
              <w:rPr>
                <w:rFonts w:ascii="Arial" w:cs="Arial" w:eastAsia="Arial" w:hAnsi="Arial"/>
                <w:sz w:val="13"/>
                <w:szCs w:val="13"/>
                <w:color w:val="474C55"/>
              </w:rPr>
              <w:t>20.0 %</w:t>
            </w:r>
          </w:p>
        </w:tc>
        <w:tc>
          <w:tcPr>
            <w:tcW w:w="1500" w:type="dxa"/>
            <w:vAlign w:val="bottom"/>
          </w:tcPr>
          <w:p>
            <w:pPr>
              <w:jc w:val="right"/>
              <w:ind w:right="317"/>
              <w:spacing w:after="0"/>
              <w:rPr>
                <w:sz w:val="20"/>
                <w:szCs w:val="20"/>
                <w:color w:val="auto"/>
              </w:rPr>
            </w:pPr>
            <w:r>
              <w:rPr>
                <w:rFonts w:ascii="Arial" w:cs="Arial" w:eastAsia="Arial" w:hAnsi="Arial"/>
                <w:sz w:val="13"/>
                <w:szCs w:val="13"/>
                <w:color w:val="474C55"/>
              </w:rPr>
              <w:t>$  3.10</w:t>
            </w:r>
          </w:p>
        </w:tc>
        <w:tc>
          <w:tcPr>
            <w:tcW w:w="1460" w:type="dxa"/>
            <w:vAlign w:val="bottom"/>
          </w:tcPr>
          <w:p>
            <w:pPr>
              <w:jc w:val="right"/>
              <w:ind w:right="317"/>
              <w:spacing w:after="0"/>
              <w:rPr>
                <w:sz w:val="20"/>
                <w:szCs w:val="20"/>
                <w:color w:val="auto"/>
              </w:rPr>
            </w:pPr>
            <w:r>
              <w:rPr>
                <w:rFonts w:ascii="Arial" w:cs="Arial" w:eastAsia="Arial" w:hAnsi="Arial"/>
                <w:sz w:val="13"/>
                <w:szCs w:val="13"/>
                <w:color w:val="474C55"/>
              </w:rPr>
              <w:t>$ 3.44</w:t>
            </w:r>
          </w:p>
        </w:tc>
        <w:tc>
          <w:tcPr>
            <w:tcW w:w="1320" w:type="dxa"/>
            <w:vAlign w:val="bottom"/>
          </w:tcPr>
          <w:p>
            <w:pPr>
              <w:jc w:val="right"/>
              <w:ind w:right="177"/>
              <w:spacing w:after="0"/>
              <w:rPr>
                <w:sz w:val="20"/>
                <w:szCs w:val="20"/>
                <w:color w:val="auto"/>
              </w:rPr>
            </w:pPr>
            <w:r>
              <w:rPr>
                <w:rFonts w:ascii="Arial" w:cs="Arial" w:eastAsia="Arial" w:hAnsi="Arial"/>
                <w:sz w:val="13"/>
                <w:szCs w:val="13"/>
                <w:color w:val="474C55"/>
              </w:rPr>
              <w:t>$ 3.72</w:t>
            </w:r>
          </w:p>
        </w:tc>
        <w:tc>
          <w:tcPr>
            <w:tcW w:w="1660" w:type="dxa"/>
            <w:vAlign w:val="bottom"/>
          </w:tcPr>
          <w:p>
            <w:pPr>
              <w:jc w:val="right"/>
              <w:ind w:right="357"/>
              <w:spacing w:after="0"/>
              <w:rPr>
                <w:sz w:val="20"/>
                <w:szCs w:val="20"/>
                <w:color w:val="auto"/>
              </w:rPr>
            </w:pPr>
            <w:r>
              <w:rPr>
                <w:rFonts w:ascii="Arial" w:cs="Arial" w:eastAsia="Arial" w:hAnsi="Arial"/>
                <w:sz w:val="13"/>
                <w:szCs w:val="13"/>
                <w:color w:val="474C55"/>
              </w:rPr>
              <w:t>$ 3.43  </w:t>
            </w:r>
          </w:p>
        </w:tc>
        <w:tc>
          <w:tcPr>
            <w:tcW w:w="1060" w:type="dxa"/>
            <w:vAlign w:val="bottom"/>
            <w:gridSpan w:val="2"/>
          </w:tcPr>
          <w:p>
            <w:pPr>
              <w:jc w:val="right"/>
              <w:spacing w:after="0"/>
              <w:rPr>
                <w:sz w:val="20"/>
                <w:szCs w:val="20"/>
                <w:color w:val="auto"/>
              </w:rPr>
            </w:pPr>
            <w:r>
              <w:rPr>
                <w:rFonts w:ascii="Arial" w:cs="Arial" w:eastAsia="Arial" w:hAnsi="Arial"/>
                <w:sz w:val="13"/>
                <w:szCs w:val="13"/>
                <w:color w:val="474C55"/>
              </w:rPr>
              <w:t>19.71</w:t>
            </w:r>
          </w:p>
        </w:tc>
        <w:tc>
          <w:tcPr>
            <w:tcW w:w="180" w:type="dxa"/>
            <w:vAlign w:val="bottom"/>
          </w:tcPr>
          <w:p>
            <w:pPr>
              <w:jc w:val="right"/>
              <w:spacing w:after="0"/>
              <w:rPr>
                <w:sz w:val="20"/>
                <w:szCs w:val="20"/>
                <w:color w:val="auto"/>
              </w:rPr>
            </w:pPr>
            <w:r>
              <w:rPr>
                <w:rFonts w:ascii="Arial" w:cs="Arial" w:eastAsia="Arial" w:hAnsi="Arial"/>
                <w:sz w:val="13"/>
                <w:szCs w:val="13"/>
                <w:color w:val="474C55"/>
                <w:w w:val="84"/>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1E2E2"/>
          </w:tcPr>
          <w:p>
            <w:pPr>
              <w:ind w:left="100"/>
              <w:spacing w:after="0"/>
              <w:rPr>
                <w:sz w:val="20"/>
                <w:szCs w:val="20"/>
                <w:color w:val="auto"/>
              </w:rPr>
            </w:pPr>
            <w:r>
              <w:rPr>
                <w:rFonts w:ascii="Arial" w:cs="Arial" w:eastAsia="Arial" w:hAnsi="Arial"/>
                <w:sz w:val="13"/>
                <w:szCs w:val="13"/>
                <w:color w:val="474C55"/>
              </w:rPr>
              <w:t>Operating Earnings per Share</w:t>
            </w:r>
          </w:p>
        </w:tc>
        <w:tc>
          <w:tcPr>
            <w:tcW w:w="1240" w:type="dxa"/>
            <w:vAlign w:val="bottom"/>
            <w:shd w:val="clear" w:color="auto" w:fill="E1E2E2"/>
          </w:tcPr>
          <w:p>
            <w:pPr>
              <w:ind w:left="660"/>
              <w:spacing w:after="0"/>
              <w:rPr>
                <w:sz w:val="20"/>
                <w:szCs w:val="20"/>
                <w:color w:val="auto"/>
              </w:rPr>
            </w:pPr>
            <w:r>
              <w:rPr>
                <w:rFonts w:ascii="Arial" w:cs="Arial" w:eastAsia="Arial" w:hAnsi="Arial"/>
                <w:sz w:val="13"/>
                <w:szCs w:val="13"/>
                <w:color w:val="474C55"/>
              </w:rPr>
              <w:t>15.0</w:t>
            </w:r>
          </w:p>
        </w:tc>
        <w:tc>
          <w:tcPr>
            <w:tcW w:w="1500" w:type="dxa"/>
            <w:vAlign w:val="bottom"/>
            <w:shd w:val="clear" w:color="auto" w:fill="E1E2E2"/>
          </w:tcPr>
          <w:p>
            <w:pPr>
              <w:jc w:val="right"/>
              <w:ind w:right="317"/>
              <w:spacing w:after="0"/>
              <w:rPr>
                <w:sz w:val="20"/>
                <w:szCs w:val="20"/>
                <w:color w:val="auto"/>
              </w:rPr>
            </w:pPr>
            <w:r>
              <w:rPr>
                <w:rFonts w:ascii="Arial" w:cs="Arial" w:eastAsia="Arial" w:hAnsi="Arial"/>
                <w:sz w:val="13"/>
                <w:szCs w:val="13"/>
                <w:color w:val="474C55"/>
              </w:rPr>
              <w:t>$  1.95</w:t>
            </w:r>
          </w:p>
        </w:tc>
        <w:tc>
          <w:tcPr>
            <w:tcW w:w="1460" w:type="dxa"/>
            <w:vAlign w:val="bottom"/>
            <w:shd w:val="clear" w:color="auto" w:fill="E1E2E2"/>
          </w:tcPr>
          <w:p>
            <w:pPr>
              <w:jc w:val="right"/>
              <w:ind w:right="317"/>
              <w:spacing w:after="0"/>
              <w:rPr>
                <w:sz w:val="20"/>
                <w:szCs w:val="20"/>
                <w:color w:val="auto"/>
              </w:rPr>
            </w:pPr>
            <w:r>
              <w:rPr>
                <w:rFonts w:ascii="Arial" w:cs="Arial" w:eastAsia="Arial" w:hAnsi="Arial"/>
                <w:sz w:val="13"/>
                <w:szCs w:val="13"/>
                <w:color w:val="474C55"/>
              </w:rPr>
              <w:t>$ 2.17</w:t>
            </w:r>
          </w:p>
        </w:tc>
        <w:tc>
          <w:tcPr>
            <w:tcW w:w="1320" w:type="dxa"/>
            <w:vAlign w:val="bottom"/>
            <w:shd w:val="clear" w:color="auto" w:fill="E1E2E2"/>
          </w:tcPr>
          <w:p>
            <w:pPr>
              <w:jc w:val="right"/>
              <w:ind w:right="177"/>
              <w:spacing w:after="0"/>
              <w:rPr>
                <w:sz w:val="20"/>
                <w:szCs w:val="20"/>
                <w:color w:val="auto"/>
              </w:rPr>
            </w:pPr>
            <w:r>
              <w:rPr>
                <w:rFonts w:ascii="Arial" w:cs="Arial" w:eastAsia="Arial" w:hAnsi="Arial"/>
                <w:sz w:val="13"/>
                <w:szCs w:val="13"/>
                <w:color w:val="474C55"/>
              </w:rPr>
              <w:t>$ 2.34</w:t>
            </w:r>
          </w:p>
        </w:tc>
        <w:tc>
          <w:tcPr>
            <w:tcW w:w="1660" w:type="dxa"/>
            <w:vAlign w:val="bottom"/>
            <w:shd w:val="clear" w:color="auto" w:fill="E1E2E2"/>
          </w:tcPr>
          <w:p>
            <w:pPr>
              <w:jc w:val="right"/>
              <w:ind w:right="357"/>
              <w:spacing w:after="0"/>
              <w:rPr>
                <w:sz w:val="20"/>
                <w:szCs w:val="20"/>
                <w:color w:val="auto"/>
              </w:rPr>
            </w:pPr>
            <w:r>
              <w:rPr>
                <w:rFonts w:ascii="Arial" w:cs="Arial" w:eastAsia="Arial" w:hAnsi="Arial"/>
                <w:sz w:val="13"/>
                <w:szCs w:val="13"/>
                <w:color w:val="474C55"/>
              </w:rPr>
              <w:t>$ 2.30</w:t>
            </w:r>
            <w:r>
              <w:rPr>
                <w:rFonts w:ascii="Arial" w:cs="Arial" w:eastAsia="Arial" w:hAnsi="Arial"/>
                <w:sz w:val="20"/>
                <w:szCs w:val="20"/>
                <w:color w:val="474C55"/>
                <w:vertAlign w:val="superscript"/>
              </w:rPr>
              <w:t>2</w:t>
            </w:r>
          </w:p>
        </w:tc>
        <w:tc>
          <w:tcPr>
            <w:tcW w:w="1060" w:type="dxa"/>
            <w:vAlign w:val="bottom"/>
            <w:gridSpan w:val="2"/>
            <w:shd w:val="clear" w:color="auto" w:fill="E1E2E2"/>
          </w:tcPr>
          <w:p>
            <w:pPr>
              <w:jc w:val="right"/>
              <w:spacing w:after="0"/>
              <w:rPr>
                <w:sz w:val="20"/>
                <w:szCs w:val="20"/>
                <w:color w:val="auto"/>
              </w:rPr>
            </w:pPr>
            <w:r>
              <w:rPr>
                <w:rFonts w:ascii="Arial" w:cs="Arial" w:eastAsia="Arial" w:hAnsi="Arial"/>
                <w:sz w:val="13"/>
                <w:szCs w:val="13"/>
                <w:color w:val="474C55"/>
              </w:rPr>
              <w:t>20.73</w:t>
            </w:r>
          </w:p>
        </w:tc>
        <w:tc>
          <w:tcPr>
            <w:tcW w:w="180" w:type="dxa"/>
            <w:vAlign w:val="bottom"/>
            <w:shd w:val="clear" w:color="auto" w:fill="E1E2E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20" w:type="dxa"/>
            <w:vAlign w:val="bottom"/>
          </w:tcPr>
          <w:p>
            <w:pPr>
              <w:ind w:left="100"/>
              <w:spacing w:after="0"/>
              <w:rPr>
                <w:sz w:val="20"/>
                <w:szCs w:val="20"/>
                <w:color w:val="auto"/>
              </w:rPr>
            </w:pPr>
            <w:r>
              <w:rPr>
                <w:rFonts w:ascii="Arial" w:cs="Arial" w:eastAsia="Arial" w:hAnsi="Arial"/>
                <w:sz w:val="13"/>
                <w:szCs w:val="13"/>
                <w:color w:val="474C55"/>
              </w:rPr>
              <w:t>Net Charge-Offs / Average Loans</w:t>
            </w:r>
          </w:p>
        </w:tc>
        <w:tc>
          <w:tcPr>
            <w:tcW w:w="1240" w:type="dxa"/>
            <w:vAlign w:val="bottom"/>
          </w:tcPr>
          <w:p>
            <w:pPr>
              <w:ind w:left="660"/>
              <w:spacing w:after="0"/>
              <w:rPr>
                <w:sz w:val="20"/>
                <w:szCs w:val="20"/>
                <w:color w:val="auto"/>
              </w:rPr>
            </w:pPr>
            <w:r>
              <w:rPr>
                <w:rFonts w:ascii="Arial" w:cs="Arial" w:eastAsia="Arial" w:hAnsi="Arial"/>
                <w:sz w:val="13"/>
                <w:szCs w:val="13"/>
                <w:color w:val="474C55"/>
              </w:rPr>
              <w:t>15.0</w:t>
            </w:r>
          </w:p>
        </w:tc>
        <w:tc>
          <w:tcPr>
            <w:tcW w:w="1500" w:type="dxa"/>
            <w:vAlign w:val="bottom"/>
          </w:tcPr>
          <w:p>
            <w:pPr>
              <w:jc w:val="right"/>
              <w:ind w:right="197"/>
              <w:spacing w:after="0"/>
              <w:rPr>
                <w:sz w:val="20"/>
                <w:szCs w:val="20"/>
                <w:color w:val="auto"/>
              </w:rPr>
            </w:pPr>
            <w:r>
              <w:rPr>
                <w:rFonts w:ascii="Arial" w:cs="Arial" w:eastAsia="Arial" w:hAnsi="Arial"/>
                <w:sz w:val="13"/>
                <w:szCs w:val="13"/>
                <w:color w:val="474C55"/>
              </w:rPr>
              <w:t>0.34 %</w:t>
            </w:r>
          </w:p>
        </w:tc>
        <w:tc>
          <w:tcPr>
            <w:tcW w:w="1460" w:type="dxa"/>
            <w:vAlign w:val="bottom"/>
          </w:tcPr>
          <w:p>
            <w:pPr>
              <w:jc w:val="right"/>
              <w:ind w:right="177"/>
              <w:spacing w:after="0"/>
              <w:rPr>
                <w:sz w:val="20"/>
                <w:szCs w:val="20"/>
                <w:color w:val="auto"/>
              </w:rPr>
            </w:pPr>
            <w:r>
              <w:rPr>
                <w:rFonts w:ascii="Arial" w:cs="Arial" w:eastAsia="Arial" w:hAnsi="Arial"/>
                <w:sz w:val="13"/>
                <w:szCs w:val="13"/>
                <w:color w:val="474C55"/>
              </w:rPr>
              <w:t>0.28 %</w:t>
            </w:r>
          </w:p>
        </w:tc>
        <w:tc>
          <w:tcPr>
            <w:tcW w:w="1320" w:type="dxa"/>
            <w:vAlign w:val="bottom"/>
          </w:tcPr>
          <w:p>
            <w:pPr>
              <w:jc w:val="right"/>
              <w:ind w:right="37"/>
              <w:spacing w:after="0"/>
              <w:rPr>
                <w:sz w:val="20"/>
                <w:szCs w:val="20"/>
                <w:color w:val="auto"/>
              </w:rPr>
            </w:pPr>
            <w:r>
              <w:rPr>
                <w:rFonts w:ascii="Arial" w:cs="Arial" w:eastAsia="Arial" w:hAnsi="Arial"/>
                <w:sz w:val="13"/>
                <w:szCs w:val="13"/>
                <w:color w:val="474C55"/>
              </w:rPr>
              <w:t>0.21 %</w:t>
            </w:r>
          </w:p>
        </w:tc>
        <w:tc>
          <w:tcPr>
            <w:tcW w:w="1660" w:type="dxa"/>
            <w:vAlign w:val="bottom"/>
          </w:tcPr>
          <w:p>
            <w:pPr>
              <w:jc w:val="right"/>
              <w:ind w:right="197"/>
              <w:spacing w:after="0"/>
              <w:rPr>
                <w:sz w:val="20"/>
                <w:szCs w:val="20"/>
                <w:color w:val="auto"/>
              </w:rPr>
            </w:pPr>
            <w:r>
              <w:rPr>
                <w:rFonts w:ascii="Arial" w:cs="Arial" w:eastAsia="Arial" w:hAnsi="Arial"/>
                <w:sz w:val="13"/>
                <w:szCs w:val="13"/>
                <w:color w:val="474C55"/>
              </w:rPr>
              <w:t>0.27   % </w:t>
            </w:r>
          </w:p>
        </w:tc>
        <w:tc>
          <w:tcPr>
            <w:tcW w:w="1060" w:type="dxa"/>
            <w:vAlign w:val="bottom"/>
            <w:gridSpan w:val="2"/>
          </w:tcPr>
          <w:p>
            <w:pPr>
              <w:jc w:val="right"/>
              <w:spacing w:after="0"/>
              <w:rPr>
                <w:sz w:val="20"/>
                <w:szCs w:val="20"/>
                <w:color w:val="auto"/>
              </w:rPr>
            </w:pPr>
            <w:r>
              <w:rPr>
                <w:rFonts w:ascii="Arial" w:cs="Arial" w:eastAsia="Arial" w:hAnsi="Arial"/>
                <w:sz w:val="13"/>
                <w:szCs w:val="13"/>
                <w:color w:val="474C55"/>
              </w:rPr>
              <w:t>16.07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E1E2E2"/>
          </w:tcPr>
          <w:p>
            <w:pPr>
              <w:ind w:left="100"/>
              <w:spacing w:after="0"/>
              <w:rPr>
                <w:sz w:val="20"/>
                <w:szCs w:val="20"/>
                <w:color w:val="auto"/>
              </w:rPr>
            </w:pPr>
            <w:r>
              <w:rPr>
                <w:rFonts w:ascii="Arial" w:cs="Arial" w:eastAsia="Arial" w:hAnsi="Arial"/>
                <w:sz w:val="13"/>
                <w:szCs w:val="13"/>
                <w:color w:val="474C55"/>
              </w:rPr>
              <w:t>NPAs / Total Assets</w:t>
            </w:r>
            <w:r>
              <w:rPr>
                <w:rFonts w:ascii="Arial" w:cs="Arial" w:eastAsia="Arial" w:hAnsi="Arial"/>
                <w:sz w:val="20"/>
                <w:szCs w:val="20"/>
                <w:color w:val="474C55"/>
                <w:vertAlign w:val="superscript"/>
              </w:rPr>
              <w:t>1</w:t>
            </w:r>
          </w:p>
        </w:tc>
        <w:tc>
          <w:tcPr>
            <w:tcW w:w="1240" w:type="dxa"/>
            <w:vAlign w:val="bottom"/>
            <w:shd w:val="clear" w:color="auto" w:fill="E1E2E2"/>
          </w:tcPr>
          <w:p>
            <w:pPr>
              <w:ind w:left="660"/>
              <w:spacing w:after="0"/>
              <w:rPr>
                <w:sz w:val="20"/>
                <w:szCs w:val="20"/>
                <w:color w:val="auto"/>
              </w:rPr>
            </w:pPr>
            <w:r>
              <w:rPr>
                <w:rFonts w:ascii="Arial" w:cs="Arial" w:eastAsia="Arial" w:hAnsi="Arial"/>
                <w:sz w:val="13"/>
                <w:szCs w:val="13"/>
                <w:color w:val="474C55"/>
              </w:rPr>
              <w:t>15.0</w:t>
            </w:r>
          </w:p>
        </w:tc>
        <w:tc>
          <w:tcPr>
            <w:tcW w:w="1500" w:type="dxa"/>
            <w:vAlign w:val="bottom"/>
            <w:shd w:val="clear" w:color="auto" w:fill="E1E2E2"/>
          </w:tcPr>
          <w:p>
            <w:pPr>
              <w:jc w:val="right"/>
              <w:ind w:right="317"/>
              <w:spacing w:after="0"/>
              <w:rPr>
                <w:sz w:val="20"/>
                <w:szCs w:val="20"/>
                <w:color w:val="auto"/>
              </w:rPr>
            </w:pPr>
            <w:r>
              <w:rPr>
                <w:rFonts w:ascii="Arial" w:cs="Arial" w:eastAsia="Arial" w:hAnsi="Arial"/>
                <w:sz w:val="13"/>
                <w:szCs w:val="13"/>
                <w:color w:val="474C55"/>
              </w:rPr>
              <w:t>25th Percentile</w:t>
            </w:r>
          </w:p>
        </w:tc>
        <w:tc>
          <w:tcPr>
            <w:tcW w:w="1460" w:type="dxa"/>
            <w:vAlign w:val="bottom"/>
            <w:shd w:val="clear" w:color="auto" w:fill="E1E2E2"/>
          </w:tcPr>
          <w:p>
            <w:pPr>
              <w:jc w:val="right"/>
              <w:ind w:right="317"/>
              <w:spacing w:after="0"/>
              <w:rPr>
                <w:sz w:val="20"/>
                <w:szCs w:val="20"/>
                <w:color w:val="auto"/>
              </w:rPr>
            </w:pPr>
            <w:r>
              <w:rPr>
                <w:rFonts w:ascii="Arial" w:cs="Arial" w:eastAsia="Arial" w:hAnsi="Arial"/>
                <w:sz w:val="13"/>
                <w:szCs w:val="13"/>
                <w:color w:val="474C55"/>
              </w:rPr>
              <w:t>50th Percentile</w:t>
            </w:r>
          </w:p>
        </w:tc>
        <w:tc>
          <w:tcPr>
            <w:tcW w:w="1320" w:type="dxa"/>
            <w:vAlign w:val="bottom"/>
            <w:shd w:val="clear" w:color="auto" w:fill="E1E2E2"/>
          </w:tcPr>
          <w:p>
            <w:pPr>
              <w:jc w:val="right"/>
              <w:ind w:right="177"/>
              <w:spacing w:after="0"/>
              <w:rPr>
                <w:sz w:val="20"/>
                <w:szCs w:val="20"/>
                <w:color w:val="auto"/>
              </w:rPr>
            </w:pPr>
            <w:r>
              <w:rPr>
                <w:rFonts w:ascii="Arial" w:cs="Arial" w:eastAsia="Arial" w:hAnsi="Arial"/>
                <w:sz w:val="13"/>
                <w:szCs w:val="13"/>
                <w:color w:val="474C55"/>
              </w:rPr>
              <w:t>75th Percentile</w:t>
            </w:r>
          </w:p>
        </w:tc>
        <w:tc>
          <w:tcPr>
            <w:tcW w:w="1660" w:type="dxa"/>
            <w:vAlign w:val="bottom"/>
            <w:shd w:val="clear" w:color="auto" w:fill="E1E2E2"/>
          </w:tcPr>
          <w:p>
            <w:pPr>
              <w:jc w:val="right"/>
              <w:ind w:right="357"/>
              <w:spacing w:after="0"/>
              <w:rPr>
                <w:sz w:val="20"/>
                <w:szCs w:val="20"/>
                <w:color w:val="auto"/>
              </w:rPr>
            </w:pPr>
            <w:r>
              <w:rPr>
                <w:rFonts w:ascii="Arial" w:cs="Arial" w:eastAsia="Arial" w:hAnsi="Arial"/>
                <w:sz w:val="13"/>
                <w:szCs w:val="13"/>
                <w:color w:val="474C55"/>
              </w:rPr>
              <w:t>39th Percentile  </w:t>
            </w:r>
          </w:p>
        </w:tc>
        <w:tc>
          <w:tcPr>
            <w:tcW w:w="1060" w:type="dxa"/>
            <w:vAlign w:val="bottom"/>
            <w:gridSpan w:val="2"/>
            <w:shd w:val="clear" w:color="auto" w:fill="E1E2E2"/>
          </w:tcPr>
          <w:p>
            <w:pPr>
              <w:jc w:val="right"/>
              <w:spacing w:after="0"/>
              <w:rPr>
                <w:sz w:val="20"/>
                <w:szCs w:val="20"/>
                <w:color w:val="auto"/>
              </w:rPr>
            </w:pPr>
            <w:r>
              <w:rPr>
                <w:rFonts w:ascii="Arial" w:cs="Arial" w:eastAsia="Arial" w:hAnsi="Arial"/>
                <w:sz w:val="13"/>
                <w:szCs w:val="13"/>
                <w:color w:val="474C55"/>
              </w:rPr>
              <w:t>11.70</w:t>
            </w:r>
          </w:p>
        </w:tc>
        <w:tc>
          <w:tcPr>
            <w:tcW w:w="180" w:type="dxa"/>
            <w:vAlign w:val="bottom"/>
            <w:shd w:val="clear" w:color="auto" w:fill="E1E2E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100"/>
              <w:spacing w:after="0"/>
              <w:rPr>
                <w:sz w:val="20"/>
                <w:szCs w:val="20"/>
                <w:color w:val="auto"/>
              </w:rPr>
            </w:pPr>
            <w:r>
              <w:rPr>
                <w:rFonts w:ascii="Arial" w:cs="Arial" w:eastAsia="Arial" w:hAnsi="Arial"/>
                <w:sz w:val="13"/>
                <w:szCs w:val="13"/>
                <w:color w:val="474C55"/>
              </w:rPr>
              <w:t>Operating Efficiency Ratio</w:t>
            </w:r>
          </w:p>
        </w:tc>
        <w:tc>
          <w:tcPr>
            <w:tcW w:w="1240" w:type="dxa"/>
            <w:vAlign w:val="bottom"/>
          </w:tcPr>
          <w:p>
            <w:pPr>
              <w:ind w:left="660"/>
              <w:spacing w:after="0"/>
              <w:rPr>
                <w:sz w:val="20"/>
                <w:szCs w:val="20"/>
                <w:color w:val="auto"/>
              </w:rPr>
            </w:pPr>
            <w:r>
              <w:rPr>
                <w:rFonts w:ascii="Arial" w:cs="Arial" w:eastAsia="Arial" w:hAnsi="Arial"/>
                <w:sz w:val="13"/>
                <w:szCs w:val="13"/>
                <w:color w:val="474C55"/>
              </w:rPr>
              <w:t>20.0</w:t>
            </w:r>
          </w:p>
        </w:tc>
        <w:tc>
          <w:tcPr>
            <w:tcW w:w="1500" w:type="dxa"/>
            <w:vAlign w:val="bottom"/>
          </w:tcPr>
          <w:p>
            <w:pPr>
              <w:jc w:val="right"/>
              <w:ind w:right="197"/>
              <w:spacing w:after="0"/>
              <w:rPr>
                <w:sz w:val="20"/>
                <w:szCs w:val="20"/>
                <w:color w:val="auto"/>
              </w:rPr>
            </w:pPr>
            <w:r>
              <w:rPr>
                <w:rFonts w:ascii="Arial" w:cs="Arial" w:eastAsia="Arial" w:hAnsi="Arial"/>
                <w:sz w:val="13"/>
                <w:szCs w:val="13"/>
                <w:color w:val="474C55"/>
              </w:rPr>
              <w:t>59.90 %</w:t>
            </w:r>
          </w:p>
        </w:tc>
        <w:tc>
          <w:tcPr>
            <w:tcW w:w="1460" w:type="dxa"/>
            <w:vAlign w:val="bottom"/>
          </w:tcPr>
          <w:p>
            <w:pPr>
              <w:jc w:val="right"/>
              <w:ind w:right="177"/>
              <w:spacing w:after="0"/>
              <w:rPr>
                <w:sz w:val="20"/>
                <w:szCs w:val="20"/>
                <w:color w:val="auto"/>
              </w:rPr>
            </w:pPr>
            <w:r>
              <w:rPr>
                <w:rFonts w:ascii="Arial" w:cs="Arial" w:eastAsia="Arial" w:hAnsi="Arial"/>
                <w:sz w:val="13"/>
                <w:szCs w:val="13"/>
                <w:color w:val="474C55"/>
              </w:rPr>
              <w:t>56.90 %</w:t>
            </w:r>
          </w:p>
        </w:tc>
        <w:tc>
          <w:tcPr>
            <w:tcW w:w="1320" w:type="dxa"/>
            <w:vAlign w:val="bottom"/>
          </w:tcPr>
          <w:p>
            <w:pPr>
              <w:jc w:val="right"/>
              <w:ind w:right="37"/>
              <w:spacing w:after="0"/>
              <w:rPr>
                <w:sz w:val="20"/>
                <w:szCs w:val="20"/>
                <w:color w:val="auto"/>
              </w:rPr>
            </w:pPr>
            <w:r>
              <w:rPr>
                <w:rFonts w:ascii="Arial" w:cs="Arial" w:eastAsia="Arial" w:hAnsi="Arial"/>
                <w:sz w:val="13"/>
                <w:szCs w:val="13"/>
                <w:color w:val="474C55"/>
              </w:rPr>
              <w:t>54.50 %</w:t>
            </w:r>
          </w:p>
        </w:tc>
        <w:tc>
          <w:tcPr>
            <w:tcW w:w="1660" w:type="dxa"/>
            <w:vAlign w:val="bottom"/>
          </w:tcPr>
          <w:p>
            <w:pPr>
              <w:jc w:val="right"/>
              <w:ind w:right="237"/>
              <w:spacing w:after="0" w:line="226" w:lineRule="exact"/>
              <w:rPr>
                <w:sz w:val="20"/>
                <w:szCs w:val="20"/>
                <w:color w:val="auto"/>
              </w:rPr>
            </w:pPr>
            <w:r>
              <w:rPr>
                <w:rFonts w:ascii="Arial" w:cs="Arial" w:eastAsia="Arial" w:hAnsi="Arial"/>
                <w:sz w:val="13"/>
                <w:szCs w:val="13"/>
                <w:color w:val="474C55"/>
              </w:rPr>
              <w:t>57.15</w:t>
            </w:r>
            <w:r>
              <w:rPr>
                <w:rFonts w:ascii="Arial" w:cs="Arial" w:eastAsia="Arial" w:hAnsi="Arial"/>
                <w:sz w:val="20"/>
                <w:szCs w:val="20"/>
                <w:color w:val="474C55"/>
                <w:vertAlign w:val="superscript"/>
              </w:rPr>
              <w:t>2</w:t>
            </w:r>
            <w:r>
              <w:rPr>
                <w:rFonts w:ascii="Arial" w:cs="Arial" w:eastAsia="Arial" w:hAnsi="Arial"/>
                <w:sz w:val="13"/>
                <w:szCs w:val="13"/>
                <w:color w:val="474C55"/>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474C55"/>
              </w:rPr>
              <w:t>19.17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820" w:type="dxa"/>
            <w:vAlign w:val="bottom"/>
            <w:shd w:val="clear" w:color="auto" w:fill="E1E2E2"/>
          </w:tcPr>
          <w:p>
            <w:pPr>
              <w:ind w:left="100"/>
              <w:spacing w:after="0"/>
              <w:rPr>
                <w:sz w:val="20"/>
                <w:szCs w:val="20"/>
                <w:color w:val="auto"/>
              </w:rPr>
            </w:pPr>
            <w:r>
              <w:rPr>
                <w:rFonts w:ascii="Arial" w:cs="Arial" w:eastAsia="Arial" w:hAnsi="Arial"/>
                <w:sz w:val="13"/>
                <w:szCs w:val="13"/>
                <w:color w:val="474C55"/>
              </w:rPr>
              <w:t>Customer Satisfaction Rating</w:t>
            </w:r>
          </w:p>
        </w:tc>
        <w:tc>
          <w:tcPr>
            <w:tcW w:w="1240" w:type="dxa"/>
            <w:vAlign w:val="bottom"/>
            <w:shd w:val="clear" w:color="auto" w:fill="E1E2E2"/>
          </w:tcPr>
          <w:p>
            <w:pPr>
              <w:ind w:left="660"/>
              <w:spacing w:after="0"/>
              <w:rPr>
                <w:sz w:val="20"/>
                <w:szCs w:val="20"/>
                <w:color w:val="auto"/>
              </w:rPr>
            </w:pPr>
            <w:r>
              <w:rPr>
                <w:rFonts w:ascii="Arial" w:cs="Arial" w:eastAsia="Arial" w:hAnsi="Arial"/>
                <w:sz w:val="13"/>
                <w:szCs w:val="13"/>
                <w:color w:val="474C55"/>
              </w:rPr>
              <w:t>15.0</w:t>
            </w:r>
          </w:p>
        </w:tc>
        <w:tc>
          <w:tcPr>
            <w:tcW w:w="1500" w:type="dxa"/>
            <w:vAlign w:val="bottom"/>
            <w:shd w:val="clear" w:color="auto" w:fill="E1E2E2"/>
          </w:tcPr>
          <w:p>
            <w:pPr>
              <w:jc w:val="right"/>
              <w:ind w:right="197"/>
              <w:spacing w:after="0"/>
              <w:rPr>
                <w:sz w:val="20"/>
                <w:szCs w:val="20"/>
                <w:color w:val="auto"/>
              </w:rPr>
            </w:pPr>
            <w:r>
              <w:rPr>
                <w:rFonts w:ascii="Arial" w:cs="Arial" w:eastAsia="Arial" w:hAnsi="Arial"/>
                <w:sz w:val="13"/>
                <w:szCs w:val="13"/>
                <w:color w:val="474C55"/>
              </w:rPr>
              <w:t>95.50 %</w:t>
            </w:r>
          </w:p>
        </w:tc>
        <w:tc>
          <w:tcPr>
            <w:tcW w:w="1460" w:type="dxa"/>
            <w:vAlign w:val="bottom"/>
            <w:shd w:val="clear" w:color="auto" w:fill="E1E2E2"/>
          </w:tcPr>
          <w:p>
            <w:pPr>
              <w:jc w:val="right"/>
              <w:ind w:right="177"/>
              <w:spacing w:after="0"/>
              <w:rPr>
                <w:sz w:val="20"/>
                <w:szCs w:val="20"/>
                <w:color w:val="auto"/>
              </w:rPr>
            </w:pPr>
            <w:r>
              <w:rPr>
                <w:rFonts w:ascii="Arial" w:cs="Arial" w:eastAsia="Arial" w:hAnsi="Arial"/>
                <w:sz w:val="13"/>
                <w:szCs w:val="13"/>
                <w:color w:val="474C55"/>
              </w:rPr>
              <w:t>96.50 %</w:t>
            </w:r>
          </w:p>
        </w:tc>
        <w:tc>
          <w:tcPr>
            <w:tcW w:w="1320" w:type="dxa"/>
            <w:vAlign w:val="bottom"/>
            <w:shd w:val="clear" w:color="auto" w:fill="E1E2E2"/>
          </w:tcPr>
          <w:p>
            <w:pPr>
              <w:jc w:val="right"/>
              <w:ind w:right="37"/>
              <w:spacing w:after="0"/>
              <w:rPr>
                <w:sz w:val="20"/>
                <w:szCs w:val="20"/>
                <w:color w:val="auto"/>
              </w:rPr>
            </w:pPr>
            <w:r>
              <w:rPr>
                <w:rFonts w:ascii="Arial" w:cs="Arial" w:eastAsia="Arial" w:hAnsi="Arial"/>
                <w:sz w:val="13"/>
                <w:szCs w:val="13"/>
                <w:color w:val="474C55"/>
              </w:rPr>
              <w:t>97.50 %</w:t>
            </w:r>
          </w:p>
        </w:tc>
        <w:tc>
          <w:tcPr>
            <w:tcW w:w="1660" w:type="dxa"/>
            <w:vAlign w:val="bottom"/>
            <w:shd w:val="clear" w:color="auto" w:fill="E1E2E2"/>
          </w:tcPr>
          <w:p>
            <w:pPr>
              <w:jc w:val="right"/>
              <w:ind w:right="237"/>
              <w:spacing w:after="0"/>
              <w:rPr>
                <w:sz w:val="20"/>
                <w:szCs w:val="20"/>
                <w:color w:val="auto"/>
              </w:rPr>
            </w:pPr>
            <w:r>
              <w:rPr>
                <w:rFonts w:ascii="Arial" w:cs="Arial" w:eastAsia="Arial" w:hAnsi="Arial"/>
                <w:sz w:val="13"/>
                <w:szCs w:val="13"/>
                <w:color w:val="474C55"/>
              </w:rPr>
              <w:t>98.69   %</w:t>
            </w:r>
          </w:p>
        </w:tc>
        <w:tc>
          <w:tcPr>
            <w:tcW w:w="1060" w:type="dxa"/>
            <w:vAlign w:val="bottom"/>
            <w:gridSpan w:val="2"/>
            <w:shd w:val="clear" w:color="auto" w:fill="E1E2E2"/>
          </w:tcPr>
          <w:p>
            <w:pPr>
              <w:jc w:val="right"/>
              <w:spacing w:after="0"/>
              <w:rPr>
                <w:sz w:val="20"/>
                <w:szCs w:val="20"/>
                <w:color w:val="auto"/>
              </w:rPr>
            </w:pPr>
            <w:r>
              <w:rPr>
                <w:rFonts w:ascii="Arial" w:cs="Arial" w:eastAsia="Arial" w:hAnsi="Arial"/>
                <w:sz w:val="13"/>
                <w:szCs w:val="13"/>
                <w:color w:val="474C55"/>
              </w:rPr>
              <w:t>22.50</w:t>
            </w:r>
          </w:p>
        </w:tc>
        <w:tc>
          <w:tcPr>
            <w:tcW w:w="180" w:type="dxa"/>
            <w:vAlign w:val="bottom"/>
            <w:shd w:val="clear" w:color="auto" w:fill="E1E2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2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474C55"/>
              </w:rPr>
              <w:t>109.88 %</w:t>
            </w: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hanging="180"/>
        <w:spacing w:after="0"/>
        <w:tabs>
          <w:tab w:leader="none" w:pos="180" w:val="left"/>
        </w:tabs>
        <w:numPr>
          <w:ilvl w:val="0"/>
          <w:numId w:val="30"/>
        </w:numPr>
        <w:rPr>
          <w:rFonts w:ascii="Arial" w:cs="Arial" w:eastAsia="Arial" w:hAnsi="Arial"/>
          <w:sz w:val="10"/>
          <w:szCs w:val="10"/>
          <w:color w:val="444A54"/>
        </w:rPr>
      </w:pPr>
      <w:r>
        <w:rPr>
          <w:rFonts w:ascii="Arial" w:cs="Arial" w:eastAsia="Arial" w:hAnsi="Arial"/>
          <w:sz w:val="13"/>
          <w:szCs w:val="13"/>
          <w:color w:val="444A54"/>
        </w:rPr>
        <w:t>NPAs / Total Assets metric excludes restructured loans.</w:t>
      </w:r>
    </w:p>
    <w:p>
      <w:pPr>
        <w:spacing w:after="0" w:line="13" w:lineRule="exact"/>
        <w:rPr>
          <w:sz w:val="20"/>
          <w:szCs w:val="20"/>
          <w:color w:val="auto"/>
        </w:rPr>
      </w:pPr>
    </w:p>
    <w:p>
      <w:pPr>
        <w:ind w:left="180" w:right="20" w:hanging="180"/>
        <w:spacing w:after="0" w:line="233" w:lineRule="auto"/>
        <w:tabs>
          <w:tab w:leader="none" w:pos="180" w:val="left"/>
        </w:tabs>
        <w:numPr>
          <w:ilvl w:val="0"/>
          <w:numId w:val="31"/>
        </w:numPr>
        <w:rPr>
          <w:rFonts w:ascii="Arial" w:cs="Arial" w:eastAsia="Arial" w:hAnsi="Arial"/>
          <w:sz w:val="10"/>
          <w:szCs w:val="10"/>
          <w:color w:val="444A54"/>
        </w:rPr>
      </w:pPr>
      <w:r>
        <w:rPr>
          <w:rFonts w:ascii="Arial" w:cs="Arial" w:eastAsia="Arial" w:hAnsi="Arial"/>
          <w:sz w:val="13"/>
          <w:szCs w:val="13"/>
          <w:color w:val="444A54"/>
        </w:rPr>
        <w:t>Both our operating earnings per share and operating efficiency ratio exclude merger-related and other charges. See reconciliation of non-GAAP measures related to GAAP financial measures in United Community’s Annual Report on Form 10-K for the year ended December 31, 2024, filed with the SEC on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142480"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pacing w:after="0" w:line="349" w:lineRule="exact"/>
        <w:rPr>
          <w:sz w:val="20"/>
          <w:szCs w:val="20"/>
          <w:color w:val="auto"/>
        </w:rPr>
      </w:pPr>
    </w:p>
    <w:p>
      <w:pPr>
        <w:ind w:right="1020"/>
        <w:spacing w:after="0" w:line="261" w:lineRule="auto"/>
        <w:rPr>
          <w:sz w:val="20"/>
          <w:szCs w:val="20"/>
          <w:color w:val="auto"/>
        </w:rPr>
      </w:pPr>
      <w:r>
        <w:rPr>
          <w:rFonts w:ascii="Arial" w:cs="Arial" w:eastAsia="Arial" w:hAnsi="Arial"/>
          <w:sz w:val="17"/>
          <w:szCs w:val="17"/>
          <w:color w:val="444A54"/>
        </w:rPr>
        <w:t>The following table summarizes each NEO’s 2024 annual cash incentive award payout potential and actual payout based on the Talent and Compensation Committee’s approval of a 2024 annual cash incentive award payout of 109.88%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98425</wp:posOffset>
            </wp:positionV>
            <wp:extent cx="8255" cy="3257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98425</wp:posOffset>
            </wp:positionV>
            <wp:extent cx="8255" cy="3257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98425</wp:posOffset>
            </wp:positionV>
            <wp:extent cx="8255" cy="3257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8255" cy="3257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98425</wp:posOffset>
            </wp:positionV>
            <wp:extent cx="8255" cy="3257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32575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shd w:val="clear" w:color="auto" w:fill="007DB6"/>
          </w:tcPr>
          <w:p>
            <w:pPr>
              <w:spacing w:after="0"/>
              <w:rPr>
                <w:sz w:val="15"/>
                <w:szCs w:val="15"/>
                <w:color w:val="auto"/>
              </w:rPr>
            </w:pPr>
          </w:p>
        </w:tc>
        <w:tc>
          <w:tcPr>
            <w:tcW w:w="2340" w:type="dxa"/>
            <w:vAlign w:val="bottom"/>
            <w:shd w:val="clear" w:color="auto" w:fill="007DB6"/>
          </w:tcPr>
          <w:p>
            <w:pPr>
              <w:jc w:val="center"/>
              <w:ind w:left="737"/>
              <w:spacing w:after="0"/>
              <w:rPr>
                <w:sz w:val="20"/>
                <w:szCs w:val="20"/>
                <w:color w:val="auto"/>
              </w:rPr>
            </w:pPr>
            <w:r>
              <w:rPr>
                <w:rFonts w:ascii="Arial" w:cs="Arial" w:eastAsia="Arial" w:hAnsi="Arial"/>
                <w:sz w:val="13"/>
                <w:szCs w:val="13"/>
                <w:color w:val="FFFFFF"/>
                <w:w w:val="95"/>
              </w:rPr>
              <w:t>Target Payout</w:t>
            </w:r>
          </w:p>
        </w:tc>
        <w:tc>
          <w:tcPr>
            <w:tcW w:w="1060" w:type="dxa"/>
            <w:vAlign w:val="bottom"/>
            <w:vMerge w:val="restart"/>
            <w:shd w:val="clear" w:color="auto" w:fill="007DB6"/>
          </w:tcPr>
          <w:p>
            <w:pPr>
              <w:jc w:val="right"/>
              <w:ind w:right="117"/>
              <w:spacing w:after="0"/>
              <w:rPr>
                <w:sz w:val="20"/>
                <w:szCs w:val="20"/>
                <w:color w:val="auto"/>
              </w:rPr>
            </w:pPr>
            <w:r>
              <w:rPr>
                <w:rFonts w:ascii="Arial" w:cs="Arial" w:eastAsia="Arial" w:hAnsi="Arial"/>
                <w:sz w:val="13"/>
                <w:szCs w:val="13"/>
                <w:color w:val="FFFFFF"/>
              </w:rPr>
              <w:t>Target Payout</w:t>
            </w:r>
          </w:p>
        </w:tc>
        <w:tc>
          <w:tcPr>
            <w:tcW w:w="1320" w:type="dxa"/>
            <w:vAlign w:val="bottom"/>
            <w:vMerge w:val="restart"/>
            <w:shd w:val="clear" w:color="auto" w:fill="007DB6"/>
          </w:tcPr>
          <w:p>
            <w:pPr>
              <w:ind w:left="140"/>
              <w:spacing w:after="0"/>
              <w:rPr>
                <w:sz w:val="20"/>
                <w:szCs w:val="20"/>
                <w:color w:val="auto"/>
              </w:rPr>
            </w:pPr>
            <w:r>
              <w:rPr>
                <w:rFonts w:ascii="Arial" w:cs="Arial" w:eastAsia="Arial" w:hAnsi="Arial"/>
                <w:sz w:val="13"/>
                <w:szCs w:val="13"/>
                <w:color w:val="FFFFFF"/>
              </w:rPr>
              <w:t>2024 Actual Payout</w:t>
            </w:r>
          </w:p>
        </w:tc>
        <w:tc>
          <w:tcPr>
            <w:tcW w:w="1400" w:type="dxa"/>
            <w:vAlign w:val="bottom"/>
            <w:vMerge w:val="restart"/>
            <w:shd w:val="clear" w:color="auto" w:fill="007DB6"/>
          </w:tcPr>
          <w:p>
            <w:pPr>
              <w:jc w:val="right"/>
              <w:ind w:right="97"/>
              <w:spacing w:after="0"/>
              <w:rPr>
                <w:sz w:val="20"/>
                <w:szCs w:val="20"/>
                <w:color w:val="auto"/>
              </w:rPr>
            </w:pPr>
            <w:r>
              <w:rPr>
                <w:rFonts w:ascii="Arial" w:cs="Arial" w:eastAsia="Arial" w:hAnsi="Arial"/>
                <w:sz w:val="13"/>
                <w:szCs w:val="13"/>
                <w:color w:val="FFFFFF"/>
              </w:rPr>
              <w:t>2024 Actual Payout</w:t>
            </w:r>
          </w:p>
        </w:tc>
        <w:tc>
          <w:tcPr>
            <w:tcW w:w="0" w:type="dxa"/>
            <w:vAlign w:val="bottom"/>
          </w:tcPr>
          <w:p>
            <w:pPr>
              <w:spacing w:after="0"/>
              <w:rPr>
                <w:sz w:val="1"/>
                <w:szCs w:val="1"/>
                <w:color w:val="auto"/>
              </w:rPr>
            </w:pPr>
          </w:p>
        </w:tc>
      </w:tr>
      <w:tr>
        <w:trPr>
          <w:trHeight w:val="63"/>
        </w:trPr>
        <w:tc>
          <w:tcPr>
            <w:tcW w:w="2320" w:type="dxa"/>
            <w:vAlign w:val="bottom"/>
            <w:vMerge w:val="restart"/>
            <w:shd w:val="clear" w:color="auto" w:fill="007DB6"/>
          </w:tcPr>
          <w:p>
            <w:pPr>
              <w:ind w:left="100"/>
              <w:spacing w:after="0" w:line="138" w:lineRule="exact"/>
              <w:rPr>
                <w:sz w:val="20"/>
                <w:szCs w:val="20"/>
                <w:color w:val="auto"/>
              </w:rPr>
            </w:pPr>
            <w:r>
              <w:rPr>
                <w:rFonts w:ascii="Arial" w:cs="Arial" w:eastAsia="Arial" w:hAnsi="Arial"/>
                <w:sz w:val="13"/>
                <w:szCs w:val="13"/>
                <w:color w:val="FFFFFF"/>
              </w:rPr>
              <w:t>Name</w:t>
            </w:r>
          </w:p>
        </w:tc>
        <w:tc>
          <w:tcPr>
            <w:tcW w:w="2340" w:type="dxa"/>
            <w:vAlign w:val="bottom"/>
            <w:vMerge w:val="restart"/>
            <w:shd w:val="clear" w:color="auto" w:fill="007DB6"/>
          </w:tcPr>
          <w:p>
            <w:pPr>
              <w:jc w:val="center"/>
              <w:ind w:left="737"/>
              <w:spacing w:after="0" w:line="138" w:lineRule="exact"/>
              <w:rPr>
                <w:sz w:val="20"/>
                <w:szCs w:val="20"/>
                <w:color w:val="auto"/>
              </w:rPr>
            </w:pPr>
            <w:r>
              <w:rPr>
                <w:rFonts w:ascii="Arial" w:cs="Arial" w:eastAsia="Arial" w:hAnsi="Arial"/>
                <w:sz w:val="13"/>
                <w:szCs w:val="13"/>
                <w:color w:val="FFFFFF"/>
                <w:w w:val="98"/>
              </w:rPr>
              <w:t>Potential</w:t>
            </w:r>
          </w:p>
        </w:tc>
        <w:tc>
          <w:tcPr>
            <w:tcW w:w="1060" w:type="dxa"/>
            <w:vAlign w:val="bottom"/>
            <w:vMerge w:val="continue"/>
            <w:shd w:val="clear" w:color="auto" w:fill="007DB6"/>
          </w:tcPr>
          <w:p>
            <w:pPr>
              <w:spacing w:after="0"/>
              <w:rPr>
                <w:sz w:val="5"/>
                <w:szCs w:val="5"/>
                <w:color w:val="auto"/>
              </w:rPr>
            </w:pPr>
          </w:p>
        </w:tc>
        <w:tc>
          <w:tcPr>
            <w:tcW w:w="1320" w:type="dxa"/>
            <w:vAlign w:val="bottom"/>
            <w:vMerge w:val="continue"/>
            <w:shd w:val="clear" w:color="auto" w:fill="007DB6"/>
          </w:tcPr>
          <w:p>
            <w:pPr>
              <w:spacing w:after="0"/>
              <w:rPr>
                <w:sz w:val="5"/>
                <w:szCs w:val="5"/>
                <w:color w:val="auto"/>
              </w:rPr>
            </w:pPr>
          </w:p>
        </w:tc>
        <w:tc>
          <w:tcPr>
            <w:tcW w:w="1400" w:type="dxa"/>
            <w:vAlign w:val="bottom"/>
            <w:vMerge w:val="continue"/>
            <w:shd w:val="clear" w:color="auto" w:fill="007DB6"/>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320" w:type="dxa"/>
            <w:vAlign w:val="bottom"/>
            <w:vMerge w:val="continue"/>
            <w:shd w:val="clear" w:color="auto" w:fill="007DB6"/>
          </w:tcPr>
          <w:p>
            <w:pPr>
              <w:spacing w:after="0"/>
              <w:rPr>
                <w:sz w:val="6"/>
                <w:szCs w:val="6"/>
                <w:color w:val="auto"/>
              </w:rPr>
            </w:pPr>
          </w:p>
        </w:tc>
        <w:tc>
          <w:tcPr>
            <w:tcW w:w="2340" w:type="dxa"/>
            <w:vAlign w:val="bottom"/>
            <w:vMerge w:val="continue"/>
            <w:shd w:val="clear" w:color="auto" w:fill="007DB6"/>
          </w:tcPr>
          <w:p>
            <w:pPr>
              <w:spacing w:after="0"/>
              <w:rPr>
                <w:sz w:val="6"/>
                <w:szCs w:val="6"/>
                <w:color w:val="auto"/>
              </w:rPr>
            </w:pPr>
          </w:p>
        </w:tc>
        <w:tc>
          <w:tcPr>
            <w:tcW w:w="1060" w:type="dxa"/>
            <w:vAlign w:val="bottom"/>
            <w:vMerge w:val="restart"/>
            <w:shd w:val="clear" w:color="auto" w:fill="007DB6"/>
          </w:tcPr>
          <w:p>
            <w:pPr>
              <w:jc w:val="right"/>
              <w:ind w:right="237"/>
              <w:spacing w:after="0"/>
              <w:rPr>
                <w:sz w:val="20"/>
                <w:szCs w:val="20"/>
                <w:color w:val="auto"/>
              </w:rPr>
            </w:pPr>
            <w:r>
              <w:rPr>
                <w:rFonts w:ascii="Arial" w:cs="Arial" w:eastAsia="Arial" w:hAnsi="Arial"/>
                <w:sz w:val="13"/>
                <w:szCs w:val="13"/>
                <w:color w:val="FFFFFF"/>
              </w:rPr>
              <w:t>Potential</w:t>
            </w:r>
          </w:p>
        </w:tc>
        <w:tc>
          <w:tcPr>
            <w:tcW w:w="1320" w:type="dxa"/>
            <w:vAlign w:val="bottom"/>
            <w:vMerge w:val="restart"/>
            <w:shd w:val="clear" w:color="auto" w:fill="007DB6"/>
          </w:tcPr>
          <w:p>
            <w:pPr>
              <w:ind w:left="120"/>
              <w:spacing w:after="0"/>
              <w:rPr>
                <w:sz w:val="20"/>
                <w:szCs w:val="20"/>
                <w:color w:val="auto"/>
              </w:rPr>
            </w:pPr>
            <w:r>
              <w:rPr>
                <w:rFonts w:ascii="Arial" w:cs="Arial" w:eastAsia="Arial" w:hAnsi="Arial"/>
                <w:sz w:val="13"/>
                <w:szCs w:val="13"/>
                <w:color w:val="FFFFFF"/>
              </w:rPr>
              <w:t>(109.88% of Target)</w:t>
            </w:r>
          </w:p>
        </w:tc>
        <w:tc>
          <w:tcPr>
            <w:tcW w:w="1400" w:type="dxa"/>
            <w:vAlign w:val="bottom"/>
            <w:vMerge w:val="restart"/>
            <w:shd w:val="clear" w:color="auto" w:fill="007DB6"/>
          </w:tcPr>
          <w:p>
            <w:pPr>
              <w:jc w:val="right"/>
              <w:ind w:right="37"/>
              <w:spacing w:after="0"/>
              <w:rPr>
                <w:sz w:val="20"/>
                <w:szCs w:val="20"/>
                <w:color w:val="auto"/>
              </w:rPr>
            </w:pPr>
            <w:r>
              <w:rPr>
                <w:rFonts w:ascii="Arial" w:cs="Arial" w:eastAsia="Arial" w:hAnsi="Arial"/>
                <w:sz w:val="13"/>
                <w:szCs w:val="13"/>
                <w:color w:val="FFFFFF"/>
              </w:rPr>
              <w:t>(as % of Base Salary)</w:t>
            </w:r>
          </w:p>
        </w:tc>
        <w:tc>
          <w:tcPr>
            <w:tcW w:w="0" w:type="dxa"/>
            <w:vAlign w:val="bottom"/>
          </w:tcPr>
          <w:p>
            <w:pPr>
              <w:spacing w:after="0"/>
              <w:rPr>
                <w:sz w:val="1"/>
                <w:szCs w:val="1"/>
                <w:color w:val="auto"/>
              </w:rPr>
            </w:pPr>
          </w:p>
        </w:tc>
      </w:tr>
      <w:tr>
        <w:trPr>
          <w:trHeight w:val="90"/>
        </w:trPr>
        <w:tc>
          <w:tcPr>
            <w:tcW w:w="2320" w:type="dxa"/>
            <w:vAlign w:val="bottom"/>
            <w:shd w:val="clear" w:color="auto" w:fill="007DB6"/>
          </w:tcPr>
          <w:p>
            <w:pPr>
              <w:spacing w:after="0"/>
              <w:rPr>
                <w:sz w:val="7"/>
                <w:szCs w:val="7"/>
                <w:color w:val="auto"/>
              </w:rPr>
            </w:pPr>
          </w:p>
        </w:tc>
        <w:tc>
          <w:tcPr>
            <w:tcW w:w="2340" w:type="dxa"/>
            <w:vAlign w:val="bottom"/>
            <w:vMerge w:val="restart"/>
            <w:shd w:val="clear" w:color="auto" w:fill="007DB6"/>
          </w:tcPr>
          <w:p>
            <w:pPr>
              <w:jc w:val="center"/>
              <w:ind w:left="777"/>
              <w:spacing w:after="0"/>
              <w:rPr>
                <w:sz w:val="20"/>
                <w:szCs w:val="20"/>
                <w:color w:val="auto"/>
              </w:rPr>
            </w:pPr>
            <w:r>
              <w:rPr>
                <w:rFonts w:ascii="Arial" w:cs="Arial" w:eastAsia="Arial" w:hAnsi="Arial"/>
                <w:sz w:val="13"/>
                <w:szCs w:val="13"/>
                <w:color w:val="FFFFFF"/>
                <w:w w:val="97"/>
              </w:rPr>
              <w:t>(as % of Base Salary)</w:t>
            </w:r>
          </w:p>
        </w:tc>
        <w:tc>
          <w:tcPr>
            <w:tcW w:w="1060" w:type="dxa"/>
            <w:vAlign w:val="bottom"/>
            <w:vMerge w:val="continue"/>
            <w:shd w:val="clear" w:color="auto" w:fill="007DB6"/>
          </w:tcPr>
          <w:p>
            <w:pPr>
              <w:spacing w:after="0"/>
              <w:rPr>
                <w:sz w:val="7"/>
                <w:szCs w:val="7"/>
                <w:color w:val="auto"/>
              </w:rPr>
            </w:pPr>
          </w:p>
        </w:tc>
        <w:tc>
          <w:tcPr>
            <w:tcW w:w="1320" w:type="dxa"/>
            <w:vAlign w:val="bottom"/>
            <w:vMerge w:val="continue"/>
            <w:shd w:val="clear" w:color="auto" w:fill="007DB6"/>
          </w:tcPr>
          <w:p>
            <w:pPr>
              <w:spacing w:after="0"/>
              <w:rPr>
                <w:sz w:val="7"/>
                <w:szCs w:val="7"/>
                <w:color w:val="auto"/>
              </w:rPr>
            </w:pPr>
          </w:p>
        </w:tc>
        <w:tc>
          <w:tcPr>
            <w:tcW w:w="1400" w:type="dxa"/>
            <w:vAlign w:val="bottom"/>
            <w:vMerge w:val="continue"/>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320" w:type="dxa"/>
            <w:vAlign w:val="bottom"/>
            <w:tcBorders>
              <w:bottom w:val="single" w:sz="8" w:color="007DB6"/>
            </w:tcBorders>
            <w:shd w:val="clear" w:color="auto" w:fill="007DB6"/>
          </w:tcPr>
          <w:p>
            <w:pPr>
              <w:spacing w:after="0"/>
              <w:rPr>
                <w:sz w:val="7"/>
                <w:szCs w:val="7"/>
                <w:color w:val="auto"/>
              </w:rPr>
            </w:pPr>
          </w:p>
        </w:tc>
        <w:tc>
          <w:tcPr>
            <w:tcW w:w="2340" w:type="dxa"/>
            <w:vAlign w:val="bottom"/>
            <w:tcBorders>
              <w:bottom w:val="single" w:sz="8" w:color="007DB6"/>
            </w:tcBorders>
            <w:vMerge w:val="continue"/>
            <w:shd w:val="clear" w:color="auto" w:fill="007DB6"/>
          </w:tcPr>
          <w:p>
            <w:pPr>
              <w:spacing w:after="0"/>
              <w:rPr>
                <w:sz w:val="7"/>
                <w:szCs w:val="7"/>
                <w:color w:val="auto"/>
              </w:rPr>
            </w:pPr>
          </w:p>
        </w:tc>
        <w:tc>
          <w:tcPr>
            <w:tcW w:w="1060" w:type="dxa"/>
            <w:vAlign w:val="bottom"/>
            <w:tcBorders>
              <w:bottom w:val="single" w:sz="8" w:color="007DB6"/>
            </w:tcBorders>
            <w:shd w:val="clear" w:color="auto" w:fill="007DB6"/>
          </w:tcPr>
          <w:p>
            <w:pPr>
              <w:spacing w:after="0"/>
              <w:rPr>
                <w:sz w:val="7"/>
                <w:szCs w:val="7"/>
                <w:color w:val="auto"/>
              </w:rPr>
            </w:pPr>
          </w:p>
        </w:tc>
        <w:tc>
          <w:tcPr>
            <w:tcW w:w="1320" w:type="dxa"/>
            <w:vAlign w:val="bottom"/>
            <w:tcBorders>
              <w:bottom w:val="single" w:sz="8" w:color="007DB6"/>
            </w:tcBorders>
            <w:shd w:val="clear" w:color="auto" w:fill="007DB6"/>
          </w:tcPr>
          <w:p>
            <w:pPr>
              <w:spacing w:after="0"/>
              <w:rPr>
                <w:sz w:val="7"/>
                <w:szCs w:val="7"/>
                <w:color w:val="auto"/>
              </w:rPr>
            </w:pPr>
          </w:p>
        </w:tc>
        <w:tc>
          <w:tcPr>
            <w:tcW w:w="1400" w:type="dxa"/>
            <w:vAlign w:val="bottom"/>
            <w:tcBorders>
              <w:bottom w:val="single" w:sz="8" w:color="007DB6"/>
            </w:tcBorders>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100"/>
              <w:spacing w:after="0"/>
              <w:rPr>
                <w:sz w:val="20"/>
                <w:szCs w:val="20"/>
                <w:color w:val="auto"/>
              </w:rPr>
            </w:pPr>
            <w:r>
              <w:rPr>
                <w:rFonts w:ascii="Arial" w:cs="Arial" w:eastAsia="Arial" w:hAnsi="Arial"/>
                <w:sz w:val="13"/>
                <w:szCs w:val="13"/>
                <w:color w:val="444A54"/>
              </w:rPr>
              <w:t>H. Lynn Harton</w:t>
            </w:r>
          </w:p>
        </w:tc>
        <w:tc>
          <w:tcPr>
            <w:tcW w:w="2340" w:type="dxa"/>
            <w:vAlign w:val="bottom"/>
          </w:tcPr>
          <w:p>
            <w:pPr>
              <w:jc w:val="right"/>
              <w:ind w:right="37"/>
              <w:spacing w:after="0"/>
              <w:rPr>
                <w:sz w:val="20"/>
                <w:szCs w:val="20"/>
                <w:color w:val="auto"/>
              </w:rPr>
            </w:pPr>
            <w:r>
              <w:rPr>
                <w:rFonts w:ascii="Arial" w:cs="Arial" w:eastAsia="Arial" w:hAnsi="Arial"/>
                <w:sz w:val="13"/>
                <w:szCs w:val="13"/>
                <w:color w:val="444A54"/>
              </w:rPr>
              <w:t>125.0 %</w:t>
            </w:r>
          </w:p>
        </w:tc>
        <w:tc>
          <w:tcPr>
            <w:tcW w:w="1060" w:type="dxa"/>
            <w:vAlign w:val="bottom"/>
          </w:tcPr>
          <w:p>
            <w:pPr>
              <w:jc w:val="right"/>
              <w:ind w:right="77"/>
              <w:spacing w:after="0"/>
              <w:rPr>
                <w:sz w:val="20"/>
                <w:szCs w:val="20"/>
                <w:color w:val="auto"/>
              </w:rPr>
            </w:pPr>
            <w:r>
              <w:rPr>
                <w:rFonts w:ascii="Arial" w:cs="Arial" w:eastAsia="Arial" w:hAnsi="Arial"/>
                <w:sz w:val="13"/>
                <w:szCs w:val="13"/>
                <w:color w:val="444A54"/>
              </w:rPr>
              <w:t>$ 1,406,250</w:t>
            </w:r>
          </w:p>
        </w:tc>
        <w:tc>
          <w:tcPr>
            <w:tcW w:w="1320" w:type="dxa"/>
            <w:vAlign w:val="bottom"/>
          </w:tcPr>
          <w:p>
            <w:pPr>
              <w:jc w:val="right"/>
              <w:ind w:right="117"/>
              <w:spacing w:after="0"/>
              <w:rPr>
                <w:sz w:val="20"/>
                <w:szCs w:val="20"/>
                <w:color w:val="auto"/>
              </w:rPr>
            </w:pPr>
            <w:r>
              <w:rPr>
                <w:rFonts w:ascii="Arial" w:cs="Arial" w:eastAsia="Arial" w:hAnsi="Arial"/>
                <w:sz w:val="13"/>
                <w:szCs w:val="13"/>
                <w:color w:val="444A54"/>
              </w:rPr>
              <w:t>$ 1,545,177</w:t>
            </w:r>
          </w:p>
        </w:tc>
        <w:tc>
          <w:tcPr>
            <w:tcW w:w="1400" w:type="dxa"/>
            <w:vAlign w:val="bottom"/>
          </w:tcPr>
          <w:p>
            <w:pPr>
              <w:jc w:val="right"/>
              <w:spacing w:after="0"/>
              <w:rPr>
                <w:sz w:val="20"/>
                <w:szCs w:val="20"/>
                <w:color w:val="auto"/>
              </w:rPr>
            </w:pPr>
            <w:r>
              <w:rPr>
                <w:rFonts w:ascii="Arial" w:cs="Arial" w:eastAsia="Arial" w:hAnsi="Arial"/>
                <w:sz w:val="13"/>
                <w:szCs w:val="13"/>
                <w:color w:val="444A54"/>
              </w:rPr>
              <w:t>137.3 %</w:t>
            </w:r>
          </w:p>
        </w:tc>
        <w:tc>
          <w:tcPr>
            <w:tcW w:w="0" w:type="dxa"/>
            <w:vAlign w:val="bottom"/>
          </w:tcPr>
          <w:p>
            <w:pPr>
              <w:spacing w:after="0"/>
              <w:rPr>
                <w:sz w:val="1"/>
                <w:szCs w:val="1"/>
                <w:color w:val="auto"/>
              </w:rPr>
            </w:pPr>
          </w:p>
        </w:tc>
      </w:tr>
      <w:tr>
        <w:trPr>
          <w:trHeight w:val="35"/>
        </w:trPr>
        <w:tc>
          <w:tcPr>
            <w:tcW w:w="23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320" w:type="dxa"/>
            <w:vAlign w:val="bottom"/>
            <w:tcBorders>
              <w:bottom w:val="single" w:sz="8" w:color="E1E2E2"/>
            </w:tcBorders>
            <w:shd w:val="clear" w:color="auto" w:fill="E1E2E2"/>
          </w:tcPr>
          <w:p>
            <w:pPr>
              <w:ind w:left="100"/>
              <w:spacing w:after="0"/>
              <w:rPr>
                <w:sz w:val="20"/>
                <w:szCs w:val="20"/>
                <w:color w:val="auto"/>
              </w:rPr>
            </w:pPr>
            <w:r>
              <w:rPr>
                <w:rFonts w:ascii="Arial" w:cs="Arial" w:eastAsia="Arial" w:hAnsi="Arial"/>
                <w:sz w:val="13"/>
                <w:szCs w:val="13"/>
                <w:color w:val="444A54"/>
              </w:rPr>
              <w:t>Jefferson L. Harralson</w:t>
            </w:r>
          </w:p>
        </w:tc>
        <w:tc>
          <w:tcPr>
            <w:tcW w:w="2340" w:type="dxa"/>
            <w:vAlign w:val="bottom"/>
            <w:tcBorders>
              <w:bottom w:val="single" w:sz="8" w:color="E1E2E2"/>
            </w:tcBorders>
            <w:shd w:val="clear" w:color="auto" w:fill="E1E2E2"/>
          </w:tcPr>
          <w:p>
            <w:pPr>
              <w:jc w:val="right"/>
              <w:ind w:right="197"/>
              <w:spacing w:after="0"/>
              <w:rPr>
                <w:sz w:val="20"/>
                <w:szCs w:val="20"/>
                <w:color w:val="auto"/>
              </w:rPr>
            </w:pPr>
            <w:r>
              <w:rPr>
                <w:rFonts w:ascii="Arial" w:cs="Arial" w:eastAsia="Arial" w:hAnsi="Arial"/>
                <w:sz w:val="13"/>
                <w:szCs w:val="13"/>
                <w:color w:val="444A54"/>
              </w:rPr>
              <w:t>80.0</w:t>
            </w:r>
          </w:p>
        </w:tc>
        <w:tc>
          <w:tcPr>
            <w:tcW w:w="1060" w:type="dxa"/>
            <w:vAlign w:val="bottom"/>
            <w:tcBorders>
              <w:bottom w:val="single" w:sz="8" w:color="E1E2E2"/>
            </w:tcBorders>
            <w:shd w:val="clear" w:color="auto" w:fill="E1E2E2"/>
          </w:tcPr>
          <w:p>
            <w:pPr>
              <w:jc w:val="right"/>
              <w:ind w:right="77"/>
              <w:spacing w:after="0"/>
              <w:rPr>
                <w:sz w:val="20"/>
                <w:szCs w:val="20"/>
                <w:color w:val="auto"/>
              </w:rPr>
            </w:pPr>
            <w:r>
              <w:rPr>
                <w:rFonts w:ascii="Arial" w:cs="Arial" w:eastAsia="Arial" w:hAnsi="Arial"/>
                <w:sz w:val="13"/>
                <w:szCs w:val="13"/>
                <w:color w:val="444A54"/>
              </w:rPr>
              <w:t>440,000</w:t>
            </w:r>
          </w:p>
        </w:tc>
        <w:tc>
          <w:tcPr>
            <w:tcW w:w="1320" w:type="dxa"/>
            <w:vAlign w:val="bottom"/>
            <w:tcBorders>
              <w:bottom w:val="single" w:sz="8" w:color="E1E2E2"/>
            </w:tcBorders>
            <w:shd w:val="clear" w:color="auto" w:fill="E1E2E2"/>
          </w:tcPr>
          <w:p>
            <w:pPr>
              <w:jc w:val="right"/>
              <w:ind w:right="117"/>
              <w:spacing w:after="0"/>
              <w:rPr>
                <w:sz w:val="20"/>
                <w:szCs w:val="20"/>
                <w:color w:val="auto"/>
              </w:rPr>
            </w:pPr>
            <w:r>
              <w:rPr>
                <w:rFonts w:ascii="Arial" w:cs="Arial" w:eastAsia="Arial" w:hAnsi="Arial"/>
                <w:sz w:val="13"/>
                <w:szCs w:val="13"/>
                <w:color w:val="444A54"/>
              </w:rPr>
              <w:t>483,469</w:t>
            </w:r>
          </w:p>
        </w:tc>
        <w:tc>
          <w:tcPr>
            <w:tcW w:w="1400" w:type="dxa"/>
            <w:vAlign w:val="bottom"/>
            <w:tcBorders>
              <w:bottom w:val="single" w:sz="8" w:color="E1E2E2"/>
            </w:tcBorders>
            <w:shd w:val="clear" w:color="auto" w:fill="E1E2E2"/>
          </w:tcPr>
          <w:p>
            <w:pPr>
              <w:jc w:val="right"/>
              <w:ind w:right="137"/>
              <w:spacing w:after="0"/>
              <w:rPr>
                <w:sz w:val="20"/>
                <w:szCs w:val="20"/>
                <w:color w:val="auto"/>
              </w:rPr>
            </w:pPr>
            <w:r>
              <w:rPr>
                <w:rFonts w:ascii="Arial" w:cs="Arial" w:eastAsia="Arial" w:hAnsi="Arial"/>
                <w:sz w:val="13"/>
                <w:szCs w:val="13"/>
                <w:color w:val="444A54"/>
              </w:rPr>
              <w:t>87.9</w:t>
            </w:r>
          </w:p>
        </w:tc>
        <w:tc>
          <w:tcPr>
            <w:tcW w:w="0" w:type="dxa"/>
            <w:vAlign w:val="bottom"/>
          </w:tcPr>
          <w:p>
            <w:pPr>
              <w:spacing w:after="0"/>
              <w:rPr>
                <w:sz w:val="1"/>
                <w:szCs w:val="1"/>
                <w:color w:val="auto"/>
              </w:rPr>
            </w:pPr>
          </w:p>
        </w:tc>
      </w:tr>
      <w:tr>
        <w:trPr>
          <w:trHeight w:val="203"/>
        </w:trPr>
        <w:tc>
          <w:tcPr>
            <w:tcW w:w="2320" w:type="dxa"/>
            <w:vAlign w:val="bottom"/>
          </w:tcPr>
          <w:p>
            <w:pPr>
              <w:ind w:left="100"/>
              <w:spacing w:after="0"/>
              <w:rPr>
                <w:sz w:val="20"/>
                <w:szCs w:val="20"/>
                <w:color w:val="auto"/>
              </w:rPr>
            </w:pPr>
            <w:r>
              <w:rPr>
                <w:rFonts w:ascii="Arial" w:cs="Arial" w:eastAsia="Arial" w:hAnsi="Arial"/>
                <w:sz w:val="13"/>
                <w:szCs w:val="13"/>
                <w:color w:val="444A54"/>
              </w:rPr>
              <w:t>Richard W. Bradshaw</w:t>
            </w:r>
          </w:p>
        </w:tc>
        <w:tc>
          <w:tcPr>
            <w:tcW w:w="2340" w:type="dxa"/>
            <w:vAlign w:val="bottom"/>
          </w:tcPr>
          <w:p>
            <w:pPr>
              <w:jc w:val="right"/>
              <w:ind w:right="197"/>
              <w:spacing w:after="0"/>
              <w:rPr>
                <w:sz w:val="20"/>
                <w:szCs w:val="20"/>
                <w:color w:val="auto"/>
              </w:rPr>
            </w:pPr>
            <w:r>
              <w:rPr>
                <w:rFonts w:ascii="Arial" w:cs="Arial" w:eastAsia="Arial" w:hAnsi="Arial"/>
                <w:sz w:val="13"/>
                <w:szCs w:val="13"/>
                <w:color w:val="444A54"/>
              </w:rPr>
              <w:t>100.0</w:t>
            </w:r>
          </w:p>
        </w:tc>
        <w:tc>
          <w:tcPr>
            <w:tcW w:w="1060" w:type="dxa"/>
            <w:vAlign w:val="bottom"/>
          </w:tcPr>
          <w:p>
            <w:pPr>
              <w:jc w:val="right"/>
              <w:ind w:right="77"/>
              <w:spacing w:after="0"/>
              <w:rPr>
                <w:sz w:val="20"/>
                <w:szCs w:val="20"/>
                <w:color w:val="auto"/>
              </w:rPr>
            </w:pPr>
            <w:r>
              <w:rPr>
                <w:rFonts w:ascii="Arial" w:cs="Arial" w:eastAsia="Arial" w:hAnsi="Arial"/>
                <w:sz w:val="13"/>
                <w:szCs w:val="13"/>
                <w:color w:val="444A54"/>
              </w:rPr>
              <w:t>675,000</w:t>
            </w:r>
          </w:p>
        </w:tc>
        <w:tc>
          <w:tcPr>
            <w:tcW w:w="1320" w:type="dxa"/>
            <w:vAlign w:val="bottom"/>
          </w:tcPr>
          <w:p>
            <w:pPr>
              <w:jc w:val="right"/>
              <w:ind w:right="117"/>
              <w:spacing w:after="0"/>
              <w:rPr>
                <w:sz w:val="20"/>
                <w:szCs w:val="20"/>
                <w:color w:val="auto"/>
              </w:rPr>
            </w:pPr>
            <w:r>
              <w:rPr>
                <w:rFonts w:ascii="Arial" w:cs="Arial" w:eastAsia="Arial" w:hAnsi="Arial"/>
                <w:sz w:val="13"/>
                <w:szCs w:val="13"/>
                <w:color w:val="444A54"/>
              </w:rPr>
              <w:t>741,685</w:t>
            </w:r>
          </w:p>
        </w:tc>
        <w:tc>
          <w:tcPr>
            <w:tcW w:w="1400" w:type="dxa"/>
            <w:vAlign w:val="bottom"/>
          </w:tcPr>
          <w:p>
            <w:pPr>
              <w:jc w:val="right"/>
              <w:ind w:right="137"/>
              <w:spacing w:after="0"/>
              <w:rPr>
                <w:sz w:val="20"/>
                <w:szCs w:val="20"/>
                <w:color w:val="auto"/>
              </w:rPr>
            </w:pPr>
            <w:r>
              <w:rPr>
                <w:rFonts w:ascii="Arial" w:cs="Arial" w:eastAsia="Arial" w:hAnsi="Arial"/>
                <w:sz w:val="13"/>
                <w:szCs w:val="13"/>
                <w:color w:val="444A54"/>
              </w:rPr>
              <w:t>109.9</w:t>
            </w:r>
          </w:p>
        </w:tc>
        <w:tc>
          <w:tcPr>
            <w:tcW w:w="0" w:type="dxa"/>
            <w:vAlign w:val="bottom"/>
          </w:tcPr>
          <w:p>
            <w:pPr>
              <w:spacing w:after="0"/>
              <w:rPr>
                <w:sz w:val="1"/>
                <w:szCs w:val="1"/>
                <w:color w:val="auto"/>
              </w:rPr>
            </w:pPr>
          </w:p>
        </w:tc>
      </w:tr>
      <w:tr>
        <w:trPr>
          <w:trHeight w:val="35"/>
        </w:trPr>
        <w:tc>
          <w:tcPr>
            <w:tcW w:w="23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320" w:type="dxa"/>
            <w:vAlign w:val="bottom"/>
            <w:tcBorders>
              <w:bottom w:val="single" w:sz="8" w:color="E1E2E2"/>
            </w:tcBorders>
            <w:shd w:val="clear" w:color="auto" w:fill="E1E2E2"/>
          </w:tcPr>
          <w:p>
            <w:pPr>
              <w:ind w:left="100"/>
              <w:spacing w:after="0"/>
              <w:rPr>
                <w:sz w:val="20"/>
                <w:szCs w:val="20"/>
                <w:color w:val="auto"/>
              </w:rPr>
            </w:pPr>
            <w:r>
              <w:rPr>
                <w:rFonts w:ascii="Arial" w:cs="Arial" w:eastAsia="Arial" w:hAnsi="Arial"/>
                <w:sz w:val="13"/>
                <w:szCs w:val="13"/>
                <w:color w:val="444A54"/>
              </w:rPr>
              <w:t>Melinda Davis Lux</w:t>
            </w:r>
          </w:p>
        </w:tc>
        <w:tc>
          <w:tcPr>
            <w:tcW w:w="2340" w:type="dxa"/>
            <w:vAlign w:val="bottom"/>
            <w:tcBorders>
              <w:bottom w:val="single" w:sz="8" w:color="E1E2E2"/>
            </w:tcBorders>
            <w:shd w:val="clear" w:color="auto" w:fill="E1E2E2"/>
          </w:tcPr>
          <w:p>
            <w:pPr>
              <w:jc w:val="right"/>
              <w:ind w:right="197"/>
              <w:spacing w:after="0"/>
              <w:rPr>
                <w:sz w:val="20"/>
                <w:szCs w:val="20"/>
                <w:color w:val="auto"/>
              </w:rPr>
            </w:pPr>
            <w:r>
              <w:rPr>
                <w:rFonts w:ascii="Arial" w:cs="Arial" w:eastAsia="Arial" w:hAnsi="Arial"/>
                <w:sz w:val="13"/>
                <w:szCs w:val="13"/>
                <w:color w:val="444A54"/>
              </w:rPr>
              <w:t>80.0</w:t>
            </w:r>
          </w:p>
        </w:tc>
        <w:tc>
          <w:tcPr>
            <w:tcW w:w="1060" w:type="dxa"/>
            <w:vAlign w:val="bottom"/>
            <w:tcBorders>
              <w:bottom w:val="single" w:sz="8" w:color="E1E2E2"/>
            </w:tcBorders>
            <w:shd w:val="clear" w:color="auto" w:fill="E1E2E2"/>
          </w:tcPr>
          <w:p>
            <w:pPr>
              <w:jc w:val="right"/>
              <w:ind w:right="77"/>
              <w:spacing w:after="0"/>
              <w:rPr>
                <w:sz w:val="20"/>
                <w:szCs w:val="20"/>
                <w:color w:val="auto"/>
              </w:rPr>
            </w:pPr>
            <w:r>
              <w:rPr>
                <w:rFonts w:ascii="Arial" w:cs="Arial" w:eastAsia="Arial" w:hAnsi="Arial"/>
                <w:sz w:val="13"/>
                <w:szCs w:val="13"/>
                <w:color w:val="444A54"/>
              </w:rPr>
              <w:t>440,000</w:t>
            </w:r>
          </w:p>
        </w:tc>
        <w:tc>
          <w:tcPr>
            <w:tcW w:w="1320" w:type="dxa"/>
            <w:vAlign w:val="bottom"/>
            <w:tcBorders>
              <w:bottom w:val="single" w:sz="8" w:color="E1E2E2"/>
            </w:tcBorders>
            <w:shd w:val="clear" w:color="auto" w:fill="E1E2E2"/>
          </w:tcPr>
          <w:p>
            <w:pPr>
              <w:jc w:val="right"/>
              <w:ind w:right="117"/>
              <w:spacing w:after="0"/>
              <w:rPr>
                <w:sz w:val="20"/>
                <w:szCs w:val="20"/>
                <w:color w:val="auto"/>
              </w:rPr>
            </w:pPr>
            <w:r>
              <w:rPr>
                <w:rFonts w:ascii="Arial" w:cs="Arial" w:eastAsia="Arial" w:hAnsi="Arial"/>
                <w:sz w:val="13"/>
                <w:szCs w:val="13"/>
                <w:color w:val="444A54"/>
              </w:rPr>
              <w:t>483,469</w:t>
            </w:r>
          </w:p>
        </w:tc>
        <w:tc>
          <w:tcPr>
            <w:tcW w:w="1400" w:type="dxa"/>
            <w:vAlign w:val="bottom"/>
            <w:tcBorders>
              <w:bottom w:val="single" w:sz="8" w:color="E1E2E2"/>
            </w:tcBorders>
            <w:shd w:val="clear" w:color="auto" w:fill="E1E2E2"/>
          </w:tcPr>
          <w:p>
            <w:pPr>
              <w:jc w:val="right"/>
              <w:ind w:right="137"/>
              <w:spacing w:after="0"/>
              <w:rPr>
                <w:sz w:val="20"/>
                <w:szCs w:val="20"/>
                <w:color w:val="auto"/>
              </w:rPr>
            </w:pPr>
            <w:r>
              <w:rPr>
                <w:rFonts w:ascii="Arial" w:cs="Arial" w:eastAsia="Arial" w:hAnsi="Arial"/>
                <w:sz w:val="13"/>
                <w:szCs w:val="13"/>
                <w:color w:val="444A54"/>
              </w:rPr>
              <w:t>87.9</w:t>
            </w:r>
          </w:p>
        </w:tc>
        <w:tc>
          <w:tcPr>
            <w:tcW w:w="0" w:type="dxa"/>
            <w:vAlign w:val="bottom"/>
          </w:tcPr>
          <w:p>
            <w:pPr>
              <w:spacing w:after="0"/>
              <w:rPr>
                <w:sz w:val="1"/>
                <w:szCs w:val="1"/>
                <w:color w:val="auto"/>
              </w:rPr>
            </w:pPr>
          </w:p>
        </w:tc>
      </w:tr>
      <w:tr>
        <w:trPr>
          <w:trHeight w:val="203"/>
        </w:trPr>
        <w:tc>
          <w:tcPr>
            <w:tcW w:w="2320" w:type="dxa"/>
            <w:vAlign w:val="bottom"/>
          </w:tcPr>
          <w:p>
            <w:pPr>
              <w:ind w:left="100"/>
              <w:spacing w:after="0"/>
              <w:rPr>
                <w:sz w:val="20"/>
                <w:szCs w:val="20"/>
                <w:color w:val="auto"/>
              </w:rPr>
            </w:pPr>
            <w:r>
              <w:rPr>
                <w:rFonts w:ascii="Arial" w:cs="Arial" w:eastAsia="Arial" w:hAnsi="Arial"/>
                <w:sz w:val="13"/>
                <w:szCs w:val="13"/>
                <w:color w:val="444A54"/>
              </w:rPr>
              <w:t>Robert A. Edwards</w:t>
            </w:r>
          </w:p>
        </w:tc>
        <w:tc>
          <w:tcPr>
            <w:tcW w:w="2340" w:type="dxa"/>
            <w:vAlign w:val="bottom"/>
          </w:tcPr>
          <w:p>
            <w:pPr>
              <w:jc w:val="right"/>
              <w:ind w:right="197"/>
              <w:spacing w:after="0"/>
              <w:rPr>
                <w:sz w:val="20"/>
                <w:szCs w:val="20"/>
                <w:color w:val="auto"/>
              </w:rPr>
            </w:pPr>
            <w:r>
              <w:rPr>
                <w:rFonts w:ascii="Arial" w:cs="Arial" w:eastAsia="Arial" w:hAnsi="Arial"/>
                <w:sz w:val="13"/>
                <w:szCs w:val="13"/>
                <w:color w:val="444A54"/>
              </w:rPr>
              <w:t>60.0</w:t>
            </w:r>
          </w:p>
        </w:tc>
        <w:tc>
          <w:tcPr>
            <w:tcW w:w="1060" w:type="dxa"/>
            <w:vAlign w:val="bottom"/>
          </w:tcPr>
          <w:p>
            <w:pPr>
              <w:jc w:val="right"/>
              <w:ind w:right="77"/>
              <w:spacing w:after="0"/>
              <w:rPr>
                <w:sz w:val="20"/>
                <w:szCs w:val="20"/>
                <w:color w:val="auto"/>
              </w:rPr>
            </w:pPr>
            <w:r>
              <w:rPr>
                <w:rFonts w:ascii="Arial" w:cs="Arial" w:eastAsia="Arial" w:hAnsi="Arial"/>
                <w:sz w:val="13"/>
                <w:szCs w:val="13"/>
                <w:color w:val="444A54"/>
              </w:rPr>
              <w:t>300,000</w:t>
            </w:r>
          </w:p>
        </w:tc>
        <w:tc>
          <w:tcPr>
            <w:tcW w:w="1320" w:type="dxa"/>
            <w:vAlign w:val="bottom"/>
          </w:tcPr>
          <w:p>
            <w:pPr>
              <w:jc w:val="right"/>
              <w:ind w:right="117"/>
              <w:spacing w:after="0"/>
              <w:rPr>
                <w:sz w:val="20"/>
                <w:szCs w:val="20"/>
                <w:color w:val="auto"/>
              </w:rPr>
            </w:pPr>
            <w:r>
              <w:rPr>
                <w:rFonts w:ascii="Arial" w:cs="Arial" w:eastAsia="Arial" w:hAnsi="Arial"/>
                <w:sz w:val="13"/>
                <w:szCs w:val="13"/>
                <w:color w:val="444A54"/>
              </w:rPr>
              <w:t>329,638</w:t>
            </w:r>
          </w:p>
        </w:tc>
        <w:tc>
          <w:tcPr>
            <w:tcW w:w="1400" w:type="dxa"/>
            <w:vAlign w:val="bottom"/>
          </w:tcPr>
          <w:p>
            <w:pPr>
              <w:jc w:val="right"/>
              <w:ind w:right="137"/>
              <w:spacing w:after="0"/>
              <w:rPr>
                <w:sz w:val="20"/>
                <w:szCs w:val="20"/>
                <w:color w:val="auto"/>
              </w:rPr>
            </w:pPr>
            <w:r>
              <w:rPr>
                <w:rFonts w:ascii="Arial" w:cs="Arial" w:eastAsia="Arial" w:hAnsi="Arial"/>
                <w:sz w:val="13"/>
                <w:szCs w:val="13"/>
                <w:color w:val="444A54"/>
              </w:rPr>
              <w:t>65.9</w:t>
            </w:r>
          </w:p>
        </w:tc>
        <w:tc>
          <w:tcPr>
            <w:tcW w:w="0" w:type="dxa"/>
            <w:vAlign w:val="bottom"/>
          </w:tcPr>
          <w:p>
            <w:pPr>
              <w:spacing w:after="0"/>
              <w:rPr>
                <w:sz w:val="1"/>
                <w:szCs w:val="1"/>
                <w:color w:val="auto"/>
              </w:rPr>
            </w:pPr>
          </w:p>
        </w:tc>
      </w:tr>
      <w:tr>
        <w:trPr>
          <w:trHeight w:val="35"/>
        </w:trPr>
        <w:tc>
          <w:tcPr>
            <w:tcW w:w="2320" w:type="dxa"/>
            <w:vAlign w:val="bottom"/>
            <w:tcBorders>
              <w:bottom w:val="single" w:sz="8" w:color="E5E6E6"/>
            </w:tcBorders>
          </w:tcPr>
          <w:p>
            <w:pPr>
              <w:spacing w:after="0"/>
              <w:rPr>
                <w:sz w:val="3"/>
                <w:szCs w:val="3"/>
                <w:color w:val="auto"/>
              </w:rPr>
            </w:pPr>
          </w:p>
        </w:tc>
        <w:tc>
          <w:tcPr>
            <w:tcW w:w="2340" w:type="dxa"/>
            <w:vAlign w:val="bottom"/>
            <w:tcBorders>
              <w:bottom w:val="single" w:sz="8" w:color="E5E6E6"/>
            </w:tcBorders>
          </w:tcPr>
          <w:p>
            <w:pPr>
              <w:spacing w:after="0"/>
              <w:rPr>
                <w:sz w:val="3"/>
                <w:szCs w:val="3"/>
                <w:color w:val="auto"/>
              </w:rPr>
            </w:pPr>
          </w:p>
        </w:tc>
        <w:tc>
          <w:tcPr>
            <w:tcW w:w="1060" w:type="dxa"/>
            <w:vAlign w:val="bottom"/>
            <w:tcBorders>
              <w:bottom w:val="single" w:sz="8" w:color="E5E6E6"/>
            </w:tcBorders>
          </w:tcPr>
          <w:p>
            <w:pPr>
              <w:spacing w:after="0"/>
              <w:rPr>
                <w:sz w:val="3"/>
                <w:szCs w:val="3"/>
                <w:color w:val="auto"/>
              </w:rPr>
            </w:pPr>
          </w:p>
        </w:tc>
        <w:tc>
          <w:tcPr>
            <w:tcW w:w="1320" w:type="dxa"/>
            <w:vAlign w:val="bottom"/>
            <w:tcBorders>
              <w:bottom w:val="single" w:sz="8" w:color="E5E6E6"/>
            </w:tcBorders>
          </w:tcPr>
          <w:p>
            <w:pPr>
              <w:spacing w:after="0"/>
              <w:rPr>
                <w:sz w:val="3"/>
                <w:szCs w:val="3"/>
                <w:color w:val="auto"/>
              </w:rPr>
            </w:pPr>
          </w:p>
        </w:tc>
        <w:tc>
          <w:tcPr>
            <w:tcW w:w="1400" w:type="dxa"/>
            <w:vAlign w:val="bottom"/>
            <w:tcBorders>
              <w:bottom w:val="single" w:sz="8" w:color="E5E6E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17AB5"/>
        </w:rPr>
        <w:t>Long-Term Equity Incentive Awards</w:t>
      </w:r>
    </w:p>
    <w:p>
      <w:pPr>
        <w:spacing w:after="0" w:line="18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444A54"/>
        </w:rPr>
        <w:t>The Talent and Compensation Committee believes that long-term equity incentive plan structure provides a competitive incentive opportunity for our executive leadership, strengthens the alignment of executive pay with shareholder value creation and creates an additional link between pay and our performance (specifically, our return on average assets and total shareholder return), while maintaining the focus on Company soundness. Additionally, the Talent and Compensation Committee believes that the long-term equity incentive plan structure provides a less volatile incentive aspect through the use of time-based long-term equity incentive awards.</w:t>
      </w:r>
    </w:p>
    <w:p>
      <w:pPr>
        <w:spacing w:after="0" w:line="157" w:lineRule="exact"/>
        <w:rPr>
          <w:sz w:val="20"/>
          <w:szCs w:val="20"/>
          <w:color w:val="auto"/>
        </w:rPr>
      </w:pPr>
    </w:p>
    <w:p>
      <w:pPr>
        <w:ind w:right="280"/>
        <w:spacing w:after="0"/>
        <w:rPr>
          <w:sz w:val="20"/>
          <w:szCs w:val="20"/>
          <w:color w:val="auto"/>
        </w:rPr>
      </w:pPr>
      <w:r>
        <w:rPr>
          <w:rFonts w:ascii="Arial" w:cs="Arial" w:eastAsia="Arial" w:hAnsi="Arial"/>
          <w:sz w:val="17"/>
          <w:szCs w:val="17"/>
          <w:color w:val="444A54"/>
        </w:rPr>
        <w:t>For 2024 long-term equity incentive awards, the Talent and Compensation Committee utilized a plan design consistent with the plan design utilized in 2023. Each NEO’s long-term equity incentive award includes a time-based component that comprises 40% of the total long-term equity incentive award at target performance and a performance-based component that comprised 60% of the total long-term equity incentive award at target performance.</w:t>
      </w:r>
    </w:p>
    <w:p>
      <w:pPr>
        <w:spacing w:after="0" w:line="15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444A54"/>
        </w:rPr>
        <w:t>The Talent and Compensation Committee believes that the time-based component provides balance to the long-term equity incentive plan design and reduces volatility. Annual time-based equity incentive awards vest, if at all, in four equal installments with 25% vesting on February 15 following each of the four years following grant assuming the executives remain employed with us, subject to certain exceptions. Time-based equity incentive awards granted in January 2024 vested/will vest on February 15, 2025, February 15, 2026, February 15, 2027 and February 15, 2028.</w:t>
      </w:r>
    </w:p>
    <w:p>
      <w:pPr>
        <w:spacing w:after="0" w:line="141"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444A54"/>
        </w:rPr>
        <w:t>Performance-based equity incentive awards granted in January 2024 incorporate four 1-year performance periods with peer relative performance criteria. The performance criteria for the 2024 awards were unchanged from those utilized in 2023 and consist of average return on average assets for each of the four 1-year performance periods which is evaluated on a relative basis with the other members of the Company’s peer group utilized for purposes of setting the NEOs’ compensation for 2024. The Company’s return on average assets performance at the 50th percentile as compared with peers results in target level award achievement. Maximum performance is achieved at performance levels that equate to performance at the 75th percentile. Minimum performance is achieved at performance levels that equate to performance at the 25th percentile. Award payouts for performance within threshold, target and maximum payout levels are interpolated. Awards payouts are subject to forfeiture if the applicable minimum performance thresholds are not achieved.</w:t>
      </w:r>
    </w:p>
    <w:p>
      <w:pPr>
        <w:spacing w:after="0" w:line="35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46" w:name="page47"/>
    <w:bookmarkEnd w:id="46"/>
    <w:p>
      <w:pPr>
        <w:ind w:right="560"/>
        <w:spacing w:after="0"/>
        <w:rPr>
          <w:sz w:val="20"/>
          <w:szCs w:val="20"/>
          <w:color w:val="auto"/>
        </w:rPr>
      </w:pPr>
      <w:r>
        <w:rPr>
          <w:rFonts w:ascii="Arial" w:cs="Arial" w:eastAsia="Arial" w:hAnsi="Arial"/>
          <w:sz w:val="17"/>
          <w:szCs w:val="17"/>
          <w:color w:val="444A54"/>
        </w:rPr>
        <w:t>The maximum payout potential under the performance-based component of the 2024 equity incentive awards remained at 150% of the targeted amount of performance-based equity incentive awards granted (before giving effect to the TSR modifier for each of the NEOs). The TSR modifier results in the potential for the earned performance to be increased or decreased by a multiple up to 25% based on the Company’s common stock price performance for a one-year period compared to the TSRs of the 2024 Compensation Peer Group.</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444A54"/>
        </w:rPr>
        <w:t>Performance-based equity incentive awards earned are subject to verification by the Talent and Compensation Committee.</w:t>
      </w:r>
    </w:p>
    <w:p>
      <w:pPr>
        <w:spacing w:after="0" w:line="180" w:lineRule="exact"/>
        <w:rPr>
          <w:sz w:val="20"/>
          <w:szCs w:val="20"/>
          <w:color w:val="auto"/>
        </w:rPr>
      </w:pPr>
    </w:p>
    <w:p>
      <w:pPr>
        <w:ind w:right="460"/>
        <w:spacing w:after="0"/>
        <w:rPr>
          <w:sz w:val="20"/>
          <w:szCs w:val="20"/>
          <w:color w:val="auto"/>
        </w:rPr>
      </w:pPr>
      <w:r>
        <w:rPr>
          <w:rFonts w:ascii="Arial" w:cs="Arial" w:eastAsia="Arial" w:hAnsi="Arial"/>
          <w:sz w:val="17"/>
          <w:szCs w:val="17"/>
          <w:color w:val="444A54"/>
        </w:rPr>
        <w:t>In setting the total targeted dollar value of the long-term equity incentive awards to each of the NEOs in 2024, the Talent and Compensation Committee considered competitive market data from a peer compensation analysis provided by Aon. Additionally, the Talent and Compensation Committee considered the level of Company performance required to earn the awards, individual performance, potential future contributions to the Company’s business, internal equity and, in certain cases, management’s recommendations.</w:t>
      </w:r>
    </w:p>
    <w:p>
      <w:pPr>
        <w:spacing w:after="0" w:line="156"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444A54"/>
        </w:rPr>
        <w:t>The following table summarizes each NEO’s 2024 long-term equity incentive award target and maximum potential as of the grant date, as approved by the Talent and Compensation Committee, under the 2022 Omnibus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98425</wp:posOffset>
            </wp:positionV>
            <wp:extent cx="8255" cy="389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38925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98425</wp:posOffset>
            </wp:positionV>
            <wp:extent cx="8255" cy="389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389255"/>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98425</wp:posOffset>
            </wp:positionV>
            <wp:extent cx="8255" cy="389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38925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Borders>
              <w:bottom w:val="single" w:sz="8" w:color="E5E7E7"/>
            </w:tcBorders>
            <w:shd w:val="clear" w:color="auto" w:fill="E5E7E7"/>
          </w:tcPr>
          <w:p>
            <w:pPr>
              <w:jc w:val="right"/>
              <w:ind w:right="197"/>
              <w:spacing w:after="0"/>
              <w:rPr>
                <w:sz w:val="20"/>
                <w:szCs w:val="20"/>
                <w:color w:val="auto"/>
              </w:rPr>
            </w:pPr>
            <w:r>
              <w:rPr>
                <w:rFonts w:ascii="Arial" w:cs="Arial" w:eastAsia="Arial" w:hAnsi="Arial"/>
                <w:sz w:val="13"/>
                <w:szCs w:val="13"/>
                <w:color w:val="444A54"/>
              </w:rPr>
              <w:t>Time -Based (40%)</w:t>
            </w:r>
          </w:p>
        </w:tc>
        <w:tc>
          <w:tcPr>
            <w:tcW w:w="2880" w:type="dxa"/>
            <w:vAlign w:val="bottom"/>
            <w:tcBorders>
              <w:bottom w:val="single" w:sz="8" w:color="E5E7E7"/>
            </w:tcBorders>
            <w:gridSpan w:val="2"/>
            <w:shd w:val="clear" w:color="auto" w:fill="E5E7E7"/>
          </w:tcPr>
          <w:p>
            <w:pPr>
              <w:jc w:val="right"/>
              <w:ind w:right="677"/>
              <w:spacing w:after="0"/>
              <w:rPr>
                <w:sz w:val="20"/>
                <w:szCs w:val="20"/>
                <w:color w:val="auto"/>
              </w:rPr>
            </w:pPr>
            <w:r>
              <w:rPr>
                <w:rFonts w:ascii="Arial" w:cs="Arial" w:eastAsia="Arial" w:hAnsi="Arial"/>
                <w:sz w:val="13"/>
                <w:szCs w:val="13"/>
                <w:color w:val="444A54"/>
              </w:rPr>
              <w:t>Performance-Based (60%)</w:t>
            </w:r>
          </w:p>
        </w:tc>
        <w:tc>
          <w:tcPr>
            <w:tcW w:w="2880" w:type="dxa"/>
            <w:vAlign w:val="bottom"/>
            <w:tcBorders>
              <w:bottom w:val="single" w:sz="8" w:color="E5E7E7"/>
            </w:tcBorders>
            <w:gridSpan w:val="2"/>
            <w:shd w:val="clear" w:color="auto" w:fill="E5E7E7"/>
          </w:tcPr>
          <w:p>
            <w:pPr>
              <w:jc w:val="right"/>
              <w:ind w:right="1037"/>
              <w:spacing w:after="0"/>
              <w:rPr>
                <w:sz w:val="20"/>
                <w:szCs w:val="20"/>
                <w:color w:val="auto"/>
              </w:rPr>
            </w:pPr>
            <w:r>
              <w:rPr>
                <w:rFonts w:ascii="Arial" w:cs="Arial" w:eastAsia="Arial" w:hAnsi="Arial"/>
                <w:sz w:val="13"/>
                <w:szCs w:val="13"/>
                <w:color w:val="444A54"/>
              </w:rPr>
              <w:t>Total (100%)</w:t>
            </w:r>
          </w:p>
        </w:tc>
        <w:tc>
          <w:tcPr>
            <w:tcW w:w="0" w:type="dxa"/>
            <w:vAlign w:val="bottom"/>
          </w:tcPr>
          <w:p>
            <w:pPr>
              <w:spacing w:after="0"/>
              <w:rPr>
                <w:sz w:val="1"/>
                <w:szCs w:val="1"/>
                <w:color w:val="auto"/>
              </w:rPr>
            </w:pPr>
          </w:p>
        </w:tc>
      </w:tr>
      <w:tr>
        <w:trPr>
          <w:trHeight w:val="175"/>
        </w:trPr>
        <w:tc>
          <w:tcPr>
            <w:tcW w:w="1900" w:type="dxa"/>
            <w:vAlign w:val="bottom"/>
            <w:vMerge w:val="restart"/>
            <w:shd w:val="clear" w:color="auto" w:fill="017AB5"/>
          </w:tcPr>
          <w:p>
            <w:pPr>
              <w:ind w:left="80"/>
              <w:spacing w:after="0"/>
              <w:rPr>
                <w:sz w:val="20"/>
                <w:szCs w:val="20"/>
                <w:color w:val="auto"/>
              </w:rPr>
            </w:pPr>
            <w:r>
              <w:rPr>
                <w:rFonts w:ascii="Arial" w:cs="Arial" w:eastAsia="Arial" w:hAnsi="Arial"/>
                <w:sz w:val="13"/>
                <w:szCs w:val="13"/>
                <w:color w:val="FFFFFF"/>
              </w:rPr>
              <w:t>Name</w:t>
            </w:r>
          </w:p>
        </w:tc>
        <w:tc>
          <w:tcPr>
            <w:tcW w:w="1840" w:type="dxa"/>
            <w:vAlign w:val="bottom"/>
            <w:shd w:val="clear" w:color="auto" w:fill="017AB5"/>
          </w:tcPr>
          <w:p>
            <w:pPr>
              <w:jc w:val="right"/>
              <w:ind w:right="397"/>
              <w:spacing w:after="0"/>
              <w:rPr>
                <w:sz w:val="20"/>
                <w:szCs w:val="20"/>
                <w:color w:val="auto"/>
              </w:rPr>
            </w:pPr>
            <w:r>
              <w:rPr>
                <w:rFonts w:ascii="Arial" w:cs="Arial" w:eastAsia="Arial" w:hAnsi="Arial"/>
                <w:sz w:val="13"/>
                <w:szCs w:val="13"/>
                <w:color w:val="FFFFFF"/>
              </w:rPr>
              <w:t>Target</w:t>
            </w:r>
          </w:p>
        </w:tc>
        <w:tc>
          <w:tcPr>
            <w:tcW w:w="200" w:type="dxa"/>
            <w:vAlign w:val="bottom"/>
            <w:shd w:val="clear" w:color="auto" w:fill="017AB5"/>
          </w:tcPr>
          <w:p>
            <w:pPr>
              <w:spacing w:after="0"/>
              <w:rPr>
                <w:sz w:val="15"/>
                <w:szCs w:val="15"/>
                <w:color w:val="auto"/>
              </w:rPr>
            </w:pPr>
          </w:p>
        </w:tc>
        <w:tc>
          <w:tcPr>
            <w:tcW w:w="1540" w:type="dxa"/>
            <w:vAlign w:val="bottom"/>
            <w:shd w:val="clear" w:color="auto" w:fill="017AB5"/>
          </w:tcPr>
          <w:p>
            <w:pPr>
              <w:jc w:val="right"/>
              <w:ind w:right="357"/>
              <w:spacing w:after="0"/>
              <w:rPr>
                <w:sz w:val="20"/>
                <w:szCs w:val="20"/>
                <w:color w:val="auto"/>
              </w:rPr>
            </w:pPr>
            <w:r>
              <w:rPr>
                <w:rFonts w:ascii="Arial" w:cs="Arial" w:eastAsia="Arial" w:hAnsi="Arial"/>
                <w:sz w:val="13"/>
                <w:szCs w:val="13"/>
                <w:color w:val="FFFFFF"/>
              </w:rPr>
              <w:t>Target Vesting</w:t>
            </w:r>
          </w:p>
        </w:tc>
        <w:tc>
          <w:tcPr>
            <w:tcW w:w="1340" w:type="dxa"/>
            <w:vAlign w:val="bottom"/>
            <w:shd w:val="clear" w:color="auto" w:fill="017AB5"/>
          </w:tcPr>
          <w:p>
            <w:pPr>
              <w:jc w:val="right"/>
              <w:ind w:right="237"/>
              <w:spacing w:after="0"/>
              <w:rPr>
                <w:sz w:val="20"/>
                <w:szCs w:val="20"/>
                <w:color w:val="auto"/>
              </w:rPr>
            </w:pPr>
            <w:r>
              <w:rPr>
                <w:rFonts w:ascii="Arial" w:cs="Arial" w:eastAsia="Arial" w:hAnsi="Arial"/>
                <w:sz w:val="13"/>
                <w:szCs w:val="13"/>
                <w:color w:val="FFFFFF"/>
              </w:rPr>
              <w:t>Target Vesting</w:t>
            </w:r>
          </w:p>
        </w:tc>
        <w:tc>
          <w:tcPr>
            <w:tcW w:w="1540" w:type="dxa"/>
            <w:vAlign w:val="bottom"/>
            <w:shd w:val="clear" w:color="auto" w:fill="017AB5"/>
          </w:tcPr>
          <w:p>
            <w:pPr>
              <w:jc w:val="right"/>
              <w:ind w:right="217"/>
              <w:spacing w:after="0"/>
              <w:rPr>
                <w:sz w:val="20"/>
                <w:szCs w:val="20"/>
                <w:color w:val="auto"/>
              </w:rPr>
            </w:pPr>
            <w:r>
              <w:rPr>
                <w:rFonts w:ascii="Arial" w:cs="Arial" w:eastAsia="Arial" w:hAnsi="Arial"/>
                <w:sz w:val="13"/>
                <w:szCs w:val="13"/>
                <w:color w:val="FFFFFF"/>
              </w:rPr>
              <w:t>Maximum Vesting</w:t>
            </w:r>
          </w:p>
        </w:tc>
        <w:tc>
          <w:tcPr>
            <w:tcW w:w="1380" w:type="dxa"/>
            <w:vAlign w:val="bottom"/>
            <w:shd w:val="clear" w:color="auto" w:fill="017AB5"/>
          </w:tcPr>
          <w:p>
            <w:pPr>
              <w:jc w:val="right"/>
              <w:ind w:right="237"/>
              <w:spacing w:after="0"/>
              <w:rPr>
                <w:sz w:val="20"/>
                <w:szCs w:val="20"/>
                <w:color w:val="auto"/>
              </w:rPr>
            </w:pPr>
            <w:r>
              <w:rPr>
                <w:rFonts w:ascii="Arial" w:cs="Arial" w:eastAsia="Arial" w:hAnsi="Arial"/>
                <w:sz w:val="13"/>
                <w:szCs w:val="13"/>
                <w:color w:val="FFFFFF"/>
              </w:rPr>
              <w:t>Target Vesting</w:t>
            </w:r>
          </w:p>
        </w:tc>
        <w:tc>
          <w:tcPr>
            <w:tcW w:w="1500" w:type="dxa"/>
            <w:vAlign w:val="bottom"/>
            <w:shd w:val="clear" w:color="auto" w:fill="017AB5"/>
          </w:tcPr>
          <w:p>
            <w:pPr>
              <w:jc w:val="right"/>
              <w:ind w:right="177"/>
              <w:spacing w:after="0"/>
              <w:rPr>
                <w:sz w:val="20"/>
                <w:szCs w:val="20"/>
                <w:color w:val="auto"/>
              </w:rPr>
            </w:pPr>
            <w:r>
              <w:rPr>
                <w:rFonts w:ascii="Arial" w:cs="Arial" w:eastAsia="Arial" w:hAnsi="Arial"/>
                <w:sz w:val="13"/>
                <w:szCs w:val="13"/>
                <w:color w:val="FFFFFF"/>
              </w:rPr>
              <w:t>Maximum Vesting</w:t>
            </w:r>
          </w:p>
        </w:tc>
        <w:tc>
          <w:tcPr>
            <w:tcW w:w="0" w:type="dxa"/>
            <w:vAlign w:val="bottom"/>
          </w:tcPr>
          <w:p>
            <w:pPr>
              <w:spacing w:after="0"/>
              <w:rPr>
                <w:sz w:val="1"/>
                <w:szCs w:val="1"/>
                <w:color w:val="auto"/>
              </w:rPr>
            </w:pPr>
          </w:p>
        </w:tc>
      </w:tr>
      <w:tr>
        <w:trPr>
          <w:trHeight w:val="90"/>
        </w:trPr>
        <w:tc>
          <w:tcPr>
            <w:tcW w:w="1900" w:type="dxa"/>
            <w:vAlign w:val="bottom"/>
            <w:vMerge w:val="continue"/>
            <w:shd w:val="clear" w:color="auto" w:fill="017AB5"/>
          </w:tcPr>
          <w:p>
            <w:pPr>
              <w:spacing w:after="0"/>
              <w:rPr>
                <w:sz w:val="7"/>
                <w:szCs w:val="7"/>
                <w:color w:val="auto"/>
              </w:rPr>
            </w:pPr>
          </w:p>
        </w:tc>
        <w:tc>
          <w:tcPr>
            <w:tcW w:w="1840" w:type="dxa"/>
            <w:vAlign w:val="bottom"/>
            <w:vMerge w:val="restart"/>
            <w:shd w:val="clear" w:color="auto" w:fill="017AB5"/>
          </w:tcPr>
          <w:p>
            <w:pPr>
              <w:jc w:val="right"/>
              <w:spacing w:after="0"/>
              <w:rPr>
                <w:sz w:val="20"/>
                <w:szCs w:val="20"/>
                <w:color w:val="auto"/>
              </w:rPr>
            </w:pPr>
            <w:r>
              <w:rPr>
                <w:rFonts w:ascii="Arial" w:cs="Arial" w:eastAsia="Arial" w:hAnsi="Arial"/>
                <w:sz w:val="13"/>
                <w:szCs w:val="13"/>
                <w:color w:val="FFFFFF"/>
              </w:rPr>
              <w:t>(as % of Base Salary)</w:t>
            </w:r>
          </w:p>
        </w:tc>
        <w:tc>
          <w:tcPr>
            <w:tcW w:w="200" w:type="dxa"/>
            <w:vAlign w:val="bottom"/>
            <w:shd w:val="clear" w:color="auto" w:fill="017AB5"/>
          </w:tcPr>
          <w:p>
            <w:pPr>
              <w:spacing w:after="0"/>
              <w:rPr>
                <w:sz w:val="7"/>
                <w:szCs w:val="7"/>
                <w:color w:val="auto"/>
              </w:rPr>
            </w:pPr>
          </w:p>
        </w:tc>
        <w:tc>
          <w:tcPr>
            <w:tcW w:w="1540" w:type="dxa"/>
            <w:vAlign w:val="bottom"/>
            <w:vMerge w:val="restart"/>
            <w:shd w:val="clear" w:color="auto" w:fill="017AB5"/>
          </w:tcPr>
          <w:p>
            <w:pPr>
              <w:jc w:val="right"/>
              <w:ind w:right="497"/>
              <w:spacing w:after="0"/>
              <w:rPr>
                <w:sz w:val="20"/>
                <w:szCs w:val="20"/>
                <w:color w:val="auto"/>
              </w:rPr>
            </w:pPr>
            <w:r>
              <w:rPr>
                <w:rFonts w:ascii="Arial" w:cs="Arial" w:eastAsia="Arial" w:hAnsi="Arial"/>
                <w:sz w:val="13"/>
                <w:szCs w:val="13"/>
                <w:color w:val="FFFFFF"/>
              </w:rPr>
              <w:t>Potential</w:t>
            </w:r>
          </w:p>
        </w:tc>
        <w:tc>
          <w:tcPr>
            <w:tcW w:w="1340" w:type="dxa"/>
            <w:vAlign w:val="bottom"/>
            <w:vMerge w:val="restart"/>
            <w:shd w:val="clear" w:color="auto" w:fill="017AB5"/>
          </w:tcPr>
          <w:p>
            <w:pPr>
              <w:jc w:val="right"/>
              <w:ind w:right="377"/>
              <w:spacing w:after="0"/>
              <w:rPr>
                <w:sz w:val="20"/>
                <w:szCs w:val="20"/>
                <w:color w:val="auto"/>
              </w:rPr>
            </w:pPr>
            <w:r>
              <w:rPr>
                <w:rFonts w:ascii="Arial" w:cs="Arial" w:eastAsia="Arial" w:hAnsi="Arial"/>
                <w:sz w:val="13"/>
                <w:szCs w:val="13"/>
                <w:color w:val="FFFFFF"/>
              </w:rPr>
              <w:t>Potential</w:t>
            </w:r>
          </w:p>
        </w:tc>
        <w:tc>
          <w:tcPr>
            <w:tcW w:w="1540" w:type="dxa"/>
            <w:vAlign w:val="bottom"/>
            <w:vMerge w:val="restart"/>
            <w:shd w:val="clear" w:color="auto" w:fill="017AB5"/>
          </w:tcPr>
          <w:p>
            <w:pPr>
              <w:jc w:val="right"/>
              <w:ind w:right="437"/>
              <w:spacing w:after="0"/>
              <w:rPr>
                <w:sz w:val="20"/>
                <w:szCs w:val="20"/>
                <w:color w:val="auto"/>
              </w:rPr>
            </w:pPr>
            <w:r>
              <w:rPr>
                <w:rFonts w:ascii="Arial" w:cs="Arial" w:eastAsia="Arial" w:hAnsi="Arial"/>
                <w:sz w:val="13"/>
                <w:szCs w:val="13"/>
                <w:color w:val="FFFFFF"/>
              </w:rPr>
              <w:t>Potential</w:t>
            </w:r>
          </w:p>
        </w:tc>
        <w:tc>
          <w:tcPr>
            <w:tcW w:w="1380" w:type="dxa"/>
            <w:vAlign w:val="bottom"/>
            <w:vMerge w:val="restart"/>
            <w:shd w:val="clear" w:color="auto" w:fill="017AB5"/>
          </w:tcPr>
          <w:p>
            <w:pPr>
              <w:jc w:val="right"/>
              <w:ind w:right="377"/>
              <w:spacing w:after="0"/>
              <w:rPr>
                <w:sz w:val="20"/>
                <w:szCs w:val="20"/>
                <w:color w:val="auto"/>
              </w:rPr>
            </w:pPr>
            <w:r>
              <w:rPr>
                <w:rFonts w:ascii="Arial" w:cs="Arial" w:eastAsia="Arial" w:hAnsi="Arial"/>
                <w:sz w:val="13"/>
                <w:szCs w:val="13"/>
                <w:color w:val="FFFFFF"/>
              </w:rPr>
              <w:t>Potential</w:t>
            </w:r>
          </w:p>
        </w:tc>
        <w:tc>
          <w:tcPr>
            <w:tcW w:w="1500" w:type="dxa"/>
            <w:vAlign w:val="bottom"/>
            <w:vMerge w:val="restart"/>
            <w:shd w:val="clear" w:color="auto" w:fill="017AB5"/>
          </w:tcPr>
          <w:p>
            <w:pPr>
              <w:jc w:val="right"/>
              <w:ind w:right="417"/>
              <w:spacing w:after="0"/>
              <w:rPr>
                <w:sz w:val="20"/>
                <w:szCs w:val="20"/>
                <w:color w:val="auto"/>
              </w:rPr>
            </w:pPr>
            <w:r>
              <w:rPr>
                <w:rFonts w:ascii="Arial" w:cs="Arial" w:eastAsia="Arial" w:hAnsi="Arial"/>
                <w:sz w:val="13"/>
                <w:szCs w:val="13"/>
                <w:color w:val="FFFFFF"/>
              </w:rPr>
              <w:t>Potential</w:t>
            </w:r>
          </w:p>
        </w:tc>
        <w:tc>
          <w:tcPr>
            <w:tcW w:w="0" w:type="dxa"/>
            <w:vAlign w:val="bottom"/>
          </w:tcPr>
          <w:p>
            <w:pPr>
              <w:spacing w:after="0"/>
              <w:rPr>
                <w:sz w:val="1"/>
                <w:szCs w:val="1"/>
                <w:color w:val="auto"/>
              </w:rPr>
            </w:pPr>
          </w:p>
        </w:tc>
      </w:tr>
      <w:tr>
        <w:trPr>
          <w:trHeight w:val="90"/>
        </w:trPr>
        <w:tc>
          <w:tcPr>
            <w:tcW w:w="1900" w:type="dxa"/>
            <w:vAlign w:val="bottom"/>
            <w:tcBorders>
              <w:bottom w:val="single" w:sz="8" w:color="017AB5"/>
            </w:tcBorders>
            <w:shd w:val="clear" w:color="auto" w:fill="017AB5"/>
          </w:tcPr>
          <w:p>
            <w:pPr>
              <w:spacing w:after="0"/>
              <w:rPr>
                <w:sz w:val="7"/>
                <w:szCs w:val="7"/>
                <w:color w:val="auto"/>
              </w:rPr>
            </w:pPr>
          </w:p>
        </w:tc>
        <w:tc>
          <w:tcPr>
            <w:tcW w:w="1840" w:type="dxa"/>
            <w:vAlign w:val="bottom"/>
            <w:tcBorders>
              <w:bottom w:val="single" w:sz="8" w:color="017AB5"/>
            </w:tcBorders>
            <w:vMerge w:val="continue"/>
            <w:shd w:val="clear" w:color="auto" w:fill="017AB5"/>
          </w:tcPr>
          <w:p>
            <w:pPr>
              <w:spacing w:after="0"/>
              <w:rPr>
                <w:sz w:val="7"/>
                <w:szCs w:val="7"/>
                <w:color w:val="auto"/>
              </w:rPr>
            </w:pPr>
          </w:p>
        </w:tc>
        <w:tc>
          <w:tcPr>
            <w:tcW w:w="200" w:type="dxa"/>
            <w:vAlign w:val="bottom"/>
            <w:tcBorders>
              <w:bottom w:val="single" w:sz="8" w:color="017AB5"/>
            </w:tcBorders>
            <w:shd w:val="clear" w:color="auto" w:fill="017AB5"/>
          </w:tcPr>
          <w:p>
            <w:pPr>
              <w:spacing w:after="0"/>
              <w:rPr>
                <w:sz w:val="7"/>
                <w:szCs w:val="7"/>
                <w:color w:val="auto"/>
              </w:rPr>
            </w:pPr>
          </w:p>
        </w:tc>
        <w:tc>
          <w:tcPr>
            <w:tcW w:w="1540" w:type="dxa"/>
            <w:vAlign w:val="bottom"/>
            <w:tcBorders>
              <w:bottom w:val="single" w:sz="8" w:color="017AB5"/>
            </w:tcBorders>
            <w:vMerge w:val="continue"/>
            <w:shd w:val="clear" w:color="auto" w:fill="017AB5"/>
          </w:tcPr>
          <w:p>
            <w:pPr>
              <w:spacing w:after="0"/>
              <w:rPr>
                <w:sz w:val="7"/>
                <w:szCs w:val="7"/>
                <w:color w:val="auto"/>
              </w:rPr>
            </w:pPr>
          </w:p>
        </w:tc>
        <w:tc>
          <w:tcPr>
            <w:tcW w:w="1340" w:type="dxa"/>
            <w:vAlign w:val="bottom"/>
            <w:tcBorders>
              <w:bottom w:val="single" w:sz="8" w:color="017AB5"/>
            </w:tcBorders>
            <w:vMerge w:val="continue"/>
            <w:shd w:val="clear" w:color="auto" w:fill="017AB5"/>
          </w:tcPr>
          <w:p>
            <w:pPr>
              <w:spacing w:after="0"/>
              <w:rPr>
                <w:sz w:val="7"/>
                <w:szCs w:val="7"/>
                <w:color w:val="auto"/>
              </w:rPr>
            </w:pPr>
          </w:p>
        </w:tc>
        <w:tc>
          <w:tcPr>
            <w:tcW w:w="1540" w:type="dxa"/>
            <w:vAlign w:val="bottom"/>
            <w:tcBorders>
              <w:bottom w:val="single" w:sz="8" w:color="017AB5"/>
            </w:tcBorders>
            <w:vMerge w:val="continue"/>
            <w:shd w:val="clear" w:color="auto" w:fill="017AB5"/>
          </w:tcPr>
          <w:p>
            <w:pPr>
              <w:spacing w:after="0"/>
              <w:rPr>
                <w:sz w:val="7"/>
                <w:szCs w:val="7"/>
                <w:color w:val="auto"/>
              </w:rPr>
            </w:pPr>
          </w:p>
        </w:tc>
        <w:tc>
          <w:tcPr>
            <w:tcW w:w="1380" w:type="dxa"/>
            <w:vAlign w:val="bottom"/>
            <w:tcBorders>
              <w:bottom w:val="single" w:sz="8" w:color="017AB5"/>
            </w:tcBorders>
            <w:vMerge w:val="continue"/>
            <w:shd w:val="clear" w:color="auto" w:fill="017AB5"/>
          </w:tcPr>
          <w:p>
            <w:pPr>
              <w:spacing w:after="0"/>
              <w:rPr>
                <w:sz w:val="7"/>
                <w:szCs w:val="7"/>
                <w:color w:val="auto"/>
              </w:rPr>
            </w:pPr>
          </w:p>
        </w:tc>
        <w:tc>
          <w:tcPr>
            <w:tcW w:w="1500" w:type="dxa"/>
            <w:vAlign w:val="bottom"/>
            <w:tcBorders>
              <w:bottom w:val="single" w:sz="8" w:color="017AB5"/>
            </w:tcBorders>
            <w:vMerge w:val="continue"/>
            <w:shd w:val="clear" w:color="auto" w:fill="017AB5"/>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80"/>
              <w:spacing w:after="0"/>
              <w:rPr>
                <w:sz w:val="20"/>
                <w:szCs w:val="20"/>
                <w:color w:val="auto"/>
              </w:rPr>
            </w:pPr>
            <w:r>
              <w:rPr>
                <w:rFonts w:ascii="Arial" w:cs="Arial" w:eastAsia="Arial" w:hAnsi="Arial"/>
                <w:sz w:val="13"/>
                <w:szCs w:val="13"/>
                <w:color w:val="444A54"/>
              </w:rPr>
              <w:t>H. Lynn Harton</w:t>
            </w:r>
          </w:p>
        </w:tc>
        <w:tc>
          <w:tcPr>
            <w:tcW w:w="1840" w:type="dxa"/>
            <w:vAlign w:val="bottom"/>
          </w:tcPr>
          <w:p>
            <w:pPr>
              <w:jc w:val="right"/>
              <w:spacing w:after="0"/>
              <w:rPr>
                <w:sz w:val="20"/>
                <w:szCs w:val="20"/>
                <w:color w:val="auto"/>
              </w:rPr>
            </w:pPr>
            <w:r>
              <w:rPr>
                <w:rFonts w:ascii="Arial" w:cs="Arial" w:eastAsia="Arial" w:hAnsi="Arial"/>
                <w:sz w:val="13"/>
                <w:szCs w:val="13"/>
                <w:color w:val="444A54"/>
              </w:rPr>
              <w:t>200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337"/>
              <w:spacing w:after="0"/>
              <w:rPr>
                <w:sz w:val="20"/>
                <w:szCs w:val="20"/>
                <w:color w:val="auto"/>
              </w:rPr>
            </w:pPr>
            <w:r>
              <w:rPr>
                <w:rFonts w:ascii="Arial" w:cs="Arial" w:eastAsia="Arial" w:hAnsi="Arial"/>
                <w:sz w:val="13"/>
                <w:szCs w:val="13"/>
                <w:color w:val="444A54"/>
              </w:rPr>
              <w:t>$ 865,208</w:t>
            </w:r>
          </w:p>
        </w:tc>
        <w:tc>
          <w:tcPr>
            <w:tcW w:w="1340" w:type="dxa"/>
            <w:vAlign w:val="bottom"/>
          </w:tcPr>
          <w:p>
            <w:pPr>
              <w:jc w:val="right"/>
              <w:ind w:right="197"/>
              <w:spacing w:after="0"/>
              <w:rPr>
                <w:sz w:val="20"/>
                <w:szCs w:val="20"/>
                <w:color w:val="auto"/>
              </w:rPr>
            </w:pPr>
            <w:r>
              <w:rPr>
                <w:rFonts w:ascii="Arial" w:cs="Arial" w:eastAsia="Arial" w:hAnsi="Arial"/>
                <w:sz w:val="13"/>
                <w:szCs w:val="13"/>
                <w:color w:val="444A54"/>
              </w:rPr>
              <w:t>$ 1,284,750</w:t>
            </w:r>
          </w:p>
        </w:tc>
        <w:tc>
          <w:tcPr>
            <w:tcW w:w="1540" w:type="dxa"/>
            <w:vAlign w:val="bottom"/>
          </w:tcPr>
          <w:p>
            <w:pPr>
              <w:jc w:val="right"/>
              <w:ind w:right="277"/>
              <w:spacing w:after="0"/>
              <w:rPr>
                <w:sz w:val="20"/>
                <w:szCs w:val="20"/>
                <w:color w:val="auto"/>
              </w:rPr>
            </w:pPr>
            <w:r>
              <w:rPr>
                <w:rFonts w:ascii="Arial" w:cs="Arial" w:eastAsia="Arial" w:hAnsi="Arial"/>
                <w:sz w:val="13"/>
                <w:szCs w:val="13"/>
                <w:color w:val="444A54"/>
              </w:rPr>
              <w:t>$ 2,408,906</w:t>
            </w:r>
          </w:p>
        </w:tc>
        <w:tc>
          <w:tcPr>
            <w:tcW w:w="1380" w:type="dxa"/>
            <w:vAlign w:val="bottom"/>
          </w:tcPr>
          <w:p>
            <w:pPr>
              <w:jc w:val="right"/>
              <w:ind w:right="217"/>
              <w:spacing w:after="0"/>
              <w:rPr>
                <w:sz w:val="20"/>
                <w:szCs w:val="20"/>
                <w:color w:val="auto"/>
              </w:rPr>
            </w:pPr>
            <w:r>
              <w:rPr>
                <w:rFonts w:ascii="Arial" w:cs="Arial" w:eastAsia="Arial" w:hAnsi="Arial"/>
                <w:sz w:val="13"/>
                <w:szCs w:val="13"/>
                <w:color w:val="444A54"/>
              </w:rPr>
              <w:t>$ 2,149,958</w:t>
            </w:r>
          </w:p>
        </w:tc>
        <w:tc>
          <w:tcPr>
            <w:tcW w:w="1500" w:type="dxa"/>
            <w:vAlign w:val="bottom"/>
          </w:tcPr>
          <w:p>
            <w:pPr>
              <w:jc w:val="right"/>
              <w:ind w:right="97"/>
              <w:spacing w:after="0"/>
              <w:rPr>
                <w:sz w:val="20"/>
                <w:szCs w:val="20"/>
                <w:color w:val="auto"/>
              </w:rPr>
            </w:pPr>
            <w:r>
              <w:rPr>
                <w:rFonts w:ascii="Arial" w:cs="Arial" w:eastAsia="Arial" w:hAnsi="Arial"/>
                <w:sz w:val="13"/>
                <w:szCs w:val="13"/>
                <w:color w:val="444A54"/>
              </w:rPr>
              <w:t>$ 3,274,114</w:t>
            </w: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900" w:type="dxa"/>
            <w:vAlign w:val="bottom"/>
            <w:tcBorders>
              <w:bottom w:val="single" w:sz="8" w:color="E5E6E6"/>
            </w:tcBorders>
            <w:shd w:val="clear" w:color="auto" w:fill="E5E6E6"/>
          </w:tcPr>
          <w:p>
            <w:pPr>
              <w:ind w:left="80"/>
              <w:spacing w:after="0"/>
              <w:rPr>
                <w:sz w:val="20"/>
                <w:szCs w:val="20"/>
                <w:color w:val="auto"/>
              </w:rPr>
            </w:pPr>
            <w:r>
              <w:rPr>
                <w:rFonts w:ascii="Arial" w:cs="Arial" w:eastAsia="Arial" w:hAnsi="Arial"/>
                <w:sz w:val="13"/>
                <w:szCs w:val="13"/>
                <w:color w:val="444A54"/>
              </w:rPr>
              <w:t>Jefferson L. Harralson</w:t>
            </w:r>
          </w:p>
        </w:tc>
        <w:tc>
          <w:tcPr>
            <w:tcW w:w="184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100</w:t>
            </w:r>
          </w:p>
        </w:tc>
        <w:tc>
          <w:tcPr>
            <w:tcW w:w="200" w:type="dxa"/>
            <w:vAlign w:val="bottom"/>
            <w:tcBorders>
              <w:bottom w:val="single" w:sz="8" w:color="E5E6E6"/>
            </w:tcBorders>
            <w:shd w:val="clear" w:color="auto" w:fill="E5E6E6"/>
          </w:tcPr>
          <w:p>
            <w:pPr>
              <w:spacing w:after="0"/>
              <w:rPr>
                <w:sz w:val="18"/>
                <w:szCs w:val="18"/>
                <w:color w:val="auto"/>
              </w:rPr>
            </w:pPr>
          </w:p>
        </w:tc>
        <w:tc>
          <w:tcPr>
            <w:tcW w:w="1540" w:type="dxa"/>
            <w:vAlign w:val="bottom"/>
            <w:tcBorders>
              <w:bottom w:val="single" w:sz="8" w:color="E5E6E6"/>
            </w:tcBorders>
            <w:shd w:val="clear" w:color="auto" w:fill="E5E6E6"/>
          </w:tcPr>
          <w:p>
            <w:pPr>
              <w:jc w:val="right"/>
              <w:ind w:right="337"/>
              <w:spacing w:after="0"/>
              <w:rPr>
                <w:sz w:val="20"/>
                <w:szCs w:val="20"/>
                <w:color w:val="auto"/>
              </w:rPr>
            </w:pPr>
            <w:r>
              <w:rPr>
                <w:rFonts w:ascii="Arial" w:cs="Arial" w:eastAsia="Arial" w:hAnsi="Arial"/>
                <w:sz w:val="13"/>
                <w:szCs w:val="13"/>
                <w:color w:val="444A54"/>
              </w:rPr>
              <w:t>212,012</w:t>
            </w:r>
          </w:p>
        </w:tc>
        <w:tc>
          <w:tcPr>
            <w:tcW w:w="1340" w:type="dxa"/>
            <w:vAlign w:val="bottom"/>
            <w:tcBorders>
              <w:bottom w:val="single" w:sz="8" w:color="E5E6E6"/>
            </w:tcBorders>
            <w:shd w:val="clear" w:color="auto" w:fill="E5E6E6"/>
          </w:tcPr>
          <w:p>
            <w:pPr>
              <w:jc w:val="right"/>
              <w:ind w:right="197"/>
              <w:spacing w:after="0"/>
              <w:rPr>
                <w:sz w:val="20"/>
                <w:szCs w:val="20"/>
                <w:color w:val="auto"/>
              </w:rPr>
            </w:pPr>
            <w:r>
              <w:rPr>
                <w:rFonts w:ascii="Arial" w:cs="Arial" w:eastAsia="Arial" w:hAnsi="Arial"/>
                <w:sz w:val="13"/>
                <w:szCs w:val="13"/>
                <w:color w:val="444A54"/>
              </w:rPr>
              <w:t>314,793</w:t>
            </w:r>
          </w:p>
        </w:tc>
        <w:tc>
          <w:tcPr>
            <w:tcW w:w="1540" w:type="dxa"/>
            <w:vAlign w:val="bottom"/>
            <w:tcBorders>
              <w:bottom w:val="single" w:sz="8" w:color="E5E6E6"/>
            </w:tcBorders>
            <w:shd w:val="clear" w:color="auto" w:fill="E5E6E6"/>
          </w:tcPr>
          <w:p>
            <w:pPr>
              <w:jc w:val="right"/>
              <w:ind w:right="277"/>
              <w:spacing w:after="0"/>
              <w:rPr>
                <w:sz w:val="20"/>
                <w:szCs w:val="20"/>
                <w:color w:val="auto"/>
              </w:rPr>
            </w:pPr>
            <w:r>
              <w:rPr>
                <w:rFonts w:ascii="Arial" w:cs="Arial" w:eastAsia="Arial" w:hAnsi="Arial"/>
                <w:sz w:val="13"/>
                <w:szCs w:val="13"/>
                <w:color w:val="444A54"/>
              </w:rPr>
              <w:t>590,243</w:t>
            </w:r>
          </w:p>
        </w:tc>
        <w:tc>
          <w:tcPr>
            <w:tcW w:w="1380" w:type="dxa"/>
            <w:vAlign w:val="bottom"/>
            <w:tcBorders>
              <w:bottom w:val="single" w:sz="8" w:color="E5E6E6"/>
            </w:tcBorders>
            <w:shd w:val="clear" w:color="auto" w:fill="E5E6E6"/>
          </w:tcPr>
          <w:p>
            <w:pPr>
              <w:jc w:val="right"/>
              <w:ind w:right="217"/>
              <w:spacing w:after="0"/>
              <w:rPr>
                <w:sz w:val="20"/>
                <w:szCs w:val="20"/>
                <w:color w:val="auto"/>
              </w:rPr>
            </w:pPr>
            <w:r>
              <w:rPr>
                <w:rFonts w:ascii="Arial" w:cs="Arial" w:eastAsia="Arial" w:hAnsi="Arial"/>
                <w:sz w:val="13"/>
                <w:szCs w:val="13"/>
                <w:color w:val="444A54"/>
              </w:rPr>
              <w:t>526,805</w:t>
            </w:r>
          </w:p>
        </w:tc>
        <w:tc>
          <w:tcPr>
            <w:tcW w:w="1500" w:type="dxa"/>
            <w:vAlign w:val="bottom"/>
            <w:tcBorders>
              <w:bottom w:val="single" w:sz="8" w:color="E5E6E6"/>
            </w:tcBorders>
            <w:shd w:val="clear" w:color="auto" w:fill="E5E6E6"/>
          </w:tcPr>
          <w:p>
            <w:pPr>
              <w:jc w:val="right"/>
              <w:ind w:right="97"/>
              <w:spacing w:after="0"/>
              <w:rPr>
                <w:sz w:val="20"/>
                <w:szCs w:val="20"/>
                <w:color w:val="auto"/>
              </w:rPr>
            </w:pPr>
            <w:r>
              <w:rPr>
                <w:rFonts w:ascii="Arial" w:cs="Arial" w:eastAsia="Arial" w:hAnsi="Arial"/>
                <w:sz w:val="13"/>
                <w:szCs w:val="13"/>
                <w:color w:val="444A54"/>
              </w:rPr>
              <w:t>802,255</w:t>
            </w:r>
          </w:p>
        </w:tc>
        <w:tc>
          <w:tcPr>
            <w:tcW w:w="0" w:type="dxa"/>
            <w:vAlign w:val="bottom"/>
          </w:tcPr>
          <w:p>
            <w:pPr>
              <w:spacing w:after="0"/>
              <w:rPr>
                <w:sz w:val="1"/>
                <w:szCs w:val="1"/>
                <w:color w:val="auto"/>
              </w:rPr>
            </w:pPr>
          </w:p>
        </w:tc>
      </w:tr>
      <w:tr>
        <w:trPr>
          <w:trHeight w:val="203"/>
        </w:trPr>
        <w:tc>
          <w:tcPr>
            <w:tcW w:w="1900" w:type="dxa"/>
            <w:vAlign w:val="bottom"/>
          </w:tcPr>
          <w:p>
            <w:pPr>
              <w:ind w:left="80"/>
              <w:spacing w:after="0"/>
              <w:rPr>
                <w:sz w:val="20"/>
                <w:szCs w:val="20"/>
                <w:color w:val="auto"/>
              </w:rPr>
            </w:pPr>
            <w:r>
              <w:rPr>
                <w:rFonts w:ascii="Arial" w:cs="Arial" w:eastAsia="Arial" w:hAnsi="Arial"/>
                <w:sz w:val="13"/>
                <w:szCs w:val="13"/>
                <w:color w:val="444A54"/>
              </w:rPr>
              <w:t>Richard W. Bradshaw</w:t>
            </w:r>
          </w:p>
        </w:tc>
        <w:tc>
          <w:tcPr>
            <w:tcW w:w="1840" w:type="dxa"/>
            <w:vAlign w:val="bottom"/>
          </w:tcPr>
          <w:p>
            <w:pPr>
              <w:jc w:val="right"/>
              <w:spacing w:after="0"/>
              <w:rPr>
                <w:sz w:val="20"/>
                <w:szCs w:val="20"/>
                <w:color w:val="auto"/>
              </w:rPr>
            </w:pPr>
            <w:r>
              <w:rPr>
                <w:rFonts w:ascii="Arial" w:cs="Arial" w:eastAsia="Arial" w:hAnsi="Arial"/>
                <w:sz w:val="13"/>
                <w:szCs w:val="13"/>
                <w:color w:val="444A54"/>
              </w:rPr>
              <w:t>100</w:t>
            </w:r>
          </w:p>
        </w:tc>
        <w:tc>
          <w:tcPr>
            <w:tcW w:w="200" w:type="dxa"/>
            <w:vAlign w:val="bottom"/>
          </w:tcPr>
          <w:p>
            <w:pPr>
              <w:spacing w:after="0"/>
              <w:rPr>
                <w:sz w:val="17"/>
                <w:szCs w:val="17"/>
                <w:color w:val="auto"/>
              </w:rPr>
            </w:pPr>
          </w:p>
        </w:tc>
        <w:tc>
          <w:tcPr>
            <w:tcW w:w="1540" w:type="dxa"/>
            <w:vAlign w:val="bottom"/>
          </w:tcPr>
          <w:p>
            <w:pPr>
              <w:jc w:val="right"/>
              <w:ind w:right="337"/>
              <w:spacing w:after="0"/>
              <w:rPr>
                <w:sz w:val="20"/>
                <w:szCs w:val="20"/>
                <w:color w:val="auto"/>
              </w:rPr>
            </w:pPr>
            <w:r>
              <w:rPr>
                <w:rFonts w:ascii="Arial" w:cs="Arial" w:eastAsia="Arial" w:hAnsi="Arial"/>
                <w:sz w:val="13"/>
                <w:szCs w:val="13"/>
                <w:color w:val="444A54"/>
              </w:rPr>
              <w:t>250,012</w:t>
            </w:r>
          </w:p>
        </w:tc>
        <w:tc>
          <w:tcPr>
            <w:tcW w:w="1340" w:type="dxa"/>
            <w:vAlign w:val="bottom"/>
          </w:tcPr>
          <w:p>
            <w:pPr>
              <w:jc w:val="right"/>
              <w:ind w:right="197"/>
              <w:spacing w:after="0"/>
              <w:rPr>
                <w:sz w:val="20"/>
                <w:szCs w:val="20"/>
                <w:color w:val="auto"/>
              </w:rPr>
            </w:pPr>
            <w:r>
              <w:rPr>
                <w:rFonts w:ascii="Arial" w:cs="Arial" w:eastAsia="Arial" w:hAnsi="Arial"/>
                <w:sz w:val="13"/>
                <w:szCs w:val="13"/>
                <w:color w:val="444A54"/>
              </w:rPr>
              <w:t>371,236</w:t>
            </w:r>
          </w:p>
        </w:tc>
        <w:tc>
          <w:tcPr>
            <w:tcW w:w="1540" w:type="dxa"/>
            <w:vAlign w:val="bottom"/>
          </w:tcPr>
          <w:p>
            <w:pPr>
              <w:jc w:val="right"/>
              <w:ind w:right="277"/>
              <w:spacing w:after="0"/>
              <w:rPr>
                <w:sz w:val="20"/>
                <w:szCs w:val="20"/>
                <w:color w:val="auto"/>
              </w:rPr>
            </w:pPr>
            <w:r>
              <w:rPr>
                <w:rFonts w:ascii="Arial" w:cs="Arial" w:eastAsia="Arial" w:hAnsi="Arial"/>
                <w:sz w:val="13"/>
                <w:szCs w:val="13"/>
                <w:color w:val="444A54"/>
              </w:rPr>
              <w:t>696,078</w:t>
            </w:r>
          </w:p>
        </w:tc>
        <w:tc>
          <w:tcPr>
            <w:tcW w:w="1380" w:type="dxa"/>
            <w:vAlign w:val="bottom"/>
          </w:tcPr>
          <w:p>
            <w:pPr>
              <w:jc w:val="right"/>
              <w:ind w:right="217"/>
              <w:spacing w:after="0"/>
              <w:rPr>
                <w:sz w:val="20"/>
                <w:szCs w:val="20"/>
                <w:color w:val="auto"/>
              </w:rPr>
            </w:pPr>
            <w:r>
              <w:rPr>
                <w:rFonts w:ascii="Arial" w:cs="Arial" w:eastAsia="Arial" w:hAnsi="Arial"/>
                <w:sz w:val="13"/>
                <w:szCs w:val="13"/>
                <w:color w:val="444A54"/>
              </w:rPr>
              <w:t>621,248</w:t>
            </w:r>
          </w:p>
        </w:tc>
        <w:tc>
          <w:tcPr>
            <w:tcW w:w="1500" w:type="dxa"/>
            <w:vAlign w:val="bottom"/>
          </w:tcPr>
          <w:p>
            <w:pPr>
              <w:jc w:val="right"/>
              <w:ind w:right="97"/>
              <w:spacing w:after="0"/>
              <w:rPr>
                <w:sz w:val="20"/>
                <w:szCs w:val="20"/>
                <w:color w:val="auto"/>
              </w:rPr>
            </w:pPr>
            <w:r>
              <w:rPr>
                <w:rFonts w:ascii="Arial" w:cs="Arial" w:eastAsia="Arial" w:hAnsi="Arial"/>
                <w:sz w:val="13"/>
                <w:szCs w:val="13"/>
                <w:color w:val="444A54"/>
              </w:rPr>
              <w:t>946,090</w:t>
            </w: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900" w:type="dxa"/>
            <w:vAlign w:val="bottom"/>
            <w:tcBorders>
              <w:bottom w:val="single" w:sz="8" w:color="E5E6E6"/>
            </w:tcBorders>
            <w:shd w:val="clear" w:color="auto" w:fill="E5E6E6"/>
          </w:tcPr>
          <w:p>
            <w:pPr>
              <w:ind w:left="80"/>
              <w:spacing w:after="0"/>
              <w:rPr>
                <w:sz w:val="20"/>
                <w:szCs w:val="20"/>
                <w:color w:val="auto"/>
              </w:rPr>
            </w:pPr>
            <w:r>
              <w:rPr>
                <w:rFonts w:ascii="Arial" w:cs="Arial" w:eastAsia="Arial" w:hAnsi="Arial"/>
                <w:sz w:val="13"/>
                <w:szCs w:val="13"/>
                <w:color w:val="444A54"/>
              </w:rPr>
              <w:t>Melinda Davis Lux</w:t>
            </w:r>
          </w:p>
        </w:tc>
        <w:tc>
          <w:tcPr>
            <w:tcW w:w="184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444A54"/>
              </w:rPr>
              <w:t>100</w:t>
            </w:r>
          </w:p>
        </w:tc>
        <w:tc>
          <w:tcPr>
            <w:tcW w:w="200" w:type="dxa"/>
            <w:vAlign w:val="bottom"/>
            <w:tcBorders>
              <w:bottom w:val="single" w:sz="8" w:color="E5E6E6"/>
            </w:tcBorders>
            <w:shd w:val="clear" w:color="auto" w:fill="E5E6E6"/>
          </w:tcPr>
          <w:p>
            <w:pPr>
              <w:spacing w:after="0"/>
              <w:rPr>
                <w:sz w:val="18"/>
                <w:szCs w:val="18"/>
                <w:color w:val="auto"/>
              </w:rPr>
            </w:pPr>
          </w:p>
        </w:tc>
        <w:tc>
          <w:tcPr>
            <w:tcW w:w="1540" w:type="dxa"/>
            <w:vAlign w:val="bottom"/>
            <w:tcBorders>
              <w:bottom w:val="single" w:sz="8" w:color="E5E6E6"/>
            </w:tcBorders>
            <w:shd w:val="clear" w:color="auto" w:fill="E5E6E6"/>
          </w:tcPr>
          <w:p>
            <w:pPr>
              <w:jc w:val="right"/>
              <w:ind w:right="337"/>
              <w:spacing w:after="0"/>
              <w:rPr>
                <w:sz w:val="20"/>
                <w:szCs w:val="20"/>
                <w:color w:val="auto"/>
              </w:rPr>
            </w:pPr>
            <w:r>
              <w:rPr>
                <w:rFonts w:ascii="Arial" w:cs="Arial" w:eastAsia="Arial" w:hAnsi="Arial"/>
                <w:sz w:val="13"/>
                <w:szCs w:val="13"/>
                <w:color w:val="444A54"/>
              </w:rPr>
              <w:t>190,000</w:t>
            </w:r>
          </w:p>
        </w:tc>
        <w:tc>
          <w:tcPr>
            <w:tcW w:w="1340" w:type="dxa"/>
            <w:vAlign w:val="bottom"/>
            <w:tcBorders>
              <w:bottom w:val="single" w:sz="8" w:color="E5E6E6"/>
            </w:tcBorders>
            <w:shd w:val="clear" w:color="auto" w:fill="E5E6E6"/>
          </w:tcPr>
          <w:p>
            <w:pPr>
              <w:jc w:val="right"/>
              <w:ind w:right="197"/>
              <w:spacing w:after="0"/>
              <w:rPr>
                <w:sz w:val="20"/>
                <w:szCs w:val="20"/>
                <w:color w:val="auto"/>
              </w:rPr>
            </w:pPr>
            <w:r>
              <w:rPr>
                <w:rFonts w:ascii="Arial" w:cs="Arial" w:eastAsia="Arial" w:hAnsi="Arial"/>
                <w:sz w:val="13"/>
                <w:szCs w:val="13"/>
                <w:color w:val="444A54"/>
              </w:rPr>
              <w:t>282,160</w:t>
            </w:r>
          </w:p>
        </w:tc>
        <w:tc>
          <w:tcPr>
            <w:tcW w:w="1540" w:type="dxa"/>
            <w:vAlign w:val="bottom"/>
            <w:tcBorders>
              <w:bottom w:val="single" w:sz="8" w:color="E5E6E6"/>
            </w:tcBorders>
            <w:shd w:val="clear" w:color="auto" w:fill="E5E6E6"/>
          </w:tcPr>
          <w:p>
            <w:pPr>
              <w:jc w:val="right"/>
              <w:ind w:right="277"/>
              <w:spacing w:after="0"/>
              <w:rPr>
                <w:sz w:val="20"/>
                <w:szCs w:val="20"/>
                <w:color w:val="auto"/>
              </w:rPr>
            </w:pPr>
            <w:r>
              <w:rPr>
                <w:rFonts w:ascii="Arial" w:cs="Arial" w:eastAsia="Arial" w:hAnsi="Arial"/>
                <w:sz w:val="13"/>
                <w:szCs w:val="13"/>
                <w:color w:val="444A54"/>
              </w:rPr>
              <w:t>529,060</w:t>
            </w:r>
          </w:p>
        </w:tc>
        <w:tc>
          <w:tcPr>
            <w:tcW w:w="1380" w:type="dxa"/>
            <w:vAlign w:val="bottom"/>
            <w:tcBorders>
              <w:bottom w:val="single" w:sz="8" w:color="E5E6E6"/>
            </w:tcBorders>
            <w:shd w:val="clear" w:color="auto" w:fill="E5E6E6"/>
          </w:tcPr>
          <w:p>
            <w:pPr>
              <w:jc w:val="right"/>
              <w:ind w:right="217"/>
              <w:spacing w:after="0"/>
              <w:rPr>
                <w:sz w:val="20"/>
                <w:szCs w:val="20"/>
                <w:color w:val="auto"/>
              </w:rPr>
            </w:pPr>
            <w:r>
              <w:rPr>
                <w:rFonts w:ascii="Arial" w:cs="Arial" w:eastAsia="Arial" w:hAnsi="Arial"/>
                <w:sz w:val="13"/>
                <w:szCs w:val="13"/>
                <w:color w:val="444A54"/>
              </w:rPr>
              <w:t>472,160</w:t>
            </w:r>
          </w:p>
        </w:tc>
        <w:tc>
          <w:tcPr>
            <w:tcW w:w="1500" w:type="dxa"/>
            <w:vAlign w:val="bottom"/>
            <w:tcBorders>
              <w:bottom w:val="single" w:sz="8" w:color="E5E6E6"/>
            </w:tcBorders>
            <w:shd w:val="clear" w:color="auto" w:fill="E5E6E6"/>
          </w:tcPr>
          <w:p>
            <w:pPr>
              <w:jc w:val="right"/>
              <w:ind w:right="97"/>
              <w:spacing w:after="0"/>
              <w:rPr>
                <w:sz w:val="20"/>
                <w:szCs w:val="20"/>
                <w:color w:val="auto"/>
              </w:rPr>
            </w:pPr>
            <w:r>
              <w:rPr>
                <w:rFonts w:ascii="Arial" w:cs="Arial" w:eastAsia="Arial" w:hAnsi="Arial"/>
                <w:sz w:val="13"/>
                <w:szCs w:val="13"/>
                <w:color w:val="444A54"/>
              </w:rPr>
              <w:t>719,060</w:t>
            </w:r>
          </w:p>
        </w:tc>
        <w:tc>
          <w:tcPr>
            <w:tcW w:w="0" w:type="dxa"/>
            <w:vAlign w:val="bottom"/>
          </w:tcPr>
          <w:p>
            <w:pPr>
              <w:spacing w:after="0"/>
              <w:rPr>
                <w:sz w:val="1"/>
                <w:szCs w:val="1"/>
                <w:color w:val="auto"/>
              </w:rPr>
            </w:pPr>
          </w:p>
        </w:tc>
      </w:tr>
      <w:tr>
        <w:trPr>
          <w:trHeight w:val="203"/>
        </w:trPr>
        <w:tc>
          <w:tcPr>
            <w:tcW w:w="1900" w:type="dxa"/>
            <w:vAlign w:val="bottom"/>
          </w:tcPr>
          <w:p>
            <w:pPr>
              <w:ind w:left="80"/>
              <w:spacing w:after="0"/>
              <w:rPr>
                <w:sz w:val="20"/>
                <w:szCs w:val="20"/>
                <w:color w:val="auto"/>
              </w:rPr>
            </w:pPr>
            <w:r>
              <w:rPr>
                <w:rFonts w:ascii="Arial" w:cs="Arial" w:eastAsia="Arial" w:hAnsi="Arial"/>
                <w:sz w:val="13"/>
                <w:szCs w:val="13"/>
                <w:color w:val="444A54"/>
              </w:rPr>
              <w:t>Robert A. Edwards</w:t>
            </w:r>
          </w:p>
        </w:tc>
        <w:tc>
          <w:tcPr>
            <w:tcW w:w="1840" w:type="dxa"/>
            <w:vAlign w:val="bottom"/>
          </w:tcPr>
          <w:p>
            <w:pPr>
              <w:jc w:val="right"/>
              <w:spacing w:after="0"/>
              <w:rPr>
                <w:sz w:val="20"/>
                <w:szCs w:val="20"/>
                <w:color w:val="auto"/>
              </w:rPr>
            </w:pPr>
            <w:r>
              <w:rPr>
                <w:rFonts w:ascii="Arial" w:cs="Arial" w:eastAsia="Arial" w:hAnsi="Arial"/>
                <w:sz w:val="13"/>
                <w:szCs w:val="13"/>
                <w:color w:val="444A54"/>
              </w:rPr>
              <w:t>75</w:t>
            </w:r>
          </w:p>
        </w:tc>
        <w:tc>
          <w:tcPr>
            <w:tcW w:w="200" w:type="dxa"/>
            <w:vAlign w:val="bottom"/>
          </w:tcPr>
          <w:p>
            <w:pPr>
              <w:spacing w:after="0"/>
              <w:rPr>
                <w:sz w:val="17"/>
                <w:szCs w:val="17"/>
                <w:color w:val="auto"/>
              </w:rPr>
            </w:pPr>
          </w:p>
        </w:tc>
        <w:tc>
          <w:tcPr>
            <w:tcW w:w="1540" w:type="dxa"/>
            <w:vAlign w:val="bottom"/>
          </w:tcPr>
          <w:p>
            <w:pPr>
              <w:jc w:val="right"/>
              <w:ind w:right="337"/>
              <w:spacing w:after="0"/>
              <w:rPr>
                <w:sz w:val="20"/>
                <w:szCs w:val="20"/>
                <w:color w:val="auto"/>
              </w:rPr>
            </w:pPr>
            <w:r>
              <w:rPr>
                <w:rFonts w:ascii="Arial" w:cs="Arial" w:eastAsia="Arial" w:hAnsi="Arial"/>
                <w:sz w:val="13"/>
                <w:szCs w:val="13"/>
                <w:color w:val="444A54"/>
              </w:rPr>
              <w:t>139,495</w:t>
            </w:r>
          </w:p>
        </w:tc>
        <w:tc>
          <w:tcPr>
            <w:tcW w:w="1340" w:type="dxa"/>
            <w:vAlign w:val="bottom"/>
          </w:tcPr>
          <w:p>
            <w:pPr>
              <w:jc w:val="right"/>
              <w:ind w:right="197"/>
              <w:spacing w:after="0"/>
              <w:rPr>
                <w:sz w:val="20"/>
                <w:szCs w:val="20"/>
                <w:color w:val="auto"/>
              </w:rPr>
            </w:pPr>
            <w:r>
              <w:rPr>
                <w:rFonts w:ascii="Arial" w:cs="Arial" w:eastAsia="Arial" w:hAnsi="Arial"/>
                <w:sz w:val="13"/>
                <w:szCs w:val="13"/>
                <w:color w:val="444A54"/>
              </w:rPr>
              <w:t>207,159</w:t>
            </w:r>
          </w:p>
        </w:tc>
        <w:tc>
          <w:tcPr>
            <w:tcW w:w="1540" w:type="dxa"/>
            <w:vAlign w:val="bottom"/>
          </w:tcPr>
          <w:p>
            <w:pPr>
              <w:jc w:val="right"/>
              <w:ind w:right="277"/>
              <w:spacing w:after="0"/>
              <w:rPr>
                <w:sz w:val="20"/>
                <w:szCs w:val="20"/>
                <w:color w:val="auto"/>
              </w:rPr>
            </w:pPr>
            <w:r>
              <w:rPr>
                <w:rFonts w:ascii="Arial" w:cs="Arial" w:eastAsia="Arial" w:hAnsi="Arial"/>
                <w:sz w:val="13"/>
                <w:szCs w:val="13"/>
                <w:color w:val="444A54"/>
              </w:rPr>
              <w:t>388,423</w:t>
            </w:r>
          </w:p>
        </w:tc>
        <w:tc>
          <w:tcPr>
            <w:tcW w:w="1380" w:type="dxa"/>
            <w:vAlign w:val="bottom"/>
          </w:tcPr>
          <w:p>
            <w:pPr>
              <w:jc w:val="right"/>
              <w:ind w:right="217"/>
              <w:spacing w:after="0"/>
              <w:rPr>
                <w:sz w:val="20"/>
                <w:szCs w:val="20"/>
                <w:color w:val="auto"/>
              </w:rPr>
            </w:pPr>
            <w:r>
              <w:rPr>
                <w:rFonts w:ascii="Arial" w:cs="Arial" w:eastAsia="Arial" w:hAnsi="Arial"/>
                <w:sz w:val="13"/>
                <w:szCs w:val="13"/>
                <w:color w:val="444A54"/>
              </w:rPr>
              <w:t>346,654</w:t>
            </w:r>
          </w:p>
        </w:tc>
        <w:tc>
          <w:tcPr>
            <w:tcW w:w="1500" w:type="dxa"/>
            <w:vAlign w:val="bottom"/>
          </w:tcPr>
          <w:p>
            <w:pPr>
              <w:jc w:val="right"/>
              <w:ind w:right="97"/>
              <w:spacing w:after="0"/>
              <w:rPr>
                <w:sz w:val="20"/>
                <w:szCs w:val="20"/>
                <w:color w:val="auto"/>
              </w:rPr>
            </w:pPr>
            <w:r>
              <w:rPr>
                <w:rFonts w:ascii="Arial" w:cs="Arial" w:eastAsia="Arial" w:hAnsi="Arial"/>
                <w:sz w:val="13"/>
                <w:szCs w:val="13"/>
                <w:color w:val="444A54"/>
              </w:rPr>
              <w:t>527,918</w:t>
            </w:r>
          </w:p>
        </w:tc>
        <w:tc>
          <w:tcPr>
            <w:tcW w:w="0" w:type="dxa"/>
            <w:vAlign w:val="bottom"/>
          </w:tcPr>
          <w:p>
            <w:pPr>
              <w:spacing w:after="0"/>
              <w:rPr>
                <w:sz w:val="1"/>
                <w:szCs w:val="1"/>
                <w:color w:val="auto"/>
              </w:rPr>
            </w:pPr>
          </w:p>
        </w:tc>
      </w:tr>
      <w:tr>
        <w:trPr>
          <w:trHeight w:val="35"/>
        </w:trPr>
        <w:tc>
          <w:tcPr>
            <w:tcW w:w="1900" w:type="dxa"/>
            <w:vAlign w:val="bottom"/>
            <w:tcBorders>
              <w:bottom w:val="single" w:sz="8" w:color="E5E6E6"/>
            </w:tcBorders>
          </w:tcPr>
          <w:p>
            <w:pPr>
              <w:spacing w:after="0"/>
              <w:rPr>
                <w:sz w:val="3"/>
                <w:szCs w:val="3"/>
                <w:color w:val="auto"/>
              </w:rPr>
            </w:pPr>
          </w:p>
        </w:tc>
        <w:tc>
          <w:tcPr>
            <w:tcW w:w="1840" w:type="dxa"/>
            <w:vAlign w:val="bottom"/>
            <w:tcBorders>
              <w:bottom w:val="single" w:sz="8" w:color="E5E6E6"/>
            </w:tcBorders>
          </w:tcPr>
          <w:p>
            <w:pPr>
              <w:spacing w:after="0"/>
              <w:rPr>
                <w:sz w:val="3"/>
                <w:szCs w:val="3"/>
                <w:color w:val="auto"/>
              </w:rPr>
            </w:pPr>
          </w:p>
        </w:tc>
        <w:tc>
          <w:tcPr>
            <w:tcW w:w="200" w:type="dxa"/>
            <w:vAlign w:val="bottom"/>
            <w:tcBorders>
              <w:bottom w:val="single" w:sz="8" w:color="E5E6E6"/>
            </w:tcBorders>
          </w:tcPr>
          <w:p>
            <w:pPr>
              <w:spacing w:after="0"/>
              <w:rPr>
                <w:sz w:val="3"/>
                <w:szCs w:val="3"/>
                <w:color w:val="auto"/>
              </w:rPr>
            </w:pPr>
          </w:p>
        </w:tc>
        <w:tc>
          <w:tcPr>
            <w:tcW w:w="1540" w:type="dxa"/>
            <w:vAlign w:val="bottom"/>
            <w:tcBorders>
              <w:bottom w:val="single" w:sz="8" w:color="E5E6E6"/>
            </w:tcBorders>
          </w:tcPr>
          <w:p>
            <w:pPr>
              <w:spacing w:after="0"/>
              <w:rPr>
                <w:sz w:val="3"/>
                <w:szCs w:val="3"/>
                <w:color w:val="auto"/>
              </w:rPr>
            </w:pPr>
          </w:p>
        </w:tc>
        <w:tc>
          <w:tcPr>
            <w:tcW w:w="1340" w:type="dxa"/>
            <w:vAlign w:val="bottom"/>
            <w:tcBorders>
              <w:bottom w:val="single" w:sz="8" w:color="E5E6E6"/>
            </w:tcBorders>
          </w:tcPr>
          <w:p>
            <w:pPr>
              <w:spacing w:after="0"/>
              <w:rPr>
                <w:sz w:val="3"/>
                <w:szCs w:val="3"/>
                <w:color w:val="auto"/>
              </w:rPr>
            </w:pPr>
          </w:p>
        </w:tc>
        <w:tc>
          <w:tcPr>
            <w:tcW w:w="1540" w:type="dxa"/>
            <w:vAlign w:val="bottom"/>
            <w:tcBorders>
              <w:bottom w:val="single" w:sz="8" w:color="E5E6E6"/>
            </w:tcBorders>
          </w:tcPr>
          <w:p>
            <w:pPr>
              <w:spacing w:after="0"/>
              <w:rPr>
                <w:sz w:val="3"/>
                <w:szCs w:val="3"/>
                <w:color w:val="auto"/>
              </w:rPr>
            </w:pPr>
          </w:p>
        </w:tc>
        <w:tc>
          <w:tcPr>
            <w:tcW w:w="1380" w:type="dxa"/>
            <w:vAlign w:val="bottom"/>
            <w:tcBorders>
              <w:bottom w:val="single" w:sz="8" w:color="E5E6E6"/>
            </w:tcBorders>
          </w:tcPr>
          <w:p>
            <w:pPr>
              <w:spacing w:after="0"/>
              <w:rPr>
                <w:sz w:val="3"/>
                <w:szCs w:val="3"/>
                <w:color w:val="auto"/>
              </w:rPr>
            </w:pPr>
          </w:p>
        </w:tc>
        <w:tc>
          <w:tcPr>
            <w:tcW w:w="1500" w:type="dxa"/>
            <w:vAlign w:val="bottom"/>
            <w:tcBorders>
              <w:bottom w:val="single" w:sz="8" w:color="E5E6E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6212840</wp:posOffset>
            </wp:positionH>
            <wp:positionV relativeFrom="paragraph">
              <wp:posOffset>-1000125</wp:posOffset>
            </wp:positionV>
            <wp:extent cx="8255" cy="2381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23812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-1000125</wp:posOffset>
            </wp:positionV>
            <wp:extent cx="8255" cy="2381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238125"/>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-1000125</wp:posOffset>
            </wp:positionV>
            <wp:extent cx="8255" cy="2381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23812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17AB5"/>
        </w:rPr>
        <w:t>Perquisites and Other Compensation</w:t>
      </w:r>
    </w:p>
    <w:p>
      <w:pPr>
        <w:spacing w:after="0" w:line="180"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444A54"/>
        </w:rPr>
        <w:t>We provide executive officers with perquisites and other personal benefits that the Company and our Talent and Compensation Committee believe are reasonable and consistent with its overall compensation program. These perquisites include limited access to our corporate aircraft for personal use (though reimbursement is required for certain costs related to such usage), car allowances and payment of club dues for certain of our executive officers. Annually, our Talent and Compensation Committee reviews the levels and appropriateness of perquisites and other personal benefits provided to executive officers. The Talent and Compensation Committee believes that the perquisites and other personal benefits further the goals of the Company and are not material with respect to the overall compensation of our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17AB5"/>
        </w:rPr>
        <w:t>Retirement and Other Benefits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017AB5"/>
        </w:rPr>
        <w:t>401(k) Plan</w:t>
      </w:r>
    </w:p>
    <w:p>
      <w:pPr>
        <w:spacing w:after="0" w:line="180" w:lineRule="exact"/>
        <w:rPr>
          <w:sz w:val="20"/>
          <w:szCs w:val="20"/>
          <w:color w:val="auto"/>
        </w:rPr>
      </w:pPr>
    </w:p>
    <w:p>
      <w:pPr>
        <w:ind w:right="820"/>
        <w:spacing w:after="0" w:line="261" w:lineRule="auto"/>
        <w:rPr>
          <w:sz w:val="20"/>
          <w:szCs w:val="20"/>
          <w:color w:val="auto"/>
        </w:rPr>
      </w:pPr>
      <w:r>
        <w:rPr>
          <w:rFonts w:ascii="Arial" w:cs="Arial" w:eastAsia="Arial" w:hAnsi="Arial"/>
          <w:sz w:val="17"/>
          <w:szCs w:val="17"/>
          <w:color w:val="444A54"/>
        </w:rPr>
        <w:t>Our employees, including our executive officers, are eligible to participate in our 401(k) Plan for which we provide matching contributions. Our matching contributions currently are 100% of employee deferrals up to 5% of eligible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017AB5"/>
        </w:rPr>
        <w:t>Deferred Compensation Plan</w:t>
      </w:r>
    </w:p>
    <w:p>
      <w:pPr>
        <w:spacing w:after="0" w:line="180"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444A54"/>
        </w:rPr>
        <w:t>Select members of senior management and certain other highly compensated employees, including our executive officers, are eligible to participate in our nonqualified Deferred Compensation Plan (“DCP”). Pursuant to the DCP, eligible employees can defer certain compensation on a pre-tax basis. The DCP provides for the deferral of up to 75% of annual base salary and up to 100% of annual cash incentive award payouts or equity incentive awards and other specified benefits to certain key employees. The DCP also allows for employer matching contributions for employee contributions that would have been paid under our tax-qualified 401(k) plan if such matching contributions would otherwise exceed the maximum allowable amounts under the 401(k) Plan. In addition, the DCP provides for the deferral of up to 100% of director fees for service by a nonemployee director on our Board and for service by select nonemployee directors on our community bank boards.</w:t>
      </w:r>
    </w:p>
    <w:p>
      <w:pPr>
        <w:spacing w:after="0" w:line="156"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444A54"/>
        </w:rPr>
        <w:t>Participants are 100% vested in their DCP contributions including earnings or losses thereon. Company contributions, including earnings and losses thereon, vest based upon years of service (one-third for each year in excess of one year of service). Participants who have three or more years of service are 100% vested in Company contributions unless the Talent and Compensation Committee, at the time such Company contribution is made, specifically provides that only years of service earned after that date are to be counted for vesting purposes with respect to such Employer Contribution.</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7" w:name="page48"/>
    <w:bookmarkEnd w:id="47"/>
    <w:p>
      <w:pPr>
        <w:ind w:right="240"/>
        <w:spacing w:after="0"/>
        <w:rPr>
          <w:sz w:val="20"/>
          <w:szCs w:val="20"/>
          <w:color w:val="auto"/>
        </w:rPr>
      </w:pPr>
      <w:r>
        <w:rPr>
          <w:rFonts w:ascii="Arial" w:cs="Arial" w:eastAsia="Arial" w:hAnsi="Arial"/>
          <w:sz w:val="17"/>
          <w:szCs w:val="17"/>
          <w:color w:val="444A54"/>
        </w:rPr>
        <w:t>When a participant retires or becomes disabled, we will pay the participant his or her vested benefits as elected by the participant, generally in a lump sum or in annual installments over a period of up to ten years. A participant may also elect to receive scheduled in-service distributions of his or her deferral account during employment in a lump sum or in annual installments over a period of up to five years. All distributions are taxable to the participants.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444A54"/>
        </w:rPr>
        <w:t>See Nonqualified Deferred Compensation for additional information about benefits provided to the NEOs under the DCP.</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017AB5"/>
        </w:rPr>
        <w:t>Modified Retirement Plan</w:t>
      </w:r>
    </w:p>
    <w:p>
      <w:pPr>
        <w:spacing w:after="0" w:line="180" w:lineRule="exact"/>
        <w:rPr>
          <w:sz w:val="20"/>
          <w:szCs w:val="20"/>
          <w:color w:val="auto"/>
        </w:rPr>
      </w:pPr>
    </w:p>
    <w:p>
      <w:pPr>
        <w:ind w:right="180"/>
        <w:spacing w:after="0"/>
        <w:rPr>
          <w:sz w:val="20"/>
          <w:szCs w:val="20"/>
          <w:color w:val="auto"/>
        </w:rPr>
      </w:pPr>
      <w:r>
        <w:rPr>
          <w:rFonts w:ascii="Arial" w:cs="Arial" w:eastAsia="Arial" w:hAnsi="Arial"/>
          <w:sz w:val="17"/>
          <w:szCs w:val="17"/>
          <w:color w:val="444A54"/>
        </w:rPr>
        <w:t>Our Modified Retirement Plan provides annual benefits (paid monthly) that are generally paid at normal retirement in the form of a 100% survivor annuity and are calculated based on a participant’s seniority and position. Annual target benefits for our NEOs range between 15% and 20% of his/her 2024 base salary. Normal retirement is defined under the Modified Retirement Plan as attainment of age 65 and completion of at least five years of service.</w:t>
      </w:r>
    </w:p>
    <w:p>
      <w:pPr>
        <w:spacing w:after="0" w:line="156" w:lineRule="exact"/>
        <w:rPr>
          <w:sz w:val="20"/>
          <w:szCs w:val="20"/>
          <w:color w:val="auto"/>
        </w:rPr>
      </w:pPr>
    </w:p>
    <w:p>
      <w:pPr>
        <w:ind w:right="620"/>
        <w:spacing w:after="0" w:line="261" w:lineRule="auto"/>
        <w:rPr>
          <w:sz w:val="20"/>
          <w:szCs w:val="20"/>
          <w:color w:val="auto"/>
        </w:rPr>
      </w:pPr>
      <w:r>
        <w:rPr>
          <w:rFonts w:ascii="Arial" w:cs="Arial" w:eastAsia="Arial" w:hAnsi="Arial"/>
          <w:sz w:val="17"/>
          <w:szCs w:val="17"/>
          <w:color w:val="444A54"/>
        </w:rPr>
        <w:t>Beginning in 2020, the Board determined that it will not offer participation in the Modified Retirement Plan to any employee of United Community who is not already a participant nor will it enhance existing benefits for any current participants.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444A54"/>
        </w:rPr>
        <w:t>See Pension Benefits for additional information about benefits provided to the NEOs under the Modified Retirement Plan.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Employment and Related Agreements</w:t>
      </w:r>
    </w:p>
    <w:p>
      <w:pPr>
        <w:spacing w:after="0" w:line="190"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444A54"/>
        </w:rPr>
        <w:t>Each of our NEOs is a party to a change-in-control continuity agreement (“Change-in-Control Continuity Agreement”), which provides severance payments and benefits to key executives the Talent and Compensation Committee determined to be most likely to be affected by a change in control in the Company. We then entered into a Change-in-Control Continuity Agreement with each of our NEOs.</w:t>
      </w:r>
    </w:p>
    <w:p>
      <w:pPr>
        <w:spacing w:after="0" w:line="150"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444A54"/>
        </w:rPr>
        <w:t>In addition, to ensure the continued services and commitment of H. Lynn Harton, our CEO, the Talent and Compensation Committee approved, and we entered into, an employment agreement with Mr. Harton (the “Harton Employment Agreement”). Upon a change in control of the Company, Mr. Harton’s Change-in-Control Continuity Agreement will supersede the Harton Employment Agreement.</w:t>
      </w:r>
    </w:p>
    <w:p>
      <w:pPr>
        <w:spacing w:after="0" w:line="150" w:lineRule="exact"/>
        <w:rPr>
          <w:sz w:val="20"/>
          <w:szCs w:val="20"/>
          <w:color w:val="auto"/>
        </w:rPr>
      </w:pPr>
    </w:p>
    <w:p>
      <w:pPr>
        <w:ind w:right="360"/>
        <w:spacing w:after="0"/>
        <w:rPr>
          <w:sz w:val="20"/>
          <w:szCs w:val="20"/>
          <w:color w:val="auto"/>
        </w:rPr>
      </w:pPr>
      <w:r>
        <w:rPr>
          <w:rFonts w:ascii="Arial" w:cs="Arial" w:eastAsia="Arial" w:hAnsi="Arial"/>
          <w:sz w:val="17"/>
          <w:szCs w:val="17"/>
          <w:color w:val="444A54"/>
        </w:rPr>
        <w:t>On February 10, 2025, to ensure the continued services and commitment of Richard W. Bradshaw, our Chief Banking Officer, the Talent and Compensation Committee approved, and we entered into, an employment agreement with Mr. Bradshaw (the “Bradshaw Employment Agreement”). Upon a change in control of the Company, Mr. Bradshaw’s Change-in-Control Continuity Agreement will supersede the Bradshaw Employment Agreement.</w:t>
      </w:r>
    </w:p>
    <w:p>
      <w:pPr>
        <w:spacing w:after="0" w:line="156"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444A54"/>
        </w:rPr>
        <w:t>These agreements promote executive continuity, aid in retention, and, in return for granting the NEOs certain severance and other rights upon a termination of employment, secure valuable protections for the Company, including noncompete, nonsolicitation and confidentiality obligations. We believe that reasonable severance benefits are appropriate to protect the NEOs against circumstances over which they do not have control and as consideration for the promises of nondisclosure, noncompetition, nonsolicitation and noninterference. A change in control, by itself (“single trigger”), does not trigger any severance provision applicable to our NEOs under the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17AB5"/>
        </w:rPr>
        <w:t>Change-in-Control Continuity Agreements</w:t>
      </w:r>
    </w:p>
    <w:p>
      <w:pPr>
        <w:spacing w:after="0" w:line="180"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444A54"/>
        </w:rPr>
        <w:t>Each Change-in-Control Continuity Agreement provides for an initial three-year term that will renew automatically for an additional year commencing on the first anniversary of the effective date and each annual anniversary thereafter unless notice of nonrenewal is provided. The payments and benefits provided under the Change-in-Control Continuity Agreements are “double trigger” and are not payable upon a termination of a NEO’s employment for “cause” or a resignation by a NEO without “good reason” or any termination of a NEO’s employment prior to a change in control of the Company. Defined terms referenced in this description of the Change-in-Control Continuity Agreements have the meanings given to them in those agreements.</w:t>
      </w:r>
    </w:p>
    <w:p>
      <w:pPr>
        <w:spacing w:after="0" w:line="15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444A54"/>
        </w:rPr>
        <w:t>The severance protections under the Change-in-Control Continuity Agreements become effective on a change in control of the Company and remain in effect for a two-year period (the “Protected Period”) thereafter. During the Protected Period, the NEO generally would be entitled to compensation and benefits consistent with those applicable during the twelve-month period before the change in control. If, during the Protected Period, the NEO’s employment is terminated by the Company without “cause” (other than by reason of his or her death or disability) or the NEO terminates his or her employment with “good reason,” the NEO</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444A54"/>
        </w:rPr>
        <w:t>would be entitled to receive the following amounts and benefits, subject to the NEO’s execution and nonrevocation of a release of claims against the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444A54"/>
        </w:rPr>
        <w:t>Company and its affiliates:</w:t>
      </w:r>
    </w:p>
    <w:p>
      <w:pPr>
        <w:spacing w:after="0" w:line="51" w:lineRule="exact"/>
        <w:rPr>
          <w:sz w:val="20"/>
          <w:szCs w:val="20"/>
          <w:color w:val="auto"/>
        </w:rPr>
      </w:pPr>
    </w:p>
    <w:p>
      <w:pPr>
        <w:jc w:val="both"/>
        <w:ind w:left="540" w:right="360" w:hanging="302"/>
        <w:spacing w:after="0" w:line="246" w:lineRule="auto"/>
        <w:tabs>
          <w:tab w:leader="none" w:pos="540" w:val="left"/>
        </w:tabs>
        <w:numPr>
          <w:ilvl w:val="0"/>
          <w:numId w:val="32"/>
        </w:numPr>
        <w:rPr>
          <w:rFonts w:ascii="Arial" w:cs="Arial" w:eastAsia="Arial" w:hAnsi="Arial"/>
          <w:sz w:val="17"/>
          <w:szCs w:val="17"/>
          <w:color w:val="444A54"/>
        </w:rPr>
      </w:pPr>
      <w:r>
        <w:rPr>
          <w:rFonts w:ascii="Arial" w:cs="Arial" w:eastAsia="Arial" w:hAnsi="Arial"/>
          <w:sz w:val="17"/>
          <w:szCs w:val="17"/>
          <w:color w:val="444A54"/>
        </w:rPr>
        <w:t>An amount equal to (a) the “severance multiple” (three (3) for Mr. Harton and two (2) for all other NEOs) (the “Severance Multiple”) multiplied by (b) the sum of: (1) the NEO’s annual base salary then in effect; and (2) the average annual bonus in respect of the three years before the change in control (or, if higher, the applicable target annual bonus opportunity then in effect);</w:t>
      </w:r>
    </w:p>
    <w:p>
      <w:pPr>
        <w:spacing w:after="0" w:line="49" w:lineRule="exact"/>
        <w:rPr>
          <w:rFonts w:ascii="Arial" w:cs="Arial" w:eastAsia="Arial" w:hAnsi="Arial"/>
          <w:sz w:val="17"/>
          <w:szCs w:val="17"/>
          <w:color w:val="444A54"/>
        </w:rPr>
      </w:pPr>
    </w:p>
    <w:p>
      <w:pPr>
        <w:ind w:left="540" w:right="300" w:hanging="302"/>
        <w:spacing w:after="0" w:line="246" w:lineRule="auto"/>
        <w:tabs>
          <w:tab w:leader="none" w:pos="540" w:val="left"/>
        </w:tabs>
        <w:numPr>
          <w:ilvl w:val="0"/>
          <w:numId w:val="32"/>
        </w:numPr>
        <w:rPr>
          <w:rFonts w:ascii="Arial" w:cs="Arial" w:eastAsia="Arial" w:hAnsi="Arial"/>
          <w:sz w:val="17"/>
          <w:szCs w:val="17"/>
          <w:color w:val="444A54"/>
        </w:rPr>
      </w:pPr>
      <w:r>
        <w:rPr>
          <w:rFonts w:ascii="Arial" w:cs="Arial" w:eastAsia="Arial" w:hAnsi="Arial"/>
          <w:sz w:val="17"/>
          <w:szCs w:val="17"/>
          <w:color w:val="444A54"/>
        </w:rPr>
        <w:t>A pro rata bonus amount for the year in which the date of termination occurs based on the NEO’s target annual bonus opportunity, or if higher, the annual bonus earned based on the level of performance determined in connection with the change in control or thereafter for such year (the “Prorated Bonus”);</w:t>
      </w:r>
    </w:p>
    <w:p>
      <w:pPr>
        <w:spacing w:after="0" w:line="49" w:lineRule="exact"/>
        <w:rPr>
          <w:rFonts w:ascii="Arial" w:cs="Arial" w:eastAsia="Arial" w:hAnsi="Arial"/>
          <w:sz w:val="17"/>
          <w:szCs w:val="17"/>
          <w:color w:val="444A54"/>
        </w:rPr>
      </w:pPr>
    </w:p>
    <w:p>
      <w:pPr>
        <w:ind w:left="540" w:right="460" w:hanging="302"/>
        <w:spacing w:after="0" w:line="246" w:lineRule="auto"/>
        <w:tabs>
          <w:tab w:leader="none" w:pos="540" w:val="left"/>
        </w:tabs>
        <w:numPr>
          <w:ilvl w:val="0"/>
          <w:numId w:val="32"/>
        </w:numPr>
        <w:rPr>
          <w:rFonts w:ascii="Arial" w:cs="Arial" w:eastAsia="Arial" w:hAnsi="Arial"/>
          <w:sz w:val="17"/>
          <w:szCs w:val="17"/>
          <w:color w:val="444A54"/>
        </w:rPr>
      </w:pPr>
      <w:r>
        <w:rPr>
          <w:rFonts w:ascii="Arial" w:cs="Arial" w:eastAsia="Arial" w:hAnsi="Arial"/>
          <w:sz w:val="17"/>
          <w:szCs w:val="17"/>
          <w:color w:val="444A54"/>
        </w:rPr>
        <w:t>An amount equal to (a) the Severance Multiple, multiplied by (b) the employer contributions under our qualified and nonqualified defined contribution plans, assuming the NEO is fully vested and his or her compensation is that applicable under the Change-in-Control Continuity Agreement;</w:t>
      </w:r>
    </w:p>
    <w:p>
      <w:pPr>
        <w:spacing w:after="0" w:line="49" w:lineRule="exact"/>
        <w:rPr>
          <w:rFonts w:ascii="Arial" w:cs="Arial" w:eastAsia="Arial" w:hAnsi="Arial"/>
          <w:sz w:val="17"/>
          <w:szCs w:val="17"/>
          <w:color w:val="444A54"/>
        </w:rPr>
      </w:pPr>
    </w:p>
    <w:p>
      <w:pPr>
        <w:ind w:left="540" w:right="220" w:hanging="302"/>
        <w:spacing w:after="0"/>
        <w:tabs>
          <w:tab w:leader="none" w:pos="540" w:val="left"/>
        </w:tabs>
        <w:numPr>
          <w:ilvl w:val="0"/>
          <w:numId w:val="32"/>
        </w:numPr>
        <w:rPr>
          <w:rFonts w:ascii="Arial" w:cs="Arial" w:eastAsia="Arial" w:hAnsi="Arial"/>
          <w:sz w:val="17"/>
          <w:szCs w:val="17"/>
          <w:color w:val="444A54"/>
        </w:rPr>
      </w:pPr>
      <w:r>
        <w:rPr>
          <w:rFonts w:ascii="Arial" w:cs="Arial" w:eastAsia="Arial" w:hAnsi="Arial"/>
          <w:sz w:val="17"/>
          <w:szCs w:val="17"/>
          <w:color w:val="444A54"/>
        </w:rPr>
        <w:t>An amount equal to (a) the number of months corresponding to the Severance Multiple (36 for Mr. Harton and 24 for each other NEO) multiplied by (b) the sum of the monthly Consolidated Omnibus Budget Reconciliation Act (“COBRA”) premium for our group health care plans and the monthly premium for life insurance coverage on a conversion basis, based on the plans and at the levels of coverage applicable to the NEO before the date of termination, or if more favorable, the change in control;</w:t>
      </w:r>
    </w:p>
    <w:p>
      <w:pPr>
        <w:spacing w:after="0" w:line="56" w:lineRule="exact"/>
        <w:rPr>
          <w:rFonts w:ascii="Arial" w:cs="Arial" w:eastAsia="Arial" w:hAnsi="Arial"/>
          <w:sz w:val="17"/>
          <w:szCs w:val="17"/>
          <w:color w:val="444A54"/>
        </w:rPr>
      </w:pPr>
    </w:p>
    <w:p>
      <w:pPr>
        <w:ind w:left="540" w:right="240" w:hanging="302"/>
        <w:spacing w:after="0" w:line="261" w:lineRule="auto"/>
        <w:tabs>
          <w:tab w:leader="none" w:pos="540" w:val="left"/>
        </w:tabs>
        <w:numPr>
          <w:ilvl w:val="0"/>
          <w:numId w:val="32"/>
        </w:numPr>
        <w:rPr>
          <w:rFonts w:ascii="Arial" w:cs="Arial" w:eastAsia="Arial" w:hAnsi="Arial"/>
          <w:sz w:val="17"/>
          <w:szCs w:val="17"/>
          <w:color w:val="444A54"/>
        </w:rPr>
      </w:pPr>
      <w:r>
        <w:rPr>
          <w:rFonts w:ascii="Arial" w:cs="Arial" w:eastAsia="Arial" w:hAnsi="Arial"/>
          <w:sz w:val="17"/>
          <w:szCs w:val="17"/>
          <w:color w:val="444A54"/>
        </w:rPr>
        <w:t>An amount equal to the Severance Multiple multiplied by the sum of annual club dues and car allowance, if any, provided to the NEO before the change in control or thereafter; and</w:t>
      </w:r>
    </w:p>
    <w:p>
      <w:pPr>
        <w:spacing w:after="0" w:line="37" w:lineRule="exact"/>
        <w:rPr>
          <w:rFonts w:ascii="Arial" w:cs="Arial" w:eastAsia="Arial" w:hAnsi="Arial"/>
          <w:sz w:val="17"/>
          <w:szCs w:val="17"/>
          <w:color w:val="444A54"/>
        </w:rPr>
      </w:pPr>
    </w:p>
    <w:p>
      <w:pPr>
        <w:ind w:left="540" w:hanging="302"/>
        <w:spacing w:after="0"/>
        <w:tabs>
          <w:tab w:leader="none" w:pos="540" w:val="left"/>
        </w:tabs>
        <w:numPr>
          <w:ilvl w:val="0"/>
          <w:numId w:val="32"/>
        </w:numPr>
        <w:rPr>
          <w:rFonts w:ascii="Arial" w:cs="Arial" w:eastAsia="Arial" w:hAnsi="Arial"/>
          <w:sz w:val="17"/>
          <w:szCs w:val="17"/>
          <w:color w:val="444A54"/>
        </w:rPr>
      </w:pPr>
      <w:r>
        <w:rPr>
          <w:rFonts w:ascii="Arial" w:cs="Arial" w:eastAsia="Arial" w:hAnsi="Arial"/>
          <w:sz w:val="17"/>
          <w:szCs w:val="17"/>
          <w:color w:val="444A54"/>
        </w:rPr>
        <w:t>Outplacement services at a cost of up to 10% of the NEO’s base salary.</w:t>
      </w:r>
    </w:p>
    <w:p>
      <w:pPr>
        <w:spacing w:after="0" w:line="180"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444A54"/>
        </w:rPr>
        <w:t>If the NEO’s employment is terminated during the Protected Period due to death or disability, the NEO would not be entitled to the benefits described above but would instead be entitled to receive the Prorated Bonus and death or disability benefits, as applicable, equal to those provided before the change in control (or, if more favorable, in effect on the date of death or disability). The payments and benefits under the Change-in-Control Continuity Agreements will be reduced to the extent that they would be subject to an excise tax under Sections 280G and 4999 of the Internal Revenue Code of 1986, as amended, unless the NEO would be better off on an after-tax basis receiving all such payments and benefits and paying his or her own excise tax. The Change-in-Control Continuity Agreements do not provide for an excise tax gross up.</w:t>
      </w:r>
    </w:p>
    <w:p>
      <w:pPr>
        <w:spacing w:after="0" w:line="156"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444A54"/>
        </w:rPr>
        <w:t>The Change-in-Control Continuity Agreements contain restrictive covenants that provide for (a) perpetual confidentiality and (b) restrictions on interfering with our customers and employees and competing with our business, in each case while employed and for one year thereafter. Following a change in control, the covenants in the Change-in-Control Continuity Agreements will be the sole covenants applicable to a NEO and, with respect to any equity award agreements between the Company and the NEO, the restrictive covenants provided under the Change-in-Control Continuity Agreements will replace and supersede the restrictive covenants in any equity award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17AB5"/>
        </w:rPr>
        <w:t>Harton Employment Agreement</w:t>
      </w:r>
    </w:p>
    <w:p>
      <w:pPr>
        <w:spacing w:after="0" w:line="180"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444A54"/>
        </w:rPr>
        <w:t>Under the terms of the Harton Employment Agreement, Mr. Harton will continue to serve as our CEO, President, and Chairman of the Board as well as CEO and Chairman of the Board of the Bank. The Harton Employment Agreement has a three-year term that began February 14, 2023 and extends automatically for an additional year commencing on the first anniversary of the effective date and each annual anniversary thereafter so as to terminate three years from such extension date, unless notice of nonrenewal is provided. As previously noted, Mr. Harton’s Change-in-Control Continuity Agreement will supersede the Harton Employment Agreement upon a change in control of the Company.</w:t>
      </w:r>
    </w:p>
    <w:p>
      <w:pPr>
        <w:spacing w:after="0" w:line="157" w:lineRule="exact"/>
        <w:rPr>
          <w:sz w:val="20"/>
          <w:szCs w:val="20"/>
          <w:color w:val="auto"/>
        </w:rPr>
      </w:pPr>
    </w:p>
    <w:p>
      <w:pPr>
        <w:ind w:right="280"/>
        <w:spacing w:after="0" w:line="247" w:lineRule="auto"/>
        <w:rPr>
          <w:sz w:val="20"/>
          <w:szCs w:val="20"/>
          <w:color w:val="auto"/>
        </w:rPr>
      </w:pPr>
      <w:r>
        <w:rPr>
          <w:rFonts w:ascii="Arial" w:cs="Arial" w:eastAsia="Arial" w:hAnsi="Arial"/>
          <w:sz w:val="16"/>
          <w:szCs w:val="16"/>
          <w:color w:val="444A54"/>
        </w:rPr>
        <w:t>Under the terms of the Harton Employment Agreement, Mr. Harton’s base salary shall not be less than $1,050,000, his annual cash incentive opportunity at target shall be not less than 100% of base salary (the “Target Incentive Award Opportunity”) and his annual long-term equity incentive award opportunity shall have a grant date fair value of not less than 200% of base salary, with the annual cash incentive award and long-term equity incentive awards to be determined by the Talent and Compensation Committee pursuant to the terms of the applicable plans and on a basis and with terms consistent with those of our other executive officers. Mr. Harton’s future long-term equity incentive awards will include vesting or continued vesting provisions that would apply upon his retirement on or after age 67. Upon a termination of Mr. Harton’s employment without “cause” (other than by reason of his death or disability) or by Mr. Harton for “good reason” (as such terms are defined in the Harton Employment Agreement),</w:t>
      </w:r>
    </w:p>
    <w:p>
      <w:pPr>
        <w:spacing w:after="0" w:line="4" w:lineRule="exact"/>
        <w:rPr>
          <w:sz w:val="20"/>
          <w:szCs w:val="20"/>
          <w:color w:val="auto"/>
        </w:rPr>
      </w:pPr>
    </w:p>
    <w:p>
      <w:pPr>
        <w:ind w:right="320"/>
        <w:spacing w:after="0" w:line="242" w:lineRule="auto"/>
        <w:rPr>
          <w:sz w:val="20"/>
          <w:szCs w:val="20"/>
          <w:color w:val="auto"/>
        </w:rPr>
      </w:pPr>
      <w:r>
        <w:rPr>
          <w:rFonts w:ascii="Arial" w:cs="Arial" w:eastAsia="Arial" w:hAnsi="Arial"/>
          <w:sz w:val="17"/>
          <w:szCs w:val="17"/>
          <w:color w:val="444A54"/>
        </w:rPr>
        <w:t>Mr. Harton would be entitled to receive the following amounts and benefits, subject to his execution and nonrevocation of a release of claims against the Company and its affiliates:</w:t>
      </w:r>
    </w:p>
    <w:p>
      <w:pPr>
        <w:spacing w:after="0" w:line="53" w:lineRule="exact"/>
        <w:rPr>
          <w:sz w:val="20"/>
          <w:szCs w:val="20"/>
          <w:color w:val="auto"/>
        </w:rPr>
      </w:pPr>
    </w:p>
    <w:p>
      <w:pPr>
        <w:ind w:left="540" w:right="760" w:hanging="302"/>
        <w:spacing w:after="0" w:line="261" w:lineRule="auto"/>
        <w:tabs>
          <w:tab w:leader="none" w:pos="540" w:val="left"/>
        </w:tabs>
        <w:numPr>
          <w:ilvl w:val="0"/>
          <w:numId w:val="33"/>
        </w:numPr>
        <w:rPr>
          <w:rFonts w:ascii="Arial" w:cs="Arial" w:eastAsia="Arial" w:hAnsi="Arial"/>
          <w:sz w:val="17"/>
          <w:szCs w:val="17"/>
          <w:color w:val="444A54"/>
        </w:rPr>
      </w:pPr>
      <w:r>
        <w:rPr>
          <w:rFonts w:ascii="Arial" w:cs="Arial" w:eastAsia="Arial" w:hAnsi="Arial"/>
          <w:sz w:val="17"/>
          <w:szCs w:val="17"/>
          <w:color w:val="444A54"/>
        </w:rPr>
        <w:t>A pro rata annual cash incentive award for the year in which the termination occurs based on the level of achievement of the applicable performance goals (the “Pro Rata Cash Incentive”);</w:t>
      </w:r>
    </w:p>
    <w:p>
      <w:pPr>
        <w:spacing w:after="0" w:line="37" w:lineRule="exact"/>
        <w:rPr>
          <w:rFonts w:ascii="Arial" w:cs="Arial" w:eastAsia="Arial" w:hAnsi="Arial"/>
          <w:sz w:val="17"/>
          <w:szCs w:val="17"/>
          <w:color w:val="444A54"/>
        </w:rPr>
      </w:pPr>
    </w:p>
    <w:p>
      <w:pPr>
        <w:ind w:left="540" w:hanging="302"/>
        <w:spacing w:after="0"/>
        <w:tabs>
          <w:tab w:leader="none" w:pos="540" w:val="left"/>
        </w:tabs>
        <w:numPr>
          <w:ilvl w:val="0"/>
          <w:numId w:val="33"/>
        </w:numPr>
        <w:rPr>
          <w:rFonts w:ascii="Arial" w:cs="Arial" w:eastAsia="Arial" w:hAnsi="Arial"/>
          <w:sz w:val="17"/>
          <w:szCs w:val="17"/>
          <w:color w:val="444A54"/>
        </w:rPr>
      </w:pPr>
      <w:r>
        <w:rPr>
          <w:rFonts w:ascii="Arial" w:cs="Arial" w:eastAsia="Arial" w:hAnsi="Arial"/>
          <w:sz w:val="17"/>
          <w:szCs w:val="17"/>
          <w:color w:val="444A54"/>
        </w:rPr>
        <w:t>An amount equal to 2.5 multiplied by the sum of Mr. Harton’s base salary and Target Incentive Award Opportunity; and</w:t>
      </w:r>
    </w:p>
    <w:p>
      <w:pPr>
        <w:spacing w:after="0" w:line="79" w:lineRule="exact"/>
        <w:rPr>
          <w:rFonts w:ascii="Arial" w:cs="Arial" w:eastAsia="Arial" w:hAnsi="Arial"/>
          <w:sz w:val="17"/>
          <w:szCs w:val="17"/>
          <w:color w:val="444A54"/>
        </w:rPr>
      </w:pPr>
    </w:p>
    <w:p>
      <w:pPr>
        <w:ind w:left="540" w:right="140" w:hanging="302"/>
        <w:spacing w:after="0" w:line="261" w:lineRule="auto"/>
        <w:tabs>
          <w:tab w:leader="none" w:pos="540" w:val="left"/>
        </w:tabs>
        <w:numPr>
          <w:ilvl w:val="0"/>
          <w:numId w:val="33"/>
        </w:numPr>
        <w:rPr>
          <w:rFonts w:ascii="Arial" w:cs="Arial" w:eastAsia="Arial" w:hAnsi="Arial"/>
          <w:sz w:val="17"/>
          <w:szCs w:val="17"/>
          <w:color w:val="444A54"/>
        </w:rPr>
      </w:pPr>
      <w:r>
        <w:rPr>
          <w:rFonts w:ascii="Arial" w:cs="Arial" w:eastAsia="Arial" w:hAnsi="Arial"/>
          <w:sz w:val="17"/>
          <w:szCs w:val="17"/>
          <w:color w:val="444A54"/>
        </w:rPr>
        <w:t>An amount equal to 30 multiplied by the sum of the monthly COBRA premium for the group health care plans based on the coverage applicable to Mr. Harton before the date of termination (the “Health Benefits”).</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9" w:name="page50"/>
    <w:bookmarkEnd w:id="49"/>
    <w:p>
      <w:pPr>
        <w:ind w:right="980"/>
        <w:spacing w:after="0" w:line="261" w:lineRule="auto"/>
        <w:rPr>
          <w:sz w:val="20"/>
          <w:szCs w:val="20"/>
          <w:color w:val="auto"/>
        </w:rPr>
      </w:pPr>
      <w:r>
        <w:rPr>
          <w:rFonts w:ascii="Arial" w:cs="Arial" w:eastAsia="Arial" w:hAnsi="Arial"/>
          <w:sz w:val="17"/>
          <w:szCs w:val="17"/>
          <w:color w:val="444A54"/>
        </w:rPr>
        <w:t>If Mr. Harton’s employment is terminated due to death or disability, Mr. Harton (or his estate) would be entitled to receive the Pro Rata Cash Incentive, plus, in the case of disability only, the Health Benefits.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444A54"/>
        </w:rPr>
        <w:t>The Harton Employment Agreement contains restrictive covenants which provide for (a) perpetual confidentiality and mutual nondisparagement;</w:t>
      </w:r>
    </w:p>
    <w:p>
      <w:pPr>
        <w:spacing w:after="0" w:line="8" w:lineRule="exact"/>
        <w:rPr>
          <w:sz w:val="20"/>
          <w:szCs w:val="20"/>
          <w:color w:val="auto"/>
        </w:rPr>
      </w:pPr>
    </w:p>
    <w:p>
      <w:pPr>
        <w:ind w:right="440"/>
        <w:spacing w:after="0" w:line="242" w:lineRule="auto"/>
        <w:tabs>
          <w:tab w:leader="none" w:pos="250" w:val="left"/>
        </w:tabs>
        <w:numPr>
          <w:ilvl w:val="0"/>
          <w:numId w:val="34"/>
        </w:numPr>
        <w:rPr>
          <w:rFonts w:ascii="Arial" w:cs="Arial" w:eastAsia="Arial" w:hAnsi="Arial"/>
          <w:sz w:val="17"/>
          <w:szCs w:val="17"/>
          <w:color w:val="444A54"/>
        </w:rPr>
      </w:pPr>
      <w:r>
        <w:rPr>
          <w:rFonts w:ascii="Arial" w:cs="Arial" w:eastAsia="Arial" w:hAnsi="Arial"/>
          <w:sz w:val="17"/>
          <w:szCs w:val="17"/>
          <w:color w:val="444A54"/>
        </w:rPr>
        <w:t>restrictions on interfering with our customers while employed and for one year thereafter; (c) restrictions on interfering with our employees while employed and for two years thereafter and (d) restrictions on competing with our business while employed and for one year thereafter.</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u w:val="single" w:color="auto"/>
          <w:color w:val="017AB5"/>
        </w:rPr>
        <w:t>Bradshaw Employment Agreement</w:t>
      </w:r>
    </w:p>
    <w:p>
      <w:pPr>
        <w:spacing w:after="0" w:line="180"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444A54"/>
        </w:rPr>
        <w:t>Under the terms of the Bradshaw Employment Agreement, Mr. Bradshaw will continue to serve as our Chief Banking Officer as well as President and Chief Banking Officer of the Bank. The Bradshaw Employment Agreement has a one-year term that began February 10, 2025 and extends automatically for an additional year commencing on the first anniversary of the effective date and each annual anniversary thereafter, unless notice of nonrenewal is provided. As previously noted, Mr. Bradshaw’s Change-in-Control Continuity Agreement will supersede the Bradshaw Employment Agreement upon a change in control of the Company.</w:t>
      </w:r>
    </w:p>
    <w:p>
      <w:pPr>
        <w:spacing w:after="0" w:line="157" w:lineRule="exact"/>
        <w:rPr>
          <w:sz w:val="20"/>
          <w:szCs w:val="20"/>
          <w:color w:val="auto"/>
        </w:rPr>
      </w:pPr>
    </w:p>
    <w:p>
      <w:pPr>
        <w:ind w:right="260"/>
        <w:spacing w:after="0" w:line="237" w:lineRule="auto"/>
        <w:rPr>
          <w:sz w:val="20"/>
          <w:szCs w:val="20"/>
          <w:color w:val="auto"/>
        </w:rPr>
      </w:pPr>
      <w:r>
        <w:rPr>
          <w:rFonts w:ascii="Arial" w:cs="Arial" w:eastAsia="Arial" w:hAnsi="Arial"/>
          <w:sz w:val="17"/>
          <w:szCs w:val="17"/>
          <w:color w:val="444A54"/>
        </w:rPr>
        <w:t>Under the terms of the Bradshaw Employment Agreement, Mr. Bradshaw’s base salary shall be no less than, $675,000, his annual cash incentive opportunity at target is not less than 100% of base salary (the “Target Incentive Award Opportunity”), and his annual long-term equity incentive award opportunity will have a grant date fair value of not less than 125% of base salary, with the annual cash incentive award and long-term equity incentive awards to be determined by the Talent and Compensation Committee pursuant to the terms of the applicable plans and on a basis and with terms consistent with those of our other executive officers. Mr. Bradshaw’s future long-term equity incentive awards will include vesting or continued vesting provisions that would apply upon his retirement on or after age 67.</w:t>
      </w:r>
    </w:p>
    <w:p>
      <w:pPr>
        <w:spacing w:after="0" w:line="156"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444A54"/>
        </w:rPr>
        <w:t>Upon a termination of Mr. Bradshaw’s employment without “cause” (other than by reason of his death or disability) or by Mr. Bradshaw for “good reason” (as such terms are defined in the Bradshaw Employment Agreement), Mr. Bradshaw would be entitled to receive the following amounts and benefits, subject to his execution and nonrevocation of a release of claims against the Company and its affiliates:</w:t>
      </w:r>
    </w:p>
    <w:p>
      <w:pPr>
        <w:spacing w:after="0" w:line="50" w:lineRule="exact"/>
        <w:rPr>
          <w:sz w:val="20"/>
          <w:szCs w:val="20"/>
          <w:color w:val="auto"/>
        </w:rPr>
      </w:pPr>
    </w:p>
    <w:p>
      <w:pPr>
        <w:ind w:left="600" w:right="240" w:hanging="300"/>
        <w:spacing w:after="0" w:line="261" w:lineRule="auto"/>
        <w:tabs>
          <w:tab w:leader="none" w:pos="600" w:val="left"/>
        </w:tabs>
        <w:numPr>
          <w:ilvl w:val="0"/>
          <w:numId w:val="35"/>
        </w:numPr>
        <w:rPr>
          <w:rFonts w:ascii="Arial" w:cs="Arial" w:eastAsia="Arial" w:hAnsi="Arial"/>
          <w:sz w:val="17"/>
          <w:szCs w:val="17"/>
          <w:color w:val="444A54"/>
        </w:rPr>
      </w:pPr>
      <w:r>
        <w:rPr>
          <w:rFonts w:ascii="Arial" w:cs="Arial" w:eastAsia="Arial" w:hAnsi="Arial"/>
          <w:sz w:val="17"/>
          <w:szCs w:val="17"/>
          <w:color w:val="444A54"/>
        </w:rPr>
        <w:t>A pro rata annual cash incentive award for the year in which the termination occurs based on the level of achievement of the applicable performance goals (the “Pro Rata Cash Incentive”);</w:t>
      </w:r>
    </w:p>
    <w:p>
      <w:pPr>
        <w:spacing w:after="0" w:line="37" w:lineRule="exact"/>
        <w:rPr>
          <w:rFonts w:ascii="Arial" w:cs="Arial" w:eastAsia="Arial" w:hAnsi="Arial"/>
          <w:sz w:val="17"/>
          <w:szCs w:val="17"/>
          <w:color w:val="444A54"/>
        </w:rPr>
      </w:pPr>
    </w:p>
    <w:p>
      <w:pPr>
        <w:ind w:left="600" w:hanging="300"/>
        <w:spacing w:after="0"/>
        <w:tabs>
          <w:tab w:leader="none" w:pos="600" w:val="left"/>
        </w:tabs>
        <w:numPr>
          <w:ilvl w:val="0"/>
          <w:numId w:val="35"/>
        </w:numPr>
        <w:rPr>
          <w:rFonts w:ascii="Arial" w:cs="Arial" w:eastAsia="Arial" w:hAnsi="Arial"/>
          <w:sz w:val="17"/>
          <w:szCs w:val="17"/>
          <w:color w:val="444A54"/>
        </w:rPr>
      </w:pPr>
      <w:r>
        <w:rPr>
          <w:rFonts w:ascii="Arial" w:cs="Arial" w:eastAsia="Arial" w:hAnsi="Arial"/>
          <w:sz w:val="17"/>
          <w:szCs w:val="17"/>
          <w:color w:val="444A54"/>
        </w:rPr>
        <w:t>An amount equal to 1.5 multiplied by the sum of Mr. Bradshaw’s base salary and Target Incentive Award Opportunity; and</w:t>
      </w:r>
    </w:p>
    <w:p>
      <w:pPr>
        <w:spacing w:after="0" w:line="79" w:lineRule="exact"/>
        <w:rPr>
          <w:rFonts w:ascii="Arial" w:cs="Arial" w:eastAsia="Arial" w:hAnsi="Arial"/>
          <w:sz w:val="17"/>
          <w:szCs w:val="17"/>
          <w:color w:val="444A54"/>
        </w:rPr>
      </w:pPr>
    </w:p>
    <w:p>
      <w:pPr>
        <w:ind w:left="600" w:right="360" w:hanging="300"/>
        <w:spacing w:after="0" w:line="261" w:lineRule="auto"/>
        <w:tabs>
          <w:tab w:leader="none" w:pos="600" w:val="left"/>
        </w:tabs>
        <w:numPr>
          <w:ilvl w:val="0"/>
          <w:numId w:val="35"/>
        </w:numPr>
        <w:rPr>
          <w:rFonts w:ascii="Arial" w:cs="Arial" w:eastAsia="Arial" w:hAnsi="Arial"/>
          <w:sz w:val="17"/>
          <w:szCs w:val="17"/>
          <w:color w:val="444A54"/>
        </w:rPr>
      </w:pPr>
      <w:r>
        <w:rPr>
          <w:rFonts w:ascii="Arial" w:cs="Arial" w:eastAsia="Arial" w:hAnsi="Arial"/>
          <w:sz w:val="17"/>
          <w:szCs w:val="17"/>
          <w:color w:val="444A54"/>
        </w:rPr>
        <w:t>An amount equal to 18 multiplied by the sum of the monthly COBRA premium for the group health care plans based on the coverage applicable to Mr. Bradshaw before the date of termination (the “Health Benefits”).</w:t>
      </w:r>
    </w:p>
    <w:p>
      <w:pPr>
        <w:spacing w:after="0" w:line="138" w:lineRule="exact"/>
        <w:rPr>
          <w:sz w:val="20"/>
          <w:szCs w:val="20"/>
          <w:color w:val="auto"/>
        </w:rPr>
      </w:pPr>
    </w:p>
    <w:p>
      <w:pPr>
        <w:ind w:right="500"/>
        <w:spacing w:after="0" w:line="261" w:lineRule="auto"/>
        <w:rPr>
          <w:sz w:val="20"/>
          <w:szCs w:val="20"/>
          <w:color w:val="auto"/>
        </w:rPr>
      </w:pPr>
      <w:r>
        <w:rPr>
          <w:rFonts w:ascii="Arial" w:cs="Arial" w:eastAsia="Arial" w:hAnsi="Arial"/>
          <w:sz w:val="17"/>
          <w:szCs w:val="17"/>
          <w:color w:val="444A54"/>
        </w:rPr>
        <w:t>If Mr. Bradshaw’s employment is terminated due to death or disability, Mr. Bradshaw (or his estate) would be entitled to receive the Pro Rata Cash Incentive, plus, in the case of disability only, the Health Benefits.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444A54"/>
        </w:rPr>
        <w:t>The Bradshaw Employment Agreement contains restrictive covenants which provide for (a) perpetual confidentiality and mutual nondisparagement;</w:t>
      </w:r>
    </w:p>
    <w:p>
      <w:pPr>
        <w:spacing w:after="0" w:line="8" w:lineRule="exact"/>
        <w:rPr>
          <w:sz w:val="20"/>
          <w:szCs w:val="20"/>
          <w:color w:val="auto"/>
        </w:rPr>
      </w:pPr>
    </w:p>
    <w:p>
      <w:pPr>
        <w:ind w:right="440"/>
        <w:spacing w:after="0" w:line="242" w:lineRule="auto"/>
        <w:tabs>
          <w:tab w:leader="none" w:pos="250" w:val="left"/>
        </w:tabs>
        <w:numPr>
          <w:ilvl w:val="0"/>
          <w:numId w:val="36"/>
        </w:numPr>
        <w:rPr>
          <w:rFonts w:ascii="Arial" w:cs="Arial" w:eastAsia="Arial" w:hAnsi="Arial"/>
          <w:sz w:val="17"/>
          <w:szCs w:val="17"/>
          <w:color w:val="444A54"/>
        </w:rPr>
      </w:pPr>
      <w:r>
        <w:rPr>
          <w:rFonts w:ascii="Arial" w:cs="Arial" w:eastAsia="Arial" w:hAnsi="Arial"/>
          <w:sz w:val="17"/>
          <w:szCs w:val="17"/>
          <w:color w:val="444A54"/>
        </w:rPr>
        <w:t>restrictions on interfering with our customers while employed and for one year thereafter; (c) restrictions on interfering with our employees while employed and for two years thereafter and (d) restrictions on competing with our business while employed and for one year thereafter.</w:t>
      </w:r>
    </w:p>
    <w:p>
      <w:pPr>
        <w:spacing w:after="0" w:line="153" w:lineRule="exact"/>
        <w:rPr>
          <w:sz w:val="20"/>
          <w:szCs w:val="20"/>
          <w:color w:val="auto"/>
        </w:rPr>
      </w:pPr>
    </w:p>
    <w:p>
      <w:pPr>
        <w:ind w:right="1360"/>
        <w:spacing w:after="0" w:line="261" w:lineRule="auto"/>
        <w:rPr>
          <w:sz w:val="20"/>
          <w:szCs w:val="20"/>
          <w:color w:val="auto"/>
        </w:rPr>
      </w:pPr>
      <w:r>
        <w:rPr>
          <w:rFonts w:ascii="Arial" w:cs="Arial" w:eastAsia="Arial" w:hAnsi="Arial"/>
          <w:sz w:val="17"/>
          <w:szCs w:val="17"/>
          <w:color w:val="444A54"/>
        </w:rPr>
        <w:t>The Talent and Compensation Committee believes that the terms of the Change-in-Control Continuity Agreements and the Harton and Bradshaw Employment Agreements are standard for a financial institution in the markets in which we operate.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17AB5"/>
        </w:rPr>
        <w:t>Clawback Policy</w:t>
      </w:r>
    </w:p>
    <w:p>
      <w:pPr>
        <w:spacing w:after="0" w:line="190"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444A54"/>
        </w:rPr>
        <w:t>As part of our Corporate Governance Guidelines, United Community has a bonus recoupment policy that allows the Board to clawback compensation paid or awarded to an executive officer or employee in the event of a material restatement of our financial results, including the right to clawback cash and equity incentive awards. Consideration will be given to the circumstances that caused the restatement, issues of accountability for those who bore responsibility for the events, and whether anyone responsible engaged in misconduct, which includes violation of United Community’s Code of Conduct or policies or any act or failure to act that could reasonably be expected to cause financial or reputational harm to United Community.</w:t>
      </w:r>
    </w:p>
    <w:p>
      <w:pPr>
        <w:spacing w:after="0" w:line="156" w:lineRule="exact"/>
        <w:rPr>
          <w:sz w:val="20"/>
          <w:szCs w:val="20"/>
          <w:color w:val="auto"/>
        </w:rPr>
      </w:pPr>
    </w:p>
    <w:p>
      <w:pPr>
        <w:ind w:right="120"/>
        <w:spacing w:after="0"/>
        <w:rPr>
          <w:sz w:val="20"/>
          <w:szCs w:val="20"/>
          <w:color w:val="auto"/>
        </w:rPr>
      </w:pPr>
      <w:r>
        <w:rPr>
          <w:rFonts w:ascii="Arial" w:cs="Arial" w:eastAsia="Arial" w:hAnsi="Arial"/>
          <w:sz w:val="17"/>
          <w:szCs w:val="17"/>
          <w:color w:val="444A54"/>
        </w:rPr>
        <w:t>Our Talent and Compensation Committee also has adopted a Compensation Recovery Policy to supplement the bonus recoupment policy consistent with final SEC rules that implemented Section 954 of the Dodd-Frank Act. The Compensation Recovery Policy requires United Community to recover erroneously awarded compensation to its executive officers to the extent required by section 10D of the Securities Exchange Act of 1934, as amended, and NYSE Listing Company Manual Sections 303A.14.</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i w:val="1"/>
          <w:iCs w:val="1"/>
          <w:color w:val="007DB6"/>
        </w:rPr>
        <w:t>Stock Ownership Guidelines</w:t>
      </w:r>
    </w:p>
    <w:p>
      <w:pPr>
        <w:spacing w:after="0" w:line="190" w:lineRule="exact"/>
        <w:rPr>
          <w:sz w:val="20"/>
          <w:szCs w:val="20"/>
          <w:color w:val="auto"/>
        </w:rPr>
      </w:pPr>
    </w:p>
    <w:p>
      <w:pPr>
        <w:jc w:val="both"/>
        <w:ind w:right="180"/>
        <w:spacing w:after="0"/>
        <w:rPr>
          <w:sz w:val="20"/>
          <w:szCs w:val="20"/>
          <w:color w:val="auto"/>
        </w:rPr>
      </w:pPr>
      <w:r>
        <w:rPr>
          <w:rFonts w:ascii="Arial" w:cs="Arial" w:eastAsia="Arial" w:hAnsi="Arial"/>
          <w:sz w:val="17"/>
          <w:szCs w:val="17"/>
          <w:color w:val="474C55"/>
        </w:rPr>
        <w:t>To directly align the interests of executive officers with the interests of our shareholders, our Board adopted a policy with guidance for each executive officer to acquire and maintain minimum ownership of United Community common stock within five years of becoming an executive officer. This policy provides minimum ownership guidelines for our CEO with a value of at least three (3) times annual base salary and for all other executive officers of at least two (2) times annual base salary.</w:t>
      </w:r>
    </w:p>
    <w:p>
      <w:pPr>
        <w:spacing w:after="0" w:line="156"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474C55"/>
        </w:rPr>
        <w:t>The Talent and Compensation Committee of the Board regularly monitors NEO and other executive officer stock ownership as compared to the stock ownership guidelines.</w:t>
      </w:r>
    </w:p>
    <w:p>
      <w:pPr>
        <w:spacing w:after="0" w:line="13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Deductibility of Executive Compensation</w:t>
      </w:r>
    </w:p>
    <w:p>
      <w:pPr>
        <w:spacing w:after="0" w:line="199"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474C55"/>
        </w:rPr>
        <w:t>Section 162(m) of the Internal Revenue Code of 1986, as amended (the “Code”), limits the U.S. federal income tax deduction that United Community is entitled to for compensation paid to our Chief Executive Officer, Chief Financial Officer and certain other highly compensated executive officers (including, among others, our next three other most highly compensated executive officers as of the end of the calendar year); the maximum U.S. federal income tax deduction that United Community may receive for annual compensation paid to any officer covered by Code Section 162(m) is $1,000,000 per officer. To the extent that the aggregate amount of any covered officer’s salary, bonus, amounts realized from option exercises and vesting of restricted stock units or other equity awards and certain other compensation amounts that are recognized as taxable income by the officer exceeds $1,000,000 in any year, we are not entitled to a U.S. federal income tax deduction for the amount over $ 1,000,000 in that year. Although the Talent and Compensation Committee has not adopted a formal policy regarding tax deductibility of compensation paid to our executive officers, it continues to view the tax deductibility of executive compensation as one of many factors to be considered in the context of its overall compensation philosophy. Accordingly, the Talent and Compensation Committee reserves the right to approve compensation that may not be deductible in situations it deems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Talent and Compensation Committee Report</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474C55"/>
        </w:rPr>
        <w:t>The Talent and Compensation Committee has reviewed and discussed with management the Compensation Discussion and Analysis (“CD&amp;A”) required by Item 402(b) of Regulation S-K and, based on this review and discussion, the Talent and Compensation Committee has recommended to the Board that the CD&amp;A be included in this Proxy Statement.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474C55"/>
        </w:rPr>
        <w:t>This report has been furnished by the Talent and Compensation Committee of the Board of Directors:</w:t>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7"/>
          <w:szCs w:val="17"/>
          <w:color w:val="474C55"/>
        </w:rPr>
        <w:t>Jennifer K. Mann, Chair</w:t>
      </w:r>
    </w:p>
    <w:p>
      <w:pPr>
        <w:ind w:left="4500"/>
        <w:spacing w:after="0"/>
        <w:rPr>
          <w:sz w:val="20"/>
          <w:szCs w:val="20"/>
          <w:color w:val="auto"/>
        </w:rPr>
      </w:pPr>
      <w:r>
        <w:rPr>
          <w:rFonts w:ascii="Arial" w:cs="Arial" w:eastAsia="Arial" w:hAnsi="Arial"/>
          <w:sz w:val="17"/>
          <w:szCs w:val="17"/>
          <w:color w:val="474C55"/>
        </w:rPr>
        <w:t>Jennifer M. Bazante</w:t>
      </w:r>
    </w:p>
    <w:p>
      <w:pPr>
        <w:ind w:left="4500"/>
        <w:spacing w:after="0" w:line="230" w:lineRule="auto"/>
        <w:rPr>
          <w:sz w:val="20"/>
          <w:szCs w:val="20"/>
          <w:color w:val="auto"/>
        </w:rPr>
      </w:pPr>
      <w:r>
        <w:rPr>
          <w:rFonts w:ascii="Arial" w:cs="Arial" w:eastAsia="Arial" w:hAnsi="Arial"/>
          <w:sz w:val="17"/>
          <w:szCs w:val="17"/>
          <w:color w:val="474C55"/>
        </w:rPr>
        <w:t>James P. Clements</w:t>
      </w:r>
    </w:p>
    <w:p>
      <w:pPr>
        <w:ind w:left="4500"/>
        <w:spacing w:after="0" w:line="230" w:lineRule="auto"/>
        <w:rPr>
          <w:sz w:val="20"/>
          <w:szCs w:val="20"/>
          <w:color w:val="auto"/>
        </w:rPr>
      </w:pPr>
      <w:r>
        <w:rPr>
          <w:rFonts w:ascii="Arial" w:cs="Arial" w:eastAsia="Arial" w:hAnsi="Arial"/>
          <w:sz w:val="17"/>
          <w:szCs w:val="17"/>
          <w:color w:val="474C55"/>
        </w:rPr>
        <w:t>David C. Shaver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7"/>
          <w:szCs w:val="17"/>
          <w:color w:val="474C55"/>
        </w:rPr>
        <w:t>Tim R. Wallis</w:t>
      </w:r>
    </w:p>
    <w:p>
      <w:pPr>
        <w:spacing w:after="0" w:line="173"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i w:val="1"/>
          <w:iCs w:val="1"/>
          <w:color w:val="474C55"/>
        </w:rPr>
        <w:t>The above Talent and Compensation Committee Report does not constitute soliciting material and should not be deemed filed or incorporated by reference into any other United Community filing under the Securities Act of 1933 or the Securities Exchange Act of 1934, except to the extent United Community specifically incorporates this report by reference therein.</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303" w:right="339" w:bottom="1440" w:gutter="0" w:footer="0" w:header="0"/>
        </w:sectPr>
      </w:pPr>
    </w:p>
    <w:bookmarkStart w:id="51" w:name="page52"/>
    <w:bookmarkEnd w:id="51"/>
    <w:p>
      <w:pPr>
        <w:spacing w:after="0"/>
        <w:rPr>
          <w:sz w:val="20"/>
          <w:szCs w:val="20"/>
          <w:color w:val="auto"/>
        </w:rPr>
      </w:pPr>
      <w:r>
        <w:rPr>
          <w:rFonts w:ascii="Arial" w:cs="Arial" w:eastAsia="Arial" w:hAnsi="Arial"/>
          <w:sz w:val="23"/>
          <w:szCs w:val="23"/>
          <w:b w:val="1"/>
          <w:bCs w:val="1"/>
          <w:color w:val="017AB5"/>
        </w:rPr>
        <w:t>Summary Compensation Table</w:t>
      </w:r>
    </w:p>
    <w:p>
      <w:pPr>
        <w:spacing w:after="0" w:line="204" w:lineRule="exact"/>
        <w:rPr>
          <w:sz w:val="20"/>
          <w:szCs w:val="20"/>
          <w:color w:val="auto"/>
        </w:rPr>
      </w:pPr>
    </w:p>
    <w:p>
      <w:pPr>
        <w:ind w:right="840"/>
        <w:spacing w:after="0" w:line="261" w:lineRule="auto"/>
        <w:rPr>
          <w:sz w:val="20"/>
          <w:szCs w:val="20"/>
          <w:color w:val="auto"/>
        </w:rPr>
      </w:pPr>
      <w:r>
        <w:rPr>
          <w:rFonts w:ascii="Arial" w:cs="Arial" w:eastAsia="Arial" w:hAnsi="Arial"/>
          <w:sz w:val="17"/>
          <w:szCs w:val="17"/>
          <w:color w:val="474C55"/>
        </w:rPr>
        <w:t>The following table sets forth the compensation paid to our NEOs during the past three years. Certain columns specified for this table by Item 402(c) of Regulation S-K have been omitted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90170</wp:posOffset>
            </wp:positionV>
            <wp:extent cx="8255" cy="4051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405130"/>
                    </a:xfrm>
                    <a:prstGeom prst="rect">
                      <a:avLst/>
                    </a:prstGeom>
                    <a:noFill/>
                  </pic:spPr>
                </pic:pic>
              </a:graphicData>
            </a:graphic>
          </wp:anchor>
        </w:drawing>
        <w:drawing>
          <wp:anchor simplePos="0" relativeHeight="251657728" behindDoc="1" locked="0" layoutInCell="0" allowOverlap="1">
            <wp:simplePos x="0" y="0"/>
            <wp:positionH relativeFrom="column">
              <wp:posOffset>5720080</wp:posOffset>
            </wp:positionH>
            <wp:positionV relativeFrom="paragraph">
              <wp:posOffset>90170</wp:posOffset>
            </wp:positionV>
            <wp:extent cx="8255" cy="4051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40513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90170</wp:posOffset>
            </wp:positionV>
            <wp:extent cx="8255" cy="4051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40513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90170</wp:posOffset>
            </wp:positionV>
            <wp:extent cx="8255" cy="4051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405130"/>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90170</wp:posOffset>
            </wp:positionV>
            <wp:extent cx="8255" cy="4051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405130"/>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90170</wp:posOffset>
            </wp:positionV>
            <wp:extent cx="8255" cy="4051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405130"/>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90170</wp:posOffset>
            </wp:positionV>
            <wp:extent cx="8255" cy="4051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40513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60" w:type="dxa"/>
            <w:vAlign w:val="bottom"/>
            <w:shd w:val="clear" w:color="auto" w:fill="1077A9"/>
          </w:tcPr>
          <w:p>
            <w:pPr>
              <w:spacing w:after="0"/>
              <w:rPr>
                <w:sz w:val="13"/>
                <w:szCs w:val="13"/>
                <w:color w:val="auto"/>
              </w:rPr>
            </w:pPr>
          </w:p>
        </w:tc>
        <w:tc>
          <w:tcPr>
            <w:tcW w:w="780" w:type="dxa"/>
            <w:vAlign w:val="bottom"/>
            <w:shd w:val="clear" w:color="auto" w:fill="1077A9"/>
          </w:tcPr>
          <w:p>
            <w:pPr>
              <w:spacing w:after="0"/>
              <w:rPr>
                <w:sz w:val="13"/>
                <w:szCs w:val="13"/>
                <w:color w:val="auto"/>
              </w:rPr>
            </w:pPr>
          </w:p>
        </w:tc>
        <w:tc>
          <w:tcPr>
            <w:tcW w:w="1360" w:type="dxa"/>
            <w:vAlign w:val="bottom"/>
            <w:shd w:val="clear" w:color="auto" w:fill="1077A9"/>
          </w:tcPr>
          <w:p>
            <w:pPr>
              <w:spacing w:after="0"/>
              <w:rPr>
                <w:sz w:val="13"/>
                <w:szCs w:val="13"/>
                <w:color w:val="auto"/>
              </w:rPr>
            </w:pPr>
          </w:p>
        </w:tc>
        <w:tc>
          <w:tcPr>
            <w:tcW w:w="1500" w:type="dxa"/>
            <w:vAlign w:val="bottom"/>
            <w:shd w:val="clear" w:color="auto" w:fill="1077A9"/>
          </w:tcPr>
          <w:p>
            <w:pPr>
              <w:spacing w:after="0"/>
              <w:rPr>
                <w:sz w:val="13"/>
                <w:szCs w:val="13"/>
                <w:color w:val="auto"/>
              </w:rPr>
            </w:pPr>
          </w:p>
        </w:tc>
        <w:tc>
          <w:tcPr>
            <w:tcW w:w="1440" w:type="dxa"/>
            <w:vAlign w:val="bottom"/>
            <w:vMerge w:val="restart"/>
            <w:shd w:val="clear" w:color="auto" w:fill="1077A9"/>
          </w:tcPr>
          <w:p>
            <w:pPr>
              <w:jc w:val="center"/>
              <w:spacing w:after="0"/>
              <w:rPr>
                <w:sz w:val="20"/>
                <w:szCs w:val="20"/>
                <w:color w:val="auto"/>
              </w:rPr>
            </w:pPr>
            <w:r>
              <w:rPr>
                <w:rFonts w:ascii="Arial" w:cs="Arial" w:eastAsia="Arial" w:hAnsi="Arial"/>
                <w:sz w:val="12"/>
                <w:szCs w:val="12"/>
                <w:color w:val="FFFFFF"/>
                <w:w w:val="97"/>
              </w:rPr>
              <w:t>Non-Equity</w:t>
            </w:r>
          </w:p>
        </w:tc>
        <w:tc>
          <w:tcPr>
            <w:tcW w:w="1640" w:type="dxa"/>
            <w:vAlign w:val="bottom"/>
            <w:shd w:val="clear" w:color="auto" w:fill="1077A9"/>
          </w:tcPr>
          <w:p>
            <w:pPr>
              <w:jc w:val="center"/>
              <w:spacing w:after="0"/>
              <w:rPr>
                <w:sz w:val="20"/>
                <w:szCs w:val="20"/>
                <w:color w:val="auto"/>
              </w:rPr>
            </w:pPr>
            <w:r>
              <w:rPr>
                <w:rFonts w:ascii="Arial" w:cs="Arial" w:eastAsia="Arial" w:hAnsi="Arial"/>
                <w:sz w:val="12"/>
                <w:szCs w:val="12"/>
                <w:color w:val="FFFFFF"/>
                <w:w w:val="96"/>
              </w:rPr>
              <w:t>Change in Pension</w:t>
            </w:r>
          </w:p>
        </w:tc>
        <w:tc>
          <w:tcPr>
            <w:tcW w:w="1040" w:type="dxa"/>
            <w:vAlign w:val="bottom"/>
            <w:shd w:val="clear" w:color="auto" w:fill="1077A9"/>
          </w:tcPr>
          <w:p>
            <w:pPr>
              <w:spacing w:after="0"/>
              <w:rPr>
                <w:sz w:val="13"/>
                <w:szCs w:val="13"/>
                <w:color w:val="auto"/>
              </w:rPr>
            </w:pPr>
          </w:p>
        </w:tc>
        <w:tc>
          <w:tcPr>
            <w:tcW w:w="240" w:type="dxa"/>
            <w:vAlign w:val="bottom"/>
            <w:shd w:val="clear" w:color="auto" w:fill="1077A9"/>
          </w:tcPr>
          <w:p>
            <w:pPr>
              <w:spacing w:after="0"/>
              <w:rPr>
                <w:sz w:val="13"/>
                <w:szCs w:val="13"/>
                <w:color w:val="auto"/>
              </w:rPr>
            </w:pPr>
          </w:p>
        </w:tc>
        <w:tc>
          <w:tcPr>
            <w:tcW w:w="980" w:type="dxa"/>
            <w:vAlign w:val="bottom"/>
            <w:shd w:val="clear" w:color="auto" w:fill="1077A9"/>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60" w:type="dxa"/>
            <w:vAlign w:val="bottom"/>
            <w:shd w:val="clear" w:color="auto" w:fill="1077A9"/>
          </w:tcPr>
          <w:p>
            <w:pPr>
              <w:spacing w:after="0"/>
              <w:rPr>
                <w:sz w:val="5"/>
                <w:szCs w:val="5"/>
                <w:color w:val="auto"/>
              </w:rPr>
            </w:pPr>
          </w:p>
        </w:tc>
        <w:tc>
          <w:tcPr>
            <w:tcW w:w="780" w:type="dxa"/>
            <w:vAlign w:val="bottom"/>
            <w:shd w:val="clear" w:color="auto" w:fill="1077A9"/>
          </w:tcPr>
          <w:p>
            <w:pPr>
              <w:spacing w:after="0"/>
              <w:rPr>
                <w:sz w:val="5"/>
                <w:szCs w:val="5"/>
                <w:color w:val="auto"/>
              </w:rPr>
            </w:pPr>
          </w:p>
        </w:tc>
        <w:tc>
          <w:tcPr>
            <w:tcW w:w="1360" w:type="dxa"/>
            <w:vAlign w:val="bottom"/>
            <w:shd w:val="clear" w:color="auto" w:fill="1077A9"/>
          </w:tcPr>
          <w:p>
            <w:pPr>
              <w:spacing w:after="0"/>
              <w:rPr>
                <w:sz w:val="5"/>
                <w:szCs w:val="5"/>
                <w:color w:val="auto"/>
              </w:rPr>
            </w:pPr>
          </w:p>
        </w:tc>
        <w:tc>
          <w:tcPr>
            <w:tcW w:w="1500" w:type="dxa"/>
            <w:vAlign w:val="bottom"/>
            <w:shd w:val="clear" w:color="auto" w:fill="1077A9"/>
          </w:tcPr>
          <w:p>
            <w:pPr>
              <w:spacing w:after="0"/>
              <w:rPr>
                <w:sz w:val="5"/>
                <w:szCs w:val="5"/>
                <w:color w:val="auto"/>
              </w:rPr>
            </w:pPr>
          </w:p>
        </w:tc>
        <w:tc>
          <w:tcPr>
            <w:tcW w:w="1440" w:type="dxa"/>
            <w:vAlign w:val="bottom"/>
            <w:vMerge w:val="continue"/>
            <w:shd w:val="clear" w:color="auto" w:fill="1077A9"/>
          </w:tcPr>
          <w:p>
            <w:pPr>
              <w:spacing w:after="0"/>
              <w:rPr>
                <w:sz w:val="5"/>
                <w:szCs w:val="5"/>
                <w:color w:val="auto"/>
              </w:rPr>
            </w:pPr>
          </w:p>
        </w:tc>
        <w:tc>
          <w:tcPr>
            <w:tcW w:w="1640" w:type="dxa"/>
            <w:vAlign w:val="bottom"/>
            <w:vMerge w:val="restart"/>
            <w:shd w:val="clear" w:color="auto" w:fill="1077A9"/>
          </w:tcPr>
          <w:p>
            <w:pPr>
              <w:jc w:val="center"/>
              <w:spacing w:after="0" w:line="125" w:lineRule="exact"/>
              <w:rPr>
                <w:sz w:val="20"/>
                <w:szCs w:val="20"/>
                <w:color w:val="auto"/>
              </w:rPr>
            </w:pPr>
            <w:r>
              <w:rPr>
                <w:rFonts w:ascii="Arial" w:cs="Arial" w:eastAsia="Arial" w:hAnsi="Arial"/>
                <w:sz w:val="12"/>
                <w:szCs w:val="12"/>
                <w:color w:val="FFFFFF"/>
                <w:w w:val="96"/>
              </w:rPr>
              <w:t>Value and Non-Qualified</w:t>
            </w:r>
          </w:p>
        </w:tc>
        <w:tc>
          <w:tcPr>
            <w:tcW w:w="1040" w:type="dxa"/>
            <w:vAlign w:val="bottom"/>
            <w:vMerge w:val="restart"/>
            <w:shd w:val="clear" w:color="auto" w:fill="1077A9"/>
          </w:tcPr>
          <w:p>
            <w:pPr>
              <w:jc w:val="right"/>
              <w:ind w:right="162"/>
              <w:spacing w:after="0" w:line="125" w:lineRule="exact"/>
              <w:rPr>
                <w:sz w:val="20"/>
                <w:szCs w:val="20"/>
                <w:color w:val="auto"/>
              </w:rPr>
            </w:pPr>
            <w:r>
              <w:rPr>
                <w:rFonts w:ascii="Arial" w:cs="Arial" w:eastAsia="Arial" w:hAnsi="Arial"/>
                <w:sz w:val="12"/>
                <w:szCs w:val="12"/>
                <w:color w:val="FFFFFF"/>
              </w:rPr>
              <w:t>All Other</w:t>
            </w:r>
          </w:p>
        </w:tc>
        <w:tc>
          <w:tcPr>
            <w:tcW w:w="240" w:type="dxa"/>
            <w:vAlign w:val="bottom"/>
            <w:shd w:val="clear" w:color="auto" w:fill="1077A9"/>
          </w:tcPr>
          <w:p>
            <w:pPr>
              <w:spacing w:after="0"/>
              <w:rPr>
                <w:sz w:val="5"/>
                <w:szCs w:val="5"/>
                <w:color w:val="auto"/>
              </w:rPr>
            </w:pPr>
          </w:p>
        </w:tc>
        <w:tc>
          <w:tcPr>
            <w:tcW w:w="980" w:type="dxa"/>
            <w:vAlign w:val="bottom"/>
            <w:shd w:val="clear" w:color="auto" w:fill="1077A9"/>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260" w:type="dxa"/>
            <w:vAlign w:val="bottom"/>
            <w:vMerge w:val="restart"/>
            <w:shd w:val="clear" w:color="auto" w:fill="1077A9"/>
          </w:tcPr>
          <w:p>
            <w:pPr>
              <w:ind w:left="60"/>
              <w:spacing w:after="0" w:line="178" w:lineRule="exact"/>
              <w:rPr>
                <w:sz w:val="20"/>
                <w:szCs w:val="20"/>
                <w:color w:val="auto"/>
              </w:rPr>
            </w:pPr>
            <w:r>
              <w:rPr>
                <w:rFonts w:ascii="Arial" w:cs="Arial" w:eastAsia="Arial" w:hAnsi="Arial"/>
                <w:sz w:val="12"/>
                <w:szCs w:val="12"/>
                <w:color w:val="FFFFFF"/>
              </w:rPr>
              <w:t>Name and Principal Position</w:t>
            </w:r>
            <w:r>
              <w:rPr>
                <w:rFonts w:ascii="Arial" w:cs="Arial" w:eastAsia="Arial" w:hAnsi="Arial"/>
                <w:sz w:val="19"/>
                <w:szCs w:val="19"/>
                <w:color w:val="FFFFFF"/>
                <w:vertAlign w:val="superscript"/>
              </w:rPr>
              <w:t>1</w:t>
            </w:r>
          </w:p>
        </w:tc>
        <w:tc>
          <w:tcPr>
            <w:tcW w:w="780" w:type="dxa"/>
            <w:vAlign w:val="bottom"/>
            <w:vMerge w:val="restart"/>
            <w:shd w:val="clear" w:color="auto" w:fill="1077A9"/>
          </w:tcPr>
          <w:p>
            <w:pPr>
              <w:jc w:val="right"/>
              <w:ind w:right="202"/>
              <w:spacing w:after="0"/>
              <w:rPr>
                <w:sz w:val="20"/>
                <w:szCs w:val="20"/>
                <w:color w:val="auto"/>
              </w:rPr>
            </w:pPr>
            <w:r>
              <w:rPr>
                <w:rFonts w:ascii="Arial" w:cs="Arial" w:eastAsia="Arial" w:hAnsi="Arial"/>
                <w:sz w:val="12"/>
                <w:szCs w:val="12"/>
                <w:color w:val="FFFFFF"/>
              </w:rPr>
              <w:t>Year</w:t>
            </w:r>
          </w:p>
        </w:tc>
        <w:tc>
          <w:tcPr>
            <w:tcW w:w="1360" w:type="dxa"/>
            <w:vAlign w:val="bottom"/>
            <w:vMerge w:val="restart"/>
            <w:shd w:val="clear" w:color="auto" w:fill="1077A9"/>
          </w:tcPr>
          <w:p>
            <w:pPr>
              <w:jc w:val="right"/>
              <w:ind w:right="342"/>
              <w:spacing w:after="0" w:line="178" w:lineRule="exact"/>
              <w:rPr>
                <w:sz w:val="20"/>
                <w:szCs w:val="20"/>
                <w:color w:val="auto"/>
              </w:rPr>
            </w:pPr>
            <w:r>
              <w:rPr>
                <w:rFonts w:ascii="Arial" w:cs="Arial" w:eastAsia="Arial" w:hAnsi="Arial"/>
                <w:sz w:val="12"/>
                <w:szCs w:val="12"/>
                <w:color w:val="FFFFFF"/>
              </w:rPr>
              <w:t>Salary ($)</w:t>
            </w:r>
            <w:r>
              <w:rPr>
                <w:rFonts w:ascii="Arial" w:cs="Arial" w:eastAsia="Arial" w:hAnsi="Arial"/>
                <w:sz w:val="19"/>
                <w:szCs w:val="19"/>
                <w:color w:val="FFFFFF"/>
                <w:vertAlign w:val="superscript"/>
              </w:rPr>
              <w:t>2</w:t>
            </w:r>
          </w:p>
        </w:tc>
        <w:tc>
          <w:tcPr>
            <w:tcW w:w="1500" w:type="dxa"/>
            <w:vAlign w:val="bottom"/>
            <w:vMerge w:val="restart"/>
            <w:shd w:val="clear" w:color="auto" w:fill="1077A9"/>
          </w:tcPr>
          <w:p>
            <w:pPr>
              <w:jc w:val="right"/>
              <w:ind w:right="222"/>
              <w:spacing w:after="0" w:line="178" w:lineRule="exact"/>
              <w:rPr>
                <w:sz w:val="20"/>
                <w:szCs w:val="20"/>
                <w:color w:val="auto"/>
              </w:rPr>
            </w:pPr>
            <w:r>
              <w:rPr>
                <w:rFonts w:ascii="Arial" w:cs="Arial" w:eastAsia="Arial" w:hAnsi="Arial"/>
                <w:sz w:val="12"/>
                <w:szCs w:val="12"/>
                <w:color w:val="FFFFFF"/>
              </w:rPr>
              <w:t>Stock Awards ($)</w:t>
            </w:r>
            <w:r>
              <w:rPr>
                <w:rFonts w:ascii="Arial" w:cs="Arial" w:eastAsia="Arial" w:hAnsi="Arial"/>
                <w:sz w:val="19"/>
                <w:szCs w:val="19"/>
                <w:color w:val="FFFFFF"/>
                <w:vertAlign w:val="superscript"/>
              </w:rPr>
              <w:t>3</w:t>
            </w:r>
          </w:p>
        </w:tc>
        <w:tc>
          <w:tcPr>
            <w:tcW w:w="1440" w:type="dxa"/>
            <w:vAlign w:val="bottom"/>
            <w:vMerge w:val="restart"/>
            <w:shd w:val="clear" w:color="auto" w:fill="1077A9"/>
          </w:tcPr>
          <w:p>
            <w:pPr>
              <w:jc w:val="center"/>
              <w:ind w:right="3"/>
              <w:spacing w:after="0"/>
              <w:rPr>
                <w:sz w:val="20"/>
                <w:szCs w:val="20"/>
                <w:color w:val="auto"/>
              </w:rPr>
            </w:pPr>
            <w:r>
              <w:rPr>
                <w:rFonts w:ascii="Arial" w:cs="Arial" w:eastAsia="Arial" w:hAnsi="Arial"/>
                <w:sz w:val="12"/>
                <w:szCs w:val="12"/>
                <w:color w:val="FFFFFF"/>
                <w:w w:val="98"/>
              </w:rPr>
              <w:t>Incentive Plan</w:t>
            </w:r>
          </w:p>
        </w:tc>
        <w:tc>
          <w:tcPr>
            <w:tcW w:w="1640" w:type="dxa"/>
            <w:vAlign w:val="bottom"/>
            <w:vMerge w:val="continue"/>
            <w:shd w:val="clear" w:color="auto" w:fill="1077A9"/>
          </w:tcPr>
          <w:p>
            <w:pPr>
              <w:spacing w:after="0"/>
              <w:rPr>
                <w:sz w:val="5"/>
                <w:szCs w:val="5"/>
                <w:color w:val="auto"/>
              </w:rPr>
            </w:pPr>
          </w:p>
        </w:tc>
        <w:tc>
          <w:tcPr>
            <w:tcW w:w="1040" w:type="dxa"/>
            <w:vAlign w:val="bottom"/>
            <w:vMerge w:val="continue"/>
            <w:shd w:val="clear" w:color="auto" w:fill="1077A9"/>
          </w:tcPr>
          <w:p>
            <w:pPr>
              <w:spacing w:after="0"/>
              <w:rPr>
                <w:sz w:val="5"/>
                <w:szCs w:val="5"/>
                <w:color w:val="auto"/>
              </w:rPr>
            </w:pPr>
          </w:p>
        </w:tc>
        <w:tc>
          <w:tcPr>
            <w:tcW w:w="240" w:type="dxa"/>
            <w:vAlign w:val="bottom"/>
            <w:shd w:val="clear" w:color="auto" w:fill="1077A9"/>
          </w:tcPr>
          <w:p>
            <w:pPr>
              <w:spacing w:after="0"/>
              <w:rPr>
                <w:sz w:val="5"/>
                <w:szCs w:val="5"/>
                <w:color w:val="auto"/>
              </w:rPr>
            </w:pPr>
          </w:p>
        </w:tc>
        <w:tc>
          <w:tcPr>
            <w:tcW w:w="980" w:type="dxa"/>
            <w:vAlign w:val="bottom"/>
            <w:vMerge w:val="restart"/>
            <w:shd w:val="clear" w:color="auto" w:fill="1077A9"/>
          </w:tcPr>
          <w:p>
            <w:pPr>
              <w:jc w:val="right"/>
              <w:ind w:right="282"/>
              <w:spacing w:after="0"/>
              <w:rPr>
                <w:sz w:val="20"/>
                <w:szCs w:val="20"/>
                <w:color w:val="auto"/>
              </w:rPr>
            </w:pPr>
            <w:r>
              <w:rPr>
                <w:rFonts w:ascii="Arial" w:cs="Arial" w:eastAsia="Arial" w:hAnsi="Arial"/>
                <w:sz w:val="12"/>
                <w:szCs w:val="12"/>
                <w:color w:val="FFFFFF"/>
              </w:rPr>
              <w:t>Total ($)</w:t>
            </w:r>
          </w:p>
        </w:tc>
        <w:tc>
          <w:tcPr>
            <w:tcW w:w="0" w:type="dxa"/>
            <w:vAlign w:val="bottom"/>
          </w:tcPr>
          <w:p>
            <w:pPr>
              <w:spacing w:after="0"/>
              <w:rPr>
                <w:sz w:val="1"/>
                <w:szCs w:val="1"/>
                <w:color w:val="auto"/>
              </w:rPr>
            </w:pPr>
          </w:p>
        </w:tc>
      </w:tr>
      <w:tr>
        <w:trPr>
          <w:trHeight w:val="116"/>
        </w:trPr>
        <w:tc>
          <w:tcPr>
            <w:tcW w:w="2260" w:type="dxa"/>
            <w:vAlign w:val="bottom"/>
            <w:vMerge w:val="continue"/>
            <w:shd w:val="clear" w:color="auto" w:fill="1077A9"/>
          </w:tcPr>
          <w:p>
            <w:pPr>
              <w:spacing w:after="0"/>
              <w:rPr>
                <w:sz w:val="10"/>
                <w:szCs w:val="10"/>
                <w:color w:val="auto"/>
              </w:rPr>
            </w:pPr>
          </w:p>
        </w:tc>
        <w:tc>
          <w:tcPr>
            <w:tcW w:w="780" w:type="dxa"/>
            <w:vAlign w:val="bottom"/>
            <w:vMerge w:val="continue"/>
            <w:shd w:val="clear" w:color="auto" w:fill="1077A9"/>
          </w:tcPr>
          <w:p>
            <w:pPr>
              <w:spacing w:after="0"/>
              <w:rPr>
                <w:sz w:val="10"/>
                <w:szCs w:val="10"/>
                <w:color w:val="auto"/>
              </w:rPr>
            </w:pPr>
          </w:p>
        </w:tc>
        <w:tc>
          <w:tcPr>
            <w:tcW w:w="1360" w:type="dxa"/>
            <w:vAlign w:val="bottom"/>
            <w:vMerge w:val="continue"/>
            <w:shd w:val="clear" w:color="auto" w:fill="1077A9"/>
          </w:tcPr>
          <w:p>
            <w:pPr>
              <w:spacing w:after="0"/>
              <w:rPr>
                <w:sz w:val="10"/>
                <w:szCs w:val="10"/>
                <w:color w:val="auto"/>
              </w:rPr>
            </w:pPr>
          </w:p>
        </w:tc>
        <w:tc>
          <w:tcPr>
            <w:tcW w:w="1500" w:type="dxa"/>
            <w:vAlign w:val="bottom"/>
            <w:vMerge w:val="continue"/>
            <w:shd w:val="clear" w:color="auto" w:fill="1077A9"/>
          </w:tcPr>
          <w:p>
            <w:pPr>
              <w:spacing w:after="0"/>
              <w:rPr>
                <w:sz w:val="10"/>
                <w:szCs w:val="10"/>
                <w:color w:val="auto"/>
              </w:rPr>
            </w:pPr>
          </w:p>
        </w:tc>
        <w:tc>
          <w:tcPr>
            <w:tcW w:w="1440" w:type="dxa"/>
            <w:vAlign w:val="bottom"/>
            <w:vMerge w:val="continue"/>
            <w:shd w:val="clear" w:color="auto" w:fill="1077A9"/>
          </w:tcPr>
          <w:p>
            <w:pPr>
              <w:spacing w:after="0"/>
              <w:rPr>
                <w:sz w:val="10"/>
                <w:szCs w:val="10"/>
                <w:color w:val="auto"/>
              </w:rPr>
            </w:pPr>
          </w:p>
        </w:tc>
        <w:tc>
          <w:tcPr>
            <w:tcW w:w="1640" w:type="dxa"/>
            <w:vAlign w:val="bottom"/>
            <w:shd w:val="clear" w:color="auto" w:fill="1077A9"/>
          </w:tcPr>
          <w:p>
            <w:pPr>
              <w:jc w:val="center"/>
              <w:spacing w:after="0" w:line="116" w:lineRule="exact"/>
              <w:rPr>
                <w:sz w:val="20"/>
                <w:szCs w:val="20"/>
                <w:color w:val="auto"/>
              </w:rPr>
            </w:pPr>
            <w:r>
              <w:rPr>
                <w:rFonts w:ascii="Arial" w:cs="Arial" w:eastAsia="Arial" w:hAnsi="Arial"/>
                <w:sz w:val="12"/>
                <w:szCs w:val="12"/>
                <w:color w:val="FFFFFF"/>
                <w:w w:val="95"/>
              </w:rPr>
              <w:t>Deferred Compensation</w:t>
            </w:r>
          </w:p>
        </w:tc>
        <w:tc>
          <w:tcPr>
            <w:tcW w:w="1040" w:type="dxa"/>
            <w:vAlign w:val="bottom"/>
            <w:vMerge w:val="restart"/>
            <w:shd w:val="clear" w:color="auto" w:fill="1077A9"/>
          </w:tcPr>
          <w:p>
            <w:pPr>
              <w:jc w:val="right"/>
              <w:spacing w:after="0"/>
              <w:rPr>
                <w:sz w:val="20"/>
                <w:szCs w:val="20"/>
                <w:color w:val="auto"/>
              </w:rPr>
            </w:pPr>
            <w:r>
              <w:rPr>
                <w:rFonts w:ascii="Arial" w:cs="Arial" w:eastAsia="Arial" w:hAnsi="Arial"/>
                <w:sz w:val="12"/>
                <w:szCs w:val="12"/>
                <w:color w:val="FFFFFF"/>
              </w:rPr>
              <w:t>Compensation ($)</w:t>
            </w:r>
          </w:p>
        </w:tc>
        <w:tc>
          <w:tcPr>
            <w:tcW w:w="240" w:type="dxa"/>
            <w:vAlign w:val="bottom"/>
            <w:shd w:val="clear" w:color="auto" w:fill="1077A9"/>
          </w:tcPr>
          <w:p>
            <w:pPr>
              <w:jc w:val="right"/>
              <w:ind w:right="176"/>
              <w:spacing w:after="0"/>
              <w:rPr>
                <w:sz w:val="20"/>
                <w:szCs w:val="20"/>
                <w:color w:val="auto"/>
              </w:rPr>
            </w:pPr>
            <w:r>
              <w:rPr>
                <w:rFonts w:ascii="Arial" w:cs="Arial" w:eastAsia="Arial" w:hAnsi="Arial"/>
                <w:sz w:val="5"/>
                <w:szCs w:val="5"/>
                <w:color w:val="FFFFFF"/>
                <w:w w:val="70"/>
              </w:rPr>
              <w:t>6</w:t>
            </w:r>
          </w:p>
        </w:tc>
        <w:tc>
          <w:tcPr>
            <w:tcW w:w="980" w:type="dxa"/>
            <w:vAlign w:val="bottom"/>
            <w:vMerge w:val="continue"/>
            <w:shd w:val="clear" w:color="auto" w:fill="1077A9"/>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260" w:type="dxa"/>
            <w:vAlign w:val="bottom"/>
            <w:shd w:val="clear" w:color="auto" w:fill="1077A9"/>
          </w:tcPr>
          <w:p>
            <w:pPr>
              <w:spacing w:after="0"/>
              <w:rPr>
                <w:sz w:val="8"/>
                <w:szCs w:val="8"/>
                <w:color w:val="auto"/>
              </w:rPr>
            </w:pPr>
          </w:p>
        </w:tc>
        <w:tc>
          <w:tcPr>
            <w:tcW w:w="780" w:type="dxa"/>
            <w:vAlign w:val="bottom"/>
            <w:shd w:val="clear" w:color="auto" w:fill="1077A9"/>
          </w:tcPr>
          <w:p>
            <w:pPr>
              <w:spacing w:after="0"/>
              <w:rPr>
                <w:sz w:val="8"/>
                <w:szCs w:val="8"/>
                <w:color w:val="auto"/>
              </w:rPr>
            </w:pPr>
          </w:p>
        </w:tc>
        <w:tc>
          <w:tcPr>
            <w:tcW w:w="1360" w:type="dxa"/>
            <w:vAlign w:val="bottom"/>
            <w:shd w:val="clear" w:color="auto" w:fill="1077A9"/>
          </w:tcPr>
          <w:p>
            <w:pPr>
              <w:spacing w:after="0"/>
              <w:rPr>
                <w:sz w:val="8"/>
                <w:szCs w:val="8"/>
                <w:color w:val="auto"/>
              </w:rPr>
            </w:pPr>
          </w:p>
        </w:tc>
        <w:tc>
          <w:tcPr>
            <w:tcW w:w="1500" w:type="dxa"/>
            <w:vAlign w:val="bottom"/>
            <w:shd w:val="clear" w:color="auto" w:fill="1077A9"/>
          </w:tcPr>
          <w:p>
            <w:pPr>
              <w:spacing w:after="0"/>
              <w:rPr>
                <w:sz w:val="8"/>
                <w:szCs w:val="8"/>
                <w:color w:val="auto"/>
              </w:rPr>
            </w:pPr>
          </w:p>
        </w:tc>
        <w:tc>
          <w:tcPr>
            <w:tcW w:w="1440" w:type="dxa"/>
            <w:vAlign w:val="bottom"/>
            <w:shd w:val="clear" w:color="auto" w:fill="1077A9"/>
          </w:tcPr>
          <w:p>
            <w:pPr>
              <w:jc w:val="center"/>
              <w:ind w:right="3"/>
              <w:spacing w:after="0" w:line="100" w:lineRule="exact"/>
              <w:rPr>
                <w:sz w:val="20"/>
                <w:szCs w:val="20"/>
                <w:color w:val="auto"/>
              </w:rPr>
            </w:pPr>
            <w:r>
              <w:rPr>
                <w:rFonts w:ascii="Arial" w:cs="Arial" w:eastAsia="Arial" w:hAnsi="Arial"/>
                <w:sz w:val="8"/>
                <w:szCs w:val="8"/>
                <w:color w:val="FFFFFF"/>
              </w:rPr>
              <w:t>Compensation ($)</w:t>
            </w:r>
            <w:r>
              <w:rPr>
                <w:rFonts w:ascii="Arial" w:cs="Arial" w:eastAsia="Arial" w:hAnsi="Arial"/>
                <w:sz w:val="11"/>
                <w:szCs w:val="11"/>
                <w:color w:val="FFFFFF"/>
                <w:vertAlign w:val="superscript"/>
              </w:rPr>
              <w:t>4</w:t>
            </w:r>
          </w:p>
        </w:tc>
        <w:tc>
          <w:tcPr>
            <w:tcW w:w="1640" w:type="dxa"/>
            <w:vAlign w:val="bottom"/>
            <w:shd w:val="clear" w:color="auto" w:fill="1077A9"/>
          </w:tcPr>
          <w:p>
            <w:pPr>
              <w:jc w:val="right"/>
              <w:ind w:right="402"/>
              <w:spacing w:after="0" w:line="100" w:lineRule="exact"/>
              <w:rPr>
                <w:sz w:val="20"/>
                <w:szCs w:val="20"/>
                <w:color w:val="auto"/>
              </w:rPr>
            </w:pPr>
            <w:r>
              <w:rPr>
                <w:rFonts w:ascii="Arial" w:cs="Arial" w:eastAsia="Arial" w:hAnsi="Arial"/>
                <w:sz w:val="10"/>
                <w:szCs w:val="10"/>
                <w:color w:val="FFFFFF"/>
              </w:rPr>
              <w:t>5</w:t>
            </w:r>
          </w:p>
        </w:tc>
        <w:tc>
          <w:tcPr>
            <w:tcW w:w="1040" w:type="dxa"/>
            <w:vAlign w:val="bottom"/>
            <w:vMerge w:val="continue"/>
            <w:shd w:val="clear" w:color="auto" w:fill="1077A9"/>
          </w:tcPr>
          <w:p>
            <w:pPr>
              <w:spacing w:after="0"/>
              <w:rPr>
                <w:sz w:val="8"/>
                <w:szCs w:val="8"/>
                <w:color w:val="auto"/>
              </w:rPr>
            </w:pPr>
          </w:p>
        </w:tc>
        <w:tc>
          <w:tcPr>
            <w:tcW w:w="240" w:type="dxa"/>
            <w:vAlign w:val="bottom"/>
            <w:shd w:val="clear" w:color="auto" w:fill="1077A9"/>
          </w:tcPr>
          <w:p>
            <w:pPr>
              <w:spacing w:after="0"/>
              <w:rPr>
                <w:sz w:val="8"/>
                <w:szCs w:val="8"/>
                <w:color w:val="auto"/>
              </w:rPr>
            </w:pPr>
          </w:p>
        </w:tc>
        <w:tc>
          <w:tcPr>
            <w:tcW w:w="980" w:type="dxa"/>
            <w:vAlign w:val="bottom"/>
            <w:shd w:val="clear" w:color="auto" w:fill="1077A9"/>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260" w:type="dxa"/>
            <w:vAlign w:val="bottom"/>
            <w:shd w:val="clear" w:color="auto" w:fill="1077A9"/>
          </w:tcPr>
          <w:p>
            <w:pPr>
              <w:spacing w:after="0"/>
              <w:rPr>
                <w:sz w:val="11"/>
                <w:szCs w:val="11"/>
                <w:color w:val="auto"/>
              </w:rPr>
            </w:pPr>
          </w:p>
        </w:tc>
        <w:tc>
          <w:tcPr>
            <w:tcW w:w="780" w:type="dxa"/>
            <w:vAlign w:val="bottom"/>
            <w:shd w:val="clear" w:color="auto" w:fill="1077A9"/>
          </w:tcPr>
          <w:p>
            <w:pPr>
              <w:spacing w:after="0"/>
              <w:rPr>
                <w:sz w:val="11"/>
                <w:szCs w:val="11"/>
                <w:color w:val="auto"/>
              </w:rPr>
            </w:pPr>
          </w:p>
        </w:tc>
        <w:tc>
          <w:tcPr>
            <w:tcW w:w="1360" w:type="dxa"/>
            <w:vAlign w:val="bottom"/>
            <w:shd w:val="clear" w:color="auto" w:fill="1077A9"/>
          </w:tcPr>
          <w:p>
            <w:pPr>
              <w:spacing w:after="0"/>
              <w:rPr>
                <w:sz w:val="11"/>
                <w:szCs w:val="11"/>
                <w:color w:val="auto"/>
              </w:rPr>
            </w:pPr>
          </w:p>
        </w:tc>
        <w:tc>
          <w:tcPr>
            <w:tcW w:w="1500" w:type="dxa"/>
            <w:vAlign w:val="bottom"/>
            <w:shd w:val="clear" w:color="auto" w:fill="1077A9"/>
          </w:tcPr>
          <w:p>
            <w:pPr>
              <w:spacing w:after="0"/>
              <w:rPr>
                <w:sz w:val="11"/>
                <w:szCs w:val="11"/>
                <w:color w:val="auto"/>
              </w:rPr>
            </w:pPr>
          </w:p>
        </w:tc>
        <w:tc>
          <w:tcPr>
            <w:tcW w:w="1440" w:type="dxa"/>
            <w:vAlign w:val="bottom"/>
            <w:shd w:val="clear" w:color="auto" w:fill="1077A9"/>
          </w:tcPr>
          <w:p>
            <w:pPr>
              <w:spacing w:after="0"/>
              <w:rPr>
                <w:sz w:val="11"/>
                <w:szCs w:val="11"/>
                <w:color w:val="auto"/>
              </w:rPr>
            </w:pPr>
          </w:p>
        </w:tc>
        <w:tc>
          <w:tcPr>
            <w:tcW w:w="1640" w:type="dxa"/>
            <w:vAlign w:val="bottom"/>
            <w:shd w:val="clear" w:color="auto" w:fill="1077A9"/>
          </w:tcPr>
          <w:p>
            <w:pPr>
              <w:jc w:val="center"/>
              <w:spacing w:after="0"/>
              <w:rPr>
                <w:sz w:val="20"/>
                <w:szCs w:val="20"/>
                <w:color w:val="auto"/>
              </w:rPr>
            </w:pPr>
            <w:r>
              <w:rPr>
                <w:rFonts w:ascii="Arial" w:cs="Arial" w:eastAsia="Arial" w:hAnsi="Arial"/>
                <w:sz w:val="12"/>
                <w:szCs w:val="12"/>
                <w:color w:val="FFFFFF"/>
                <w:w w:val="97"/>
              </w:rPr>
              <w:t>Earnings ($)</w:t>
            </w:r>
          </w:p>
        </w:tc>
        <w:tc>
          <w:tcPr>
            <w:tcW w:w="1040" w:type="dxa"/>
            <w:vAlign w:val="bottom"/>
            <w:shd w:val="clear" w:color="auto" w:fill="1077A9"/>
          </w:tcPr>
          <w:p>
            <w:pPr>
              <w:spacing w:after="0"/>
              <w:rPr>
                <w:sz w:val="11"/>
                <w:szCs w:val="11"/>
                <w:color w:val="auto"/>
              </w:rPr>
            </w:pPr>
          </w:p>
        </w:tc>
        <w:tc>
          <w:tcPr>
            <w:tcW w:w="240" w:type="dxa"/>
            <w:vAlign w:val="bottom"/>
            <w:shd w:val="clear" w:color="auto" w:fill="1077A9"/>
          </w:tcPr>
          <w:p>
            <w:pPr>
              <w:spacing w:after="0"/>
              <w:rPr>
                <w:sz w:val="11"/>
                <w:szCs w:val="11"/>
                <w:color w:val="auto"/>
              </w:rPr>
            </w:pPr>
          </w:p>
        </w:tc>
        <w:tc>
          <w:tcPr>
            <w:tcW w:w="980" w:type="dxa"/>
            <w:vAlign w:val="bottom"/>
            <w:shd w:val="clear" w:color="auto" w:fill="1077A9"/>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60" w:type="dxa"/>
            <w:vAlign w:val="bottom"/>
          </w:tcPr>
          <w:p>
            <w:pPr>
              <w:ind w:left="60"/>
              <w:spacing w:after="0"/>
              <w:rPr>
                <w:sz w:val="20"/>
                <w:szCs w:val="20"/>
                <w:color w:val="auto"/>
              </w:rPr>
            </w:pPr>
            <w:r>
              <w:rPr>
                <w:rFonts w:ascii="Arial" w:cs="Arial" w:eastAsia="Arial" w:hAnsi="Arial"/>
                <w:sz w:val="12"/>
                <w:szCs w:val="12"/>
                <w:b w:val="1"/>
                <w:bCs w:val="1"/>
                <w:color w:val="474C55"/>
              </w:rPr>
              <w:t>H. Lynn Harton</w:t>
            </w:r>
          </w:p>
        </w:tc>
        <w:tc>
          <w:tcPr>
            <w:tcW w:w="780" w:type="dxa"/>
            <w:vAlign w:val="bottom"/>
          </w:tcPr>
          <w:p>
            <w:pPr>
              <w:jc w:val="right"/>
              <w:ind w:right="202"/>
              <w:spacing w:after="0"/>
              <w:rPr>
                <w:sz w:val="20"/>
                <w:szCs w:val="20"/>
                <w:color w:val="auto"/>
              </w:rPr>
            </w:pPr>
            <w:r>
              <w:rPr>
                <w:rFonts w:ascii="Arial" w:cs="Arial" w:eastAsia="Arial" w:hAnsi="Arial"/>
                <w:sz w:val="12"/>
                <w:szCs w:val="12"/>
                <w:color w:val="474C55"/>
              </w:rPr>
              <w:t>2024</w:t>
            </w:r>
          </w:p>
        </w:tc>
        <w:tc>
          <w:tcPr>
            <w:tcW w:w="1360" w:type="dxa"/>
            <w:vAlign w:val="bottom"/>
          </w:tcPr>
          <w:p>
            <w:pPr>
              <w:jc w:val="right"/>
              <w:ind w:right="122"/>
              <w:spacing w:after="0"/>
              <w:rPr>
                <w:sz w:val="20"/>
                <w:szCs w:val="20"/>
                <w:color w:val="auto"/>
              </w:rPr>
            </w:pPr>
            <w:r>
              <w:rPr>
                <w:rFonts w:ascii="Arial" w:cs="Arial" w:eastAsia="Arial" w:hAnsi="Arial"/>
                <w:sz w:val="12"/>
                <w:szCs w:val="12"/>
                <w:color w:val="474C55"/>
              </w:rPr>
              <w:t>$ 1,103,250</w:t>
            </w:r>
          </w:p>
        </w:tc>
        <w:tc>
          <w:tcPr>
            <w:tcW w:w="1500" w:type="dxa"/>
            <w:vAlign w:val="bottom"/>
          </w:tcPr>
          <w:p>
            <w:pPr>
              <w:jc w:val="right"/>
              <w:ind w:right="162"/>
              <w:spacing w:after="0"/>
              <w:rPr>
                <w:sz w:val="20"/>
                <w:szCs w:val="20"/>
                <w:color w:val="auto"/>
              </w:rPr>
            </w:pPr>
            <w:r>
              <w:rPr>
                <w:rFonts w:ascii="Arial" w:cs="Arial" w:eastAsia="Arial" w:hAnsi="Arial"/>
                <w:sz w:val="12"/>
                <w:szCs w:val="12"/>
                <w:color w:val="474C55"/>
              </w:rPr>
              <w:t>$ 2,149,958</w:t>
            </w:r>
          </w:p>
        </w:tc>
        <w:tc>
          <w:tcPr>
            <w:tcW w:w="1440" w:type="dxa"/>
            <w:vAlign w:val="bottom"/>
          </w:tcPr>
          <w:p>
            <w:pPr>
              <w:jc w:val="right"/>
              <w:ind w:right="123"/>
              <w:spacing w:after="0"/>
              <w:rPr>
                <w:sz w:val="20"/>
                <w:szCs w:val="20"/>
                <w:color w:val="auto"/>
              </w:rPr>
            </w:pPr>
            <w:r>
              <w:rPr>
                <w:rFonts w:ascii="Arial" w:cs="Arial" w:eastAsia="Arial" w:hAnsi="Arial"/>
                <w:sz w:val="12"/>
                <w:szCs w:val="12"/>
                <w:color w:val="474C55"/>
              </w:rPr>
              <w:t>$ 1,545,177</w:t>
            </w:r>
          </w:p>
        </w:tc>
        <w:tc>
          <w:tcPr>
            <w:tcW w:w="1640" w:type="dxa"/>
            <w:vAlign w:val="bottom"/>
          </w:tcPr>
          <w:p>
            <w:pPr>
              <w:jc w:val="right"/>
              <w:ind w:right="82"/>
              <w:spacing w:after="0"/>
              <w:rPr>
                <w:sz w:val="20"/>
                <w:szCs w:val="20"/>
                <w:color w:val="auto"/>
              </w:rPr>
            </w:pPr>
            <w:r>
              <w:rPr>
                <w:rFonts w:ascii="Arial" w:cs="Arial" w:eastAsia="Arial" w:hAnsi="Arial"/>
                <w:sz w:val="12"/>
                <w:szCs w:val="12"/>
                <w:color w:val="474C55"/>
              </w:rPr>
              <w:t>$ -</w:t>
            </w:r>
          </w:p>
        </w:tc>
        <w:tc>
          <w:tcPr>
            <w:tcW w:w="1040" w:type="dxa"/>
            <w:vAlign w:val="bottom"/>
          </w:tcPr>
          <w:p>
            <w:pPr>
              <w:jc w:val="right"/>
              <w:ind w:right="2"/>
              <w:spacing w:after="0"/>
              <w:rPr>
                <w:sz w:val="20"/>
                <w:szCs w:val="20"/>
                <w:color w:val="auto"/>
              </w:rPr>
            </w:pPr>
            <w:r>
              <w:rPr>
                <w:rFonts w:ascii="Arial" w:cs="Arial" w:eastAsia="Arial" w:hAnsi="Arial"/>
                <w:sz w:val="12"/>
                <w:szCs w:val="12"/>
                <w:color w:val="474C55"/>
              </w:rPr>
              <w:t>$ 120,863</w:t>
            </w:r>
          </w:p>
        </w:tc>
        <w:tc>
          <w:tcPr>
            <w:tcW w:w="24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474C55"/>
              </w:rPr>
              <w:t>$ 4,919,248</w:t>
            </w:r>
          </w:p>
        </w:tc>
        <w:tc>
          <w:tcPr>
            <w:tcW w:w="0" w:type="dxa"/>
            <w:vAlign w:val="bottom"/>
          </w:tcPr>
          <w:p>
            <w:pPr>
              <w:spacing w:after="0"/>
              <w:rPr>
                <w:sz w:val="1"/>
                <w:szCs w:val="1"/>
                <w:color w:val="auto"/>
              </w:rPr>
            </w:pPr>
          </w:p>
        </w:tc>
      </w:tr>
      <w:tr>
        <w:trPr>
          <w:trHeight w:val="177"/>
        </w:trPr>
        <w:tc>
          <w:tcPr>
            <w:tcW w:w="2260" w:type="dxa"/>
            <w:vAlign w:val="bottom"/>
          </w:tcPr>
          <w:p>
            <w:pPr>
              <w:ind w:left="60"/>
              <w:spacing w:after="0"/>
              <w:rPr>
                <w:sz w:val="20"/>
                <w:szCs w:val="20"/>
                <w:color w:val="auto"/>
              </w:rPr>
            </w:pPr>
            <w:r>
              <w:rPr>
                <w:rFonts w:ascii="Arial" w:cs="Arial" w:eastAsia="Arial" w:hAnsi="Arial"/>
                <w:sz w:val="12"/>
                <w:szCs w:val="12"/>
                <w:color w:val="474C55"/>
              </w:rPr>
              <w:t>President &amp; Chief Executive Officer</w:t>
            </w:r>
          </w:p>
        </w:tc>
        <w:tc>
          <w:tcPr>
            <w:tcW w:w="780" w:type="dxa"/>
            <w:vAlign w:val="bottom"/>
          </w:tcPr>
          <w:p>
            <w:pPr>
              <w:jc w:val="right"/>
              <w:ind w:right="202"/>
              <w:spacing w:after="0"/>
              <w:rPr>
                <w:sz w:val="20"/>
                <w:szCs w:val="20"/>
                <w:color w:val="auto"/>
              </w:rPr>
            </w:pPr>
            <w:r>
              <w:rPr>
                <w:rFonts w:ascii="Arial" w:cs="Arial" w:eastAsia="Arial" w:hAnsi="Arial"/>
                <w:sz w:val="12"/>
                <w:szCs w:val="12"/>
                <w:color w:val="474C55"/>
              </w:rPr>
              <w:t>2023</w:t>
            </w:r>
          </w:p>
        </w:tc>
        <w:tc>
          <w:tcPr>
            <w:tcW w:w="1360" w:type="dxa"/>
            <w:vAlign w:val="bottom"/>
          </w:tcPr>
          <w:p>
            <w:pPr>
              <w:jc w:val="right"/>
              <w:ind w:right="122"/>
              <w:spacing w:after="0"/>
              <w:rPr>
                <w:sz w:val="20"/>
                <w:szCs w:val="20"/>
                <w:color w:val="auto"/>
              </w:rPr>
            </w:pPr>
            <w:r>
              <w:rPr>
                <w:rFonts w:ascii="Arial" w:cs="Arial" w:eastAsia="Arial" w:hAnsi="Arial"/>
                <w:sz w:val="12"/>
                <w:szCs w:val="12"/>
                <w:color w:val="474C55"/>
              </w:rPr>
              <w:t>1,050,000</w:t>
            </w:r>
          </w:p>
        </w:tc>
        <w:tc>
          <w:tcPr>
            <w:tcW w:w="1500" w:type="dxa"/>
            <w:vAlign w:val="bottom"/>
          </w:tcPr>
          <w:p>
            <w:pPr>
              <w:jc w:val="right"/>
              <w:ind w:right="162"/>
              <w:spacing w:after="0"/>
              <w:rPr>
                <w:sz w:val="20"/>
                <w:szCs w:val="20"/>
                <w:color w:val="auto"/>
              </w:rPr>
            </w:pPr>
            <w:r>
              <w:rPr>
                <w:rFonts w:ascii="Arial" w:cs="Arial" w:eastAsia="Arial" w:hAnsi="Arial"/>
                <w:sz w:val="12"/>
                <w:szCs w:val="12"/>
                <w:color w:val="474C55"/>
              </w:rPr>
              <w:t>2,091,698</w:t>
            </w:r>
          </w:p>
        </w:tc>
        <w:tc>
          <w:tcPr>
            <w:tcW w:w="1440" w:type="dxa"/>
            <w:vAlign w:val="bottom"/>
          </w:tcPr>
          <w:p>
            <w:pPr>
              <w:jc w:val="right"/>
              <w:ind w:right="123"/>
              <w:spacing w:after="0"/>
              <w:rPr>
                <w:sz w:val="20"/>
                <w:szCs w:val="20"/>
                <w:color w:val="auto"/>
              </w:rPr>
            </w:pPr>
            <w:r>
              <w:rPr>
                <w:rFonts w:ascii="Arial" w:cs="Arial" w:eastAsia="Arial" w:hAnsi="Arial"/>
                <w:sz w:val="12"/>
                <w:szCs w:val="12"/>
                <w:color w:val="474C55"/>
              </w:rPr>
              <w:t>486,000</w:t>
            </w:r>
          </w:p>
        </w:tc>
        <w:tc>
          <w:tcPr>
            <w:tcW w:w="1640" w:type="dxa"/>
            <w:vAlign w:val="bottom"/>
          </w:tcPr>
          <w:p>
            <w:pPr>
              <w:jc w:val="right"/>
              <w:ind w:right="82"/>
              <w:spacing w:after="0"/>
              <w:rPr>
                <w:sz w:val="20"/>
                <w:szCs w:val="20"/>
                <w:color w:val="auto"/>
              </w:rPr>
            </w:pPr>
            <w:r>
              <w:rPr>
                <w:rFonts w:ascii="Arial" w:cs="Arial" w:eastAsia="Arial" w:hAnsi="Arial"/>
                <w:sz w:val="12"/>
                <w:szCs w:val="12"/>
                <w:color w:val="474C55"/>
              </w:rPr>
              <w:t>34,711</w:t>
            </w:r>
          </w:p>
        </w:tc>
        <w:tc>
          <w:tcPr>
            <w:tcW w:w="1040" w:type="dxa"/>
            <w:vAlign w:val="bottom"/>
          </w:tcPr>
          <w:p>
            <w:pPr>
              <w:jc w:val="right"/>
              <w:ind w:right="2"/>
              <w:spacing w:after="0"/>
              <w:rPr>
                <w:sz w:val="20"/>
                <w:szCs w:val="20"/>
                <w:color w:val="auto"/>
              </w:rPr>
            </w:pPr>
            <w:r>
              <w:rPr>
                <w:rFonts w:ascii="Arial" w:cs="Arial" w:eastAsia="Arial" w:hAnsi="Arial"/>
                <w:sz w:val="12"/>
                <w:szCs w:val="12"/>
                <w:color w:val="474C55"/>
              </w:rPr>
              <w:t>78,061</w:t>
            </w:r>
          </w:p>
        </w:tc>
        <w:tc>
          <w:tcPr>
            <w:tcW w:w="24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3,740,470</w:t>
            </w: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780" w:type="dxa"/>
            <w:vAlign w:val="bottom"/>
          </w:tcPr>
          <w:p>
            <w:pPr>
              <w:jc w:val="right"/>
              <w:ind w:right="202"/>
              <w:spacing w:after="0"/>
              <w:rPr>
                <w:sz w:val="20"/>
                <w:szCs w:val="20"/>
                <w:color w:val="auto"/>
              </w:rPr>
            </w:pPr>
            <w:r>
              <w:rPr>
                <w:rFonts w:ascii="Arial" w:cs="Arial" w:eastAsia="Arial" w:hAnsi="Arial"/>
                <w:sz w:val="12"/>
                <w:szCs w:val="12"/>
                <w:color w:val="474C55"/>
              </w:rPr>
              <w:t>2022</w:t>
            </w:r>
          </w:p>
        </w:tc>
        <w:tc>
          <w:tcPr>
            <w:tcW w:w="1360" w:type="dxa"/>
            <w:vAlign w:val="bottom"/>
          </w:tcPr>
          <w:p>
            <w:pPr>
              <w:jc w:val="right"/>
              <w:ind w:right="122"/>
              <w:spacing w:after="0"/>
              <w:rPr>
                <w:sz w:val="20"/>
                <w:szCs w:val="20"/>
                <w:color w:val="auto"/>
              </w:rPr>
            </w:pPr>
            <w:r>
              <w:rPr>
                <w:rFonts w:ascii="Arial" w:cs="Arial" w:eastAsia="Arial" w:hAnsi="Arial"/>
                <w:sz w:val="12"/>
                <w:szCs w:val="12"/>
                <w:color w:val="474C55"/>
              </w:rPr>
              <w:t>1,000,000</w:t>
            </w:r>
          </w:p>
        </w:tc>
        <w:tc>
          <w:tcPr>
            <w:tcW w:w="1500" w:type="dxa"/>
            <w:vAlign w:val="bottom"/>
          </w:tcPr>
          <w:p>
            <w:pPr>
              <w:jc w:val="right"/>
              <w:ind w:right="162"/>
              <w:spacing w:after="0"/>
              <w:rPr>
                <w:sz w:val="20"/>
                <w:szCs w:val="20"/>
                <w:color w:val="auto"/>
              </w:rPr>
            </w:pPr>
            <w:r>
              <w:rPr>
                <w:rFonts w:ascii="Arial" w:cs="Arial" w:eastAsia="Arial" w:hAnsi="Arial"/>
                <w:sz w:val="12"/>
                <w:szCs w:val="12"/>
                <w:color w:val="474C55"/>
              </w:rPr>
              <w:t>-</w:t>
            </w:r>
          </w:p>
        </w:tc>
        <w:tc>
          <w:tcPr>
            <w:tcW w:w="1440" w:type="dxa"/>
            <w:vAlign w:val="bottom"/>
          </w:tcPr>
          <w:p>
            <w:pPr>
              <w:jc w:val="right"/>
              <w:ind w:right="123"/>
              <w:spacing w:after="0"/>
              <w:rPr>
                <w:sz w:val="20"/>
                <w:szCs w:val="20"/>
                <w:color w:val="auto"/>
              </w:rPr>
            </w:pPr>
            <w:r>
              <w:rPr>
                <w:rFonts w:ascii="Arial" w:cs="Arial" w:eastAsia="Arial" w:hAnsi="Arial"/>
                <w:sz w:val="12"/>
                <w:szCs w:val="12"/>
                <w:color w:val="474C55"/>
              </w:rPr>
              <w:t>1,450,500</w:t>
            </w:r>
          </w:p>
        </w:tc>
        <w:tc>
          <w:tcPr>
            <w:tcW w:w="1640" w:type="dxa"/>
            <w:vAlign w:val="bottom"/>
          </w:tcPr>
          <w:p>
            <w:pPr>
              <w:jc w:val="right"/>
              <w:ind w:right="82"/>
              <w:spacing w:after="0"/>
              <w:rPr>
                <w:sz w:val="20"/>
                <w:szCs w:val="20"/>
                <w:color w:val="auto"/>
              </w:rPr>
            </w:pPr>
            <w:r>
              <w:rPr>
                <w:rFonts w:ascii="Arial" w:cs="Arial" w:eastAsia="Arial" w:hAnsi="Arial"/>
                <w:sz w:val="12"/>
                <w:szCs w:val="12"/>
                <w:color w:val="474C55"/>
              </w:rPr>
              <w:t>-</w:t>
            </w:r>
          </w:p>
        </w:tc>
        <w:tc>
          <w:tcPr>
            <w:tcW w:w="1040" w:type="dxa"/>
            <w:vAlign w:val="bottom"/>
          </w:tcPr>
          <w:p>
            <w:pPr>
              <w:jc w:val="right"/>
              <w:ind w:right="2"/>
              <w:spacing w:after="0"/>
              <w:rPr>
                <w:sz w:val="20"/>
                <w:szCs w:val="20"/>
                <w:color w:val="auto"/>
              </w:rPr>
            </w:pPr>
            <w:r>
              <w:rPr>
                <w:rFonts w:ascii="Arial" w:cs="Arial" w:eastAsia="Arial" w:hAnsi="Arial"/>
                <w:sz w:val="12"/>
                <w:szCs w:val="12"/>
                <w:color w:val="474C55"/>
              </w:rPr>
              <w:t>87,880</w:t>
            </w:r>
          </w:p>
        </w:tc>
        <w:tc>
          <w:tcPr>
            <w:tcW w:w="240" w:type="dxa"/>
            <w:vAlign w:val="bottom"/>
          </w:tcPr>
          <w:p>
            <w:pPr>
              <w:spacing w:after="0"/>
              <w:rPr>
                <w:sz w:val="14"/>
                <w:szCs w:val="14"/>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2,538,380</w:t>
            </w:r>
          </w:p>
        </w:tc>
        <w:tc>
          <w:tcPr>
            <w:tcW w:w="0" w:type="dxa"/>
            <w:vAlign w:val="bottom"/>
          </w:tcPr>
          <w:p>
            <w:pPr>
              <w:spacing w:after="0"/>
              <w:rPr>
                <w:sz w:val="1"/>
                <w:szCs w:val="1"/>
                <w:color w:val="auto"/>
              </w:rPr>
            </w:pPr>
          </w:p>
        </w:tc>
      </w:tr>
      <w:tr>
        <w:trPr>
          <w:trHeight w:val="185"/>
        </w:trPr>
        <w:tc>
          <w:tcPr>
            <w:tcW w:w="2260" w:type="dxa"/>
            <w:vAlign w:val="bottom"/>
            <w:shd w:val="clear" w:color="auto" w:fill="E5E6E6"/>
          </w:tcPr>
          <w:p>
            <w:pPr>
              <w:ind w:left="60"/>
              <w:spacing w:after="0"/>
              <w:rPr>
                <w:sz w:val="20"/>
                <w:szCs w:val="20"/>
                <w:color w:val="auto"/>
              </w:rPr>
            </w:pPr>
            <w:r>
              <w:rPr>
                <w:rFonts w:ascii="Arial" w:cs="Arial" w:eastAsia="Arial" w:hAnsi="Arial"/>
                <w:sz w:val="12"/>
                <w:szCs w:val="12"/>
                <w:b w:val="1"/>
                <w:bCs w:val="1"/>
                <w:color w:val="474C55"/>
              </w:rPr>
              <w:t>Jefferson L. Harralson</w:t>
            </w:r>
          </w:p>
        </w:tc>
        <w:tc>
          <w:tcPr>
            <w:tcW w:w="780" w:type="dxa"/>
            <w:vAlign w:val="bottom"/>
            <w:shd w:val="clear" w:color="auto" w:fill="E5E6E6"/>
          </w:tcPr>
          <w:p>
            <w:pPr>
              <w:jc w:val="right"/>
              <w:ind w:right="202"/>
              <w:spacing w:after="0"/>
              <w:rPr>
                <w:sz w:val="20"/>
                <w:szCs w:val="20"/>
                <w:color w:val="auto"/>
              </w:rPr>
            </w:pPr>
            <w:r>
              <w:rPr>
                <w:rFonts w:ascii="Arial" w:cs="Arial" w:eastAsia="Arial" w:hAnsi="Arial"/>
                <w:sz w:val="12"/>
                <w:szCs w:val="12"/>
                <w:color w:val="474C55"/>
              </w:rPr>
              <w:t>2024</w:t>
            </w:r>
          </w:p>
        </w:tc>
        <w:tc>
          <w:tcPr>
            <w:tcW w:w="1360" w:type="dxa"/>
            <w:vAlign w:val="bottom"/>
            <w:shd w:val="clear" w:color="auto" w:fill="E5E6E6"/>
          </w:tcPr>
          <w:p>
            <w:pPr>
              <w:jc w:val="right"/>
              <w:ind w:right="122"/>
              <w:spacing w:after="0"/>
              <w:rPr>
                <w:sz w:val="20"/>
                <w:szCs w:val="20"/>
                <w:color w:val="auto"/>
              </w:rPr>
            </w:pPr>
            <w:r>
              <w:rPr>
                <w:rFonts w:ascii="Arial" w:cs="Arial" w:eastAsia="Arial" w:hAnsi="Arial"/>
                <w:sz w:val="12"/>
                <w:szCs w:val="12"/>
                <w:color w:val="474C55"/>
              </w:rPr>
              <w:t>540,000</w:t>
            </w:r>
          </w:p>
        </w:tc>
        <w:tc>
          <w:tcPr>
            <w:tcW w:w="1500" w:type="dxa"/>
            <w:vAlign w:val="bottom"/>
            <w:shd w:val="clear" w:color="auto" w:fill="E5E6E6"/>
          </w:tcPr>
          <w:p>
            <w:pPr>
              <w:jc w:val="right"/>
              <w:ind w:right="162"/>
              <w:spacing w:after="0"/>
              <w:rPr>
                <w:sz w:val="20"/>
                <w:szCs w:val="20"/>
                <w:color w:val="auto"/>
              </w:rPr>
            </w:pPr>
            <w:r>
              <w:rPr>
                <w:rFonts w:ascii="Arial" w:cs="Arial" w:eastAsia="Arial" w:hAnsi="Arial"/>
                <w:sz w:val="12"/>
                <w:szCs w:val="12"/>
                <w:color w:val="474C55"/>
              </w:rPr>
              <w:t>526,805</w:t>
            </w:r>
          </w:p>
        </w:tc>
        <w:tc>
          <w:tcPr>
            <w:tcW w:w="1440" w:type="dxa"/>
            <w:vAlign w:val="bottom"/>
            <w:shd w:val="clear" w:color="auto" w:fill="E5E6E6"/>
          </w:tcPr>
          <w:p>
            <w:pPr>
              <w:jc w:val="right"/>
              <w:ind w:right="123"/>
              <w:spacing w:after="0"/>
              <w:rPr>
                <w:sz w:val="20"/>
                <w:szCs w:val="20"/>
                <w:color w:val="auto"/>
              </w:rPr>
            </w:pPr>
            <w:r>
              <w:rPr>
                <w:rFonts w:ascii="Arial" w:cs="Arial" w:eastAsia="Arial" w:hAnsi="Arial"/>
                <w:sz w:val="12"/>
                <w:szCs w:val="12"/>
                <w:color w:val="474C55"/>
              </w:rPr>
              <w:t>483,469</w:t>
            </w:r>
          </w:p>
        </w:tc>
        <w:tc>
          <w:tcPr>
            <w:tcW w:w="1640" w:type="dxa"/>
            <w:vAlign w:val="bottom"/>
            <w:shd w:val="clear" w:color="auto" w:fill="E5E6E6"/>
          </w:tcPr>
          <w:p>
            <w:pPr>
              <w:jc w:val="right"/>
              <w:ind w:right="82"/>
              <w:spacing w:after="0"/>
              <w:rPr>
                <w:sz w:val="20"/>
                <w:szCs w:val="20"/>
                <w:color w:val="auto"/>
              </w:rPr>
            </w:pPr>
            <w:r>
              <w:rPr>
                <w:rFonts w:ascii="Arial" w:cs="Arial" w:eastAsia="Arial" w:hAnsi="Arial"/>
                <w:sz w:val="12"/>
                <w:szCs w:val="12"/>
                <w:color w:val="474C55"/>
              </w:rPr>
              <w:t>47,414</w:t>
            </w:r>
          </w:p>
        </w:tc>
        <w:tc>
          <w:tcPr>
            <w:tcW w:w="1040" w:type="dxa"/>
            <w:vAlign w:val="bottom"/>
            <w:shd w:val="clear" w:color="auto" w:fill="E5E6E6"/>
          </w:tcPr>
          <w:p>
            <w:pPr>
              <w:jc w:val="right"/>
              <w:ind w:right="2"/>
              <w:spacing w:after="0"/>
              <w:rPr>
                <w:sz w:val="20"/>
                <w:szCs w:val="20"/>
                <w:color w:val="auto"/>
              </w:rPr>
            </w:pPr>
            <w:r>
              <w:rPr>
                <w:rFonts w:ascii="Arial" w:cs="Arial" w:eastAsia="Arial" w:hAnsi="Arial"/>
                <w:sz w:val="12"/>
                <w:szCs w:val="12"/>
                <w:color w:val="474C55"/>
              </w:rPr>
              <w:t>57,692</w:t>
            </w:r>
          </w:p>
        </w:tc>
        <w:tc>
          <w:tcPr>
            <w:tcW w:w="240" w:type="dxa"/>
            <w:vAlign w:val="bottom"/>
            <w:shd w:val="clear" w:color="auto" w:fill="E5E6E6"/>
          </w:tcPr>
          <w:p>
            <w:pPr>
              <w:spacing w:after="0"/>
              <w:rPr>
                <w:sz w:val="16"/>
                <w:szCs w:val="16"/>
                <w:color w:val="auto"/>
              </w:rPr>
            </w:pPr>
          </w:p>
        </w:tc>
        <w:tc>
          <w:tcPr>
            <w:tcW w:w="980" w:type="dxa"/>
            <w:vAlign w:val="bottom"/>
            <w:shd w:val="clear" w:color="auto" w:fill="E5E6E6"/>
          </w:tcPr>
          <w:p>
            <w:pPr>
              <w:jc w:val="right"/>
              <w:ind w:right="102"/>
              <w:spacing w:after="0"/>
              <w:rPr>
                <w:sz w:val="20"/>
                <w:szCs w:val="20"/>
                <w:color w:val="auto"/>
              </w:rPr>
            </w:pPr>
            <w:r>
              <w:rPr>
                <w:rFonts w:ascii="Arial" w:cs="Arial" w:eastAsia="Arial" w:hAnsi="Arial"/>
                <w:sz w:val="12"/>
                <w:szCs w:val="12"/>
                <w:color w:val="auto"/>
              </w:rPr>
              <w:t>1,655,380</w:t>
            </w:r>
          </w:p>
        </w:tc>
        <w:tc>
          <w:tcPr>
            <w:tcW w:w="0" w:type="dxa"/>
            <w:vAlign w:val="bottom"/>
          </w:tcPr>
          <w:p>
            <w:pPr>
              <w:spacing w:after="0"/>
              <w:rPr>
                <w:sz w:val="1"/>
                <w:szCs w:val="1"/>
                <w:color w:val="auto"/>
              </w:rPr>
            </w:pPr>
          </w:p>
        </w:tc>
      </w:tr>
      <w:tr>
        <w:trPr>
          <w:trHeight w:val="141"/>
        </w:trPr>
        <w:tc>
          <w:tcPr>
            <w:tcW w:w="2260" w:type="dxa"/>
            <w:vAlign w:val="bottom"/>
            <w:shd w:val="clear" w:color="auto" w:fill="E5E6E6"/>
          </w:tcPr>
          <w:p>
            <w:pPr>
              <w:ind w:left="60"/>
              <w:spacing w:after="0"/>
              <w:rPr>
                <w:sz w:val="20"/>
                <w:szCs w:val="20"/>
                <w:color w:val="auto"/>
              </w:rPr>
            </w:pPr>
            <w:r>
              <w:rPr>
                <w:rFonts w:ascii="Arial" w:cs="Arial" w:eastAsia="Arial" w:hAnsi="Arial"/>
                <w:sz w:val="12"/>
                <w:szCs w:val="12"/>
                <w:color w:val="474C55"/>
              </w:rPr>
              <w:t>Executive Vice President</w:t>
            </w:r>
          </w:p>
        </w:tc>
        <w:tc>
          <w:tcPr>
            <w:tcW w:w="780" w:type="dxa"/>
            <w:vAlign w:val="bottom"/>
            <w:shd w:val="clear" w:color="auto" w:fill="E5E6E6"/>
          </w:tcPr>
          <w:p>
            <w:pPr>
              <w:jc w:val="right"/>
              <w:ind w:right="202"/>
              <w:spacing w:after="0"/>
              <w:rPr>
                <w:sz w:val="20"/>
                <w:szCs w:val="20"/>
                <w:color w:val="auto"/>
              </w:rPr>
            </w:pPr>
            <w:r>
              <w:rPr>
                <w:rFonts w:ascii="Arial" w:cs="Arial" w:eastAsia="Arial" w:hAnsi="Arial"/>
                <w:sz w:val="12"/>
                <w:szCs w:val="12"/>
                <w:color w:val="474C55"/>
              </w:rPr>
              <w:t>2023</w:t>
            </w:r>
          </w:p>
        </w:tc>
        <w:tc>
          <w:tcPr>
            <w:tcW w:w="1360" w:type="dxa"/>
            <w:vAlign w:val="bottom"/>
            <w:shd w:val="clear" w:color="auto" w:fill="E5E6E6"/>
          </w:tcPr>
          <w:p>
            <w:pPr>
              <w:jc w:val="right"/>
              <w:ind w:right="122"/>
              <w:spacing w:after="0"/>
              <w:rPr>
                <w:sz w:val="20"/>
                <w:szCs w:val="20"/>
                <w:color w:val="auto"/>
              </w:rPr>
            </w:pPr>
            <w:r>
              <w:rPr>
                <w:rFonts w:ascii="Arial" w:cs="Arial" w:eastAsia="Arial" w:hAnsi="Arial"/>
                <w:sz w:val="12"/>
                <w:szCs w:val="12"/>
                <w:color w:val="474C55"/>
              </w:rPr>
              <w:t>515,000</w:t>
            </w:r>
          </w:p>
        </w:tc>
        <w:tc>
          <w:tcPr>
            <w:tcW w:w="1500" w:type="dxa"/>
            <w:vAlign w:val="bottom"/>
            <w:shd w:val="clear" w:color="auto" w:fill="E5E6E6"/>
          </w:tcPr>
          <w:p>
            <w:pPr>
              <w:jc w:val="right"/>
              <w:ind w:right="162"/>
              <w:spacing w:after="0"/>
              <w:rPr>
                <w:sz w:val="20"/>
                <w:szCs w:val="20"/>
                <w:color w:val="auto"/>
              </w:rPr>
            </w:pPr>
            <w:r>
              <w:rPr>
                <w:rFonts w:ascii="Arial" w:cs="Arial" w:eastAsia="Arial" w:hAnsi="Arial"/>
                <w:sz w:val="12"/>
                <w:szCs w:val="12"/>
                <w:color w:val="474C55"/>
              </w:rPr>
              <w:t>512,964</w:t>
            </w:r>
          </w:p>
        </w:tc>
        <w:tc>
          <w:tcPr>
            <w:tcW w:w="1440" w:type="dxa"/>
            <w:vAlign w:val="bottom"/>
            <w:shd w:val="clear" w:color="auto" w:fill="E5E6E6"/>
          </w:tcPr>
          <w:p>
            <w:pPr>
              <w:jc w:val="right"/>
              <w:ind w:right="123"/>
              <w:spacing w:after="0"/>
              <w:rPr>
                <w:sz w:val="20"/>
                <w:szCs w:val="20"/>
                <w:color w:val="auto"/>
              </w:rPr>
            </w:pPr>
            <w:r>
              <w:rPr>
                <w:rFonts w:ascii="Arial" w:cs="Arial" w:eastAsia="Arial" w:hAnsi="Arial"/>
                <w:sz w:val="12"/>
                <w:szCs w:val="12"/>
                <w:color w:val="474C55"/>
              </w:rPr>
              <w:t>178,778</w:t>
            </w:r>
          </w:p>
        </w:tc>
        <w:tc>
          <w:tcPr>
            <w:tcW w:w="1640" w:type="dxa"/>
            <w:vAlign w:val="bottom"/>
            <w:shd w:val="clear" w:color="auto" w:fill="E5E6E6"/>
          </w:tcPr>
          <w:p>
            <w:pPr>
              <w:jc w:val="right"/>
              <w:ind w:right="82"/>
              <w:spacing w:after="0"/>
              <w:rPr>
                <w:sz w:val="20"/>
                <w:szCs w:val="20"/>
                <w:color w:val="auto"/>
              </w:rPr>
            </w:pPr>
            <w:r>
              <w:rPr>
                <w:rFonts w:ascii="Arial" w:cs="Arial" w:eastAsia="Arial" w:hAnsi="Arial"/>
                <w:sz w:val="12"/>
                <w:szCs w:val="12"/>
                <w:color w:val="474C55"/>
              </w:rPr>
              <w:t>103,304</w:t>
            </w:r>
          </w:p>
        </w:tc>
        <w:tc>
          <w:tcPr>
            <w:tcW w:w="1040" w:type="dxa"/>
            <w:vAlign w:val="bottom"/>
            <w:shd w:val="clear" w:color="auto" w:fill="E5E6E6"/>
          </w:tcPr>
          <w:p>
            <w:pPr>
              <w:jc w:val="right"/>
              <w:ind w:right="2"/>
              <w:spacing w:after="0"/>
              <w:rPr>
                <w:sz w:val="20"/>
                <w:szCs w:val="20"/>
                <w:color w:val="auto"/>
              </w:rPr>
            </w:pPr>
            <w:r>
              <w:rPr>
                <w:rFonts w:ascii="Arial" w:cs="Arial" w:eastAsia="Arial" w:hAnsi="Arial"/>
                <w:sz w:val="12"/>
                <w:szCs w:val="12"/>
                <w:color w:val="474C55"/>
              </w:rPr>
              <w:t>61,243</w:t>
            </w:r>
          </w:p>
        </w:tc>
        <w:tc>
          <w:tcPr>
            <w:tcW w:w="240" w:type="dxa"/>
            <w:vAlign w:val="bottom"/>
            <w:shd w:val="clear" w:color="auto" w:fill="E5E6E6"/>
          </w:tcPr>
          <w:p>
            <w:pPr>
              <w:spacing w:after="0"/>
              <w:rPr>
                <w:sz w:val="12"/>
                <w:szCs w:val="12"/>
                <w:color w:val="auto"/>
              </w:rPr>
            </w:pPr>
          </w:p>
        </w:tc>
        <w:tc>
          <w:tcPr>
            <w:tcW w:w="980" w:type="dxa"/>
            <w:vAlign w:val="bottom"/>
            <w:shd w:val="clear" w:color="auto" w:fill="E5E6E6"/>
          </w:tcPr>
          <w:p>
            <w:pPr>
              <w:jc w:val="right"/>
              <w:ind w:right="102"/>
              <w:spacing w:after="0"/>
              <w:rPr>
                <w:sz w:val="20"/>
                <w:szCs w:val="20"/>
                <w:color w:val="auto"/>
              </w:rPr>
            </w:pPr>
            <w:r>
              <w:rPr>
                <w:rFonts w:ascii="Arial" w:cs="Arial" w:eastAsia="Arial" w:hAnsi="Arial"/>
                <w:sz w:val="12"/>
                <w:szCs w:val="12"/>
                <w:color w:val="auto"/>
              </w:rPr>
              <w:t>1,371,289</w:t>
            </w:r>
          </w:p>
        </w:tc>
        <w:tc>
          <w:tcPr>
            <w:tcW w:w="0" w:type="dxa"/>
            <w:vAlign w:val="bottom"/>
          </w:tcPr>
          <w:p>
            <w:pPr>
              <w:spacing w:after="0"/>
              <w:rPr>
                <w:sz w:val="1"/>
                <w:szCs w:val="1"/>
                <w:color w:val="auto"/>
              </w:rPr>
            </w:pPr>
          </w:p>
        </w:tc>
      </w:tr>
      <w:tr>
        <w:trPr>
          <w:trHeight w:val="180"/>
        </w:trPr>
        <w:tc>
          <w:tcPr>
            <w:tcW w:w="2260" w:type="dxa"/>
            <w:vAlign w:val="bottom"/>
            <w:tcBorders>
              <w:bottom w:val="single" w:sz="8" w:color="E5E6E6"/>
            </w:tcBorders>
            <w:shd w:val="clear" w:color="auto" w:fill="E5E6E6"/>
          </w:tcPr>
          <w:p>
            <w:pPr>
              <w:ind w:left="60"/>
              <w:spacing w:after="0"/>
              <w:rPr>
                <w:sz w:val="20"/>
                <w:szCs w:val="20"/>
                <w:color w:val="auto"/>
              </w:rPr>
            </w:pPr>
            <w:r>
              <w:rPr>
                <w:rFonts w:ascii="Arial" w:cs="Arial" w:eastAsia="Arial" w:hAnsi="Arial"/>
                <w:sz w:val="12"/>
                <w:szCs w:val="12"/>
                <w:color w:val="474C55"/>
              </w:rPr>
              <w:t>Chief Financial Officer</w:t>
            </w:r>
          </w:p>
        </w:tc>
        <w:tc>
          <w:tcPr>
            <w:tcW w:w="780" w:type="dxa"/>
            <w:vAlign w:val="bottom"/>
            <w:tcBorders>
              <w:bottom w:val="single" w:sz="8" w:color="E5E6E6"/>
            </w:tcBorders>
            <w:shd w:val="clear" w:color="auto" w:fill="E5E6E6"/>
          </w:tcPr>
          <w:p>
            <w:pPr>
              <w:jc w:val="right"/>
              <w:ind w:right="202"/>
              <w:spacing w:after="0"/>
              <w:rPr>
                <w:sz w:val="20"/>
                <w:szCs w:val="20"/>
                <w:color w:val="auto"/>
              </w:rPr>
            </w:pPr>
            <w:r>
              <w:rPr>
                <w:rFonts w:ascii="Arial" w:cs="Arial" w:eastAsia="Arial" w:hAnsi="Arial"/>
                <w:sz w:val="12"/>
                <w:szCs w:val="12"/>
                <w:color w:val="474C55"/>
              </w:rPr>
              <w:t>2022</w:t>
            </w:r>
          </w:p>
        </w:tc>
        <w:tc>
          <w:tcPr>
            <w:tcW w:w="1360" w:type="dxa"/>
            <w:vAlign w:val="bottom"/>
            <w:tcBorders>
              <w:bottom w:val="single" w:sz="8" w:color="E5E6E6"/>
            </w:tcBorders>
            <w:shd w:val="clear" w:color="auto" w:fill="E5E6E6"/>
          </w:tcPr>
          <w:p>
            <w:pPr>
              <w:jc w:val="right"/>
              <w:ind w:right="122"/>
              <w:spacing w:after="0"/>
              <w:rPr>
                <w:sz w:val="20"/>
                <w:szCs w:val="20"/>
                <w:color w:val="auto"/>
              </w:rPr>
            </w:pPr>
            <w:r>
              <w:rPr>
                <w:rFonts w:ascii="Arial" w:cs="Arial" w:eastAsia="Arial" w:hAnsi="Arial"/>
                <w:sz w:val="12"/>
                <w:szCs w:val="12"/>
                <w:color w:val="474C55"/>
              </w:rPr>
              <w:t>515,000</w:t>
            </w:r>
          </w:p>
        </w:tc>
        <w:tc>
          <w:tcPr>
            <w:tcW w:w="1500" w:type="dxa"/>
            <w:vAlign w:val="bottom"/>
            <w:tcBorders>
              <w:bottom w:val="single" w:sz="8" w:color="E5E6E6"/>
            </w:tcBorders>
            <w:shd w:val="clear" w:color="auto" w:fill="E5E6E6"/>
          </w:tcPr>
          <w:p>
            <w:pPr>
              <w:jc w:val="right"/>
              <w:ind w:right="162"/>
              <w:spacing w:after="0"/>
              <w:rPr>
                <w:sz w:val="20"/>
                <w:szCs w:val="20"/>
                <w:color w:val="auto"/>
              </w:rPr>
            </w:pPr>
            <w:r>
              <w:rPr>
                <w:rFonts w:ascii="Arial" w:cs="Arial" w:eastAsia="Arial" w:hAnsi="Arial"/>
                <w:sz w:val="12"/>
                <w:szCs w:val="12"/>
                <w:color w:val="474C55"/>
              </w:rPr>
              <w:t>-</w:t>
            </w:r>
          </w:p>
        </w:tc>
        <w:tc>
          <w:tcPr>
            <w:tcW w:w="1440" w:type="dxa"/>
            <w:vAlign w:val="bottom"/>
            <w:tcBorders>
              <w:bottom w:val="single" w:sz="8" w:color="E5E6E6"/>
            </w:tcBorders>
            <w:shd w:val="clear" w:color="auto" w:fill="E5E6E6"/>
          </w:tcPr>
          <w:p>
            <w:pPr>
              <w:jc w:val="right"/>
              <w:ind w:right="123"/>
              <w:spacing w:after="0"/>
              <w:rPr>
                <w:sz w:val="20"/>
                <w:szCs w:val="20"/>
                <w:color w:val="auto"/>
              </w:rPr>
            </w:pPr>
            <w:r>
              <w:rPr>
                <w:rFonts w:ascii="Arial" w:cs="Arial" w:eastAsia="Arial" w:hAnsi="Arial"/>
                <w:sz w:val="12"/>
                <w:szCs w:val="12"/>
                <w:color w:val="474C55"/>
              </w:rPr>
              <w:t>485,555</w:t>
            </w:r>
          </w:p>
        </w:tc>
        <w:tc>
          <w:tcPr>
            <w:tcW w:w="1640" w:type="dxa"/>
            <w:vAlign w:val="bottom"/>
            <w:tcBorders>
              <w:bottom w:val="single" w:sz="8" w:color="E5E6E6"/>
            </w:tcBorders>
            <w:shd w:val="clear" w:color="auto" w:fill="E5E6E6"/>
          </w:tcPr>
          <w:p>
            <w:pPr>
              <w:jc w:val="right"/>
              <w:ind w:right="82"/>
              <w:spacing w:after="0"/>
              <w:rPr>
                <w:sz w:val="20"/>
                <w:szCs w:val="20"/>
                <w:color w:val="auto"/>
              </w:rPr>
            </w:pPr>
            <w:r>
              <w:rPr>
                <w:rFonts w:ascii="Arial" w:cs="Arial" w:eastAsia="Arial" w:hAnsi="Arial"/>
                <w:sz w:val="12"/>
                <w:szCs w:val="12"/>
                <w:color w:val="474C55"/>
              </w:rPr>
              <w:t>-</w:t>
            </w:r>
          </w:p>
        </w:tc>
        <w:tc>
          <w:tcPr>
            <w:tcW w:w="1040" w:type="dxa"/>
            <w:vAlign w:val="bottom"/>
            <w:tcBorders>
              <w:bottom w:val="single" w:sz="8" w:color="E5E6E6"/>
            </w:tcBorders>
            <w:shd w:val="clear" w:color="auto" w:fill="E5E6E6"/>
          </w:tcPr>
          <w:p>
            <w:pPr>
              <w:jc w:val="right"/>
              <w:ind w:right="2"/>
              <w:spacing w:after="0"/>
              <w:rPr>
                <w:sz w:val="20"/>
                <w:szCs w:val="20"/>
                <w:color w:val="auto"/>
              </w:rPr>
            </w:pPr>
            <w:r>
              <w:rPr>
                <w:rFonts w:ascii="Arial" w:cs="Arial" w:eastAsia="Arial" w:hAnsi="Arial"/>
                <w:sz w:val="12"/>
                <w:szCs w:val="12"/>
                <w:color w:val="474C55"/>
              </w:rPr>
              <w:t>48,146</w:t>
            </w:r>
          </w:p>
        </w:tc>
        <w:tc>
          <w:tcPr>
            <w:tcW w:w="240" w:type="dxa"/>
            <w:vAlign w:val="bottom"/>
            <w:tcBorders>
              <w:bottom w:val="single" w:sz="8" w:color="E5E6E6"/>
            </w:tcBorders>
            <w:shd w:val="clear" w:color="auto" w:fill="E5E6E6"/>
          </w:tcPr>
          <w:p>
            <w:pPr>
              <w:spacing w:after="0"/>
              <w:rPr>
                <w:sz w:val="15"/>
                <w:szCs w:val="15"/>
                <w:color w:val="auto"/>
              </w:rPr>
            </w:pPr>
          </w:p>
        </w:tc>
        <w:tc>
          <w:tcPr>
            <w:tcW w:w="980" w:type="dxa"/>
            <w:vAlign w:val="bottom"/>
            <w:tcBorders>
              <w:bottom w:val="single" w:sz="8" w:color="E5E6E6"/>
            </w:tcBorders>
            <w:shd w:val="clear" w:color="auto" w:fill="E5E6E6"/>
          </w:tcPr>
          <w:p>
            <w:pPr>
              <w:jc w:val="right"/>
              <w:ind w:right="102"/>
              <w:spacing w:after="0"/>
              <w:rPr>
                <w:sz w:val="20"/>
                <w:szCs w:val="20"/>
                <w:color w:val="auto"/>
              </w:rPr>
            </w:pPr>
            <w:r>
              <w:rPr>
                <w:rFonts w:ascii="Arial" w:cs="Arial" w:eastAsia="Arial" w:hAnsi="Arial"/>
                <w:sz w:val="12"/>
                <w:szCs w:val="12"/>
                <w:color w:val="auto"/>
              </w:rPr>
              <w:t>1,048,701</w:t>
            </w:r>
          </w:p>
        </w:tc>
        <w:tc>
          <w:tcPr>
            <w:tcW w:w="0" w:type="dxa"/>
            <w:vAlign w:val="bottom"/>
          </w:tcPr>
          <w:p>
            <w:pPr>
              <w:spacing w:after="0"/>
              <w:rPr>
                <w:sz w:val="1"/>
                <w:szCs w:val="1"/>
                <w:color w:val="auto"/>
              </w:rPr>
            </w:pPr>
          </w:p>
        </w:tc>
      </w:tr>
      <w:tr>
        <w:trPr>
          <w:trHeight w:val="160"/>
        </w:trPr>
        <w:tc>
          <w:tcPr>
            <w:tcW w:w="2260" w:type="dxa"/>
            <w:vAlign w:val="bottom"/>
          </w:tcPr>
          <w:p>
            <w:pPr>
              <w:ind w:left="60"/>
              <w:spacing w:after="0"/>
              <w:rPr>
                <w:sz w:val="20"/>
                <w:szCs w:val="20"/>
                <w:color w:val="auto"/>
              </w:rPr>
            </w:pPr>
            <w:r>
              <w:rPr>
                <w:rFonts w:ascii="Arial" w:cs="Arial" w:eastAsia="Arial" w:hAnsi="Arial"/>
                <w:sz w:val="12"/>
                <w:szCs w:val="12"/>
                <w:b w:val="1"/>
                <w:bCs w:val="1"/>
                <w:color w:val="474C55"/>
              </w:rPr>
              <w:t>Richard W. Bradshaw</w:t>
            </w:r>
          </w:p>
        </w:tc>
        <w:tc>
          <w:tcPr>
            <w:tcW w:w="780" w:type="dxa"/>
            <w:vAlign w:val="bottom"/>
          </w:tcPr>
          <w:p>
            <w:pPr>
              <w:jc w:val="right"/>
              <w:ind w:right="202"/>
              <w:spacing w:after="0"/>
              <w:rPr>
                <w:sz w:val="20"/>
                <w:szCs w:val="20"/>
                <w:color w:val="auto"/>
              </w:rPr>
            </w:pPr>
            <w:r>
              <w:rPr>
                <w:rFonts w:ascii="Arial" w:cs="Arial" w:eastAsia="Arial" w:hAnsi="Arial"/>
                <w:sz w:val="12"/>
                <w:szCs w:val="12"/>
                <w:color w:val="474C55"/>
              </w:rPr>
              <w:t>2024</w:t>
            </w:r>
          </w:p>
        </w:tc>
        <w:tc>
          <w:tcPr>
            <w:tcW w:w="1360" w:type="dxa"/>
            <w:vAlign w:val="bottom"/>
          </w:tcPr>
          <w:p>
            <w:pPr>
              <w:jc w:val="right"/>
              <w:ind w:right="122"/>
              <w:spacing w:after="0"/>
              <w:rPr>
                <w:sz w:val="20"/>
                <w:szCs w:val="20"/>
                <w:color w:val="auto"/>
              </w:rPr>
            </w:pPr>
            <w:r>
              <w:rPr>
                <w:rFonts w:ascii="Arial" w:cs="Arial" w:eastAsia="Arial" w:hAnsi="Arial"/>
                <w:sz w:val="12"/>
                <w:szCs w:val="12"/>
                <w:color w:val="474C55"/>
              </w:rPr>
              <w:t>650,000</w:t>
            </w:r>
          </w:p>
        </w:tc>
        <w:tc>
          <w:tcPr>
            <w:tcW w:w="1500" w:type="dxa"/>
            <w:vAlign w:val="bottom"/>
          </w:tcPr>
          <w:p>
            <w:pPr>
              <w:jc w:val="right"/>
              <w:ind w:right="162"/>
              <w:spacing w:after="0"/>
              <w:rPr>
                <w:sz w:val="20"/>
                <w:szCs w:val="20"/>
                <w:color w:val="auto"/>
              </w:rPr>
            </w:pPr>
            <w:r>
              <w:rPr>
                <w:rFonts w:ascii="Arial" w:cs="Arial" w:eastAsia="Arial" w:hAnsi="Arial"/>
                <w:sz w:val="12"/>
                <w:szCs w:val="12"/>
                <w:color w:val="474C55"/>
              </w:rPr>
              <w:t>621,248</w:t>
            </w:r>
          </w:p>
        </w:tc>
        <w:tc>
          <w:tcPr>
            <w:tcW w:w="1440" w:type="dxa"/>
            <w:vAlign w:val="bottom"/>
          </w:tcPr>
          <w:p>
            <w:pPr>
              <w:jc w:val="right"/>
              <w:ind w:right="123"/>
              <w:spacing w:after="0"/>
              <w:rPr>
                <w:sz w:val="20"/>
                <w:szCs w:val="20"/>
                <w:color w:val="auto"/>
              </w:rPr>
            </w:pPr>
            <w:r>
              <w:rPr>
                <w:rFonts w:ascii="Arial" w:cs="Arial" w:eastAsia="Arial" w:hAnsi="Arial"/>
                <w:sz w:val="12"/>
                <w:szCs w:val="12"/>
                <w:color w:val="474C55"/>
              </w:rPr>
              <w:t>741,685</w:t>
            </w:r>
          </w:p>
        </w:tc>
        <w:tc>
          <w:tcPr>
            <w:tcW w:w="1640" w:type="dxa"/>
            <w:vAlign w:val="bottom"/>
          </w:tcPr>
          <w:p>
            <w:pPr>
              <w:jc w:val="right"/>
              <w:ind w:right="82"/>
              <w:spacing w:after="0"/>
              <w:rPr>
                <w:sz w:val="20"/>
                <w:szCs w:val="20"/>
                <w:color w:val="auto"/>
              </w:rPr>
            </w:pPr>
            <w:r>
              <w:rPr>
                <w:rFonts w:ascii="Arial" w:cs="Arial" w:eastAsia="Arial" w:hAnsi="Arial"/>
                <w:sz w:val="12"/>
                <w:szCs w:val="12"/>
                <w:color w:val="474C55"/>
              </w:rPr>
              <w:t>66,775</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69,175</w:t>
            </w:r>
          </w:p>
        </w:tc>
        <w:tc>
          <w:tcPr>
            <w:tcW w:w="240" w:type="dxa"/>
            <w:vAlign w:val="bottom"/>
          </w:tcPr>
          <w:p>
            <w:pPr>
              <w:spacing w:after="0"/>
              <w:rPr>
                <w:sz w:val="13"/>
                <w:szCs w:val="13"/>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2,148,883</w:t>
            </w:r>
          </w:p>
        </w:tc>
        <w:tc>
          <w:tcPr>
            <w:tcW w:w="0" w:type="dxa"/>
            <w:vAlign w:val="bottom"/>
          </w:tcPr>
          <w:p>
            <w:pPr>
              <w:spacing w:after="0"/>
              <w:rPr>
                <w:sz w:val="1"/>
                <w:szCs w:val="1"/>
                <w:color w:val="auto"/>
              </w:rPr>
            </w:pPr>
          </w:p>
        </w:tc>
      </w:tr>
      <w:tr>
        <w:trPr>
          <w:trHeight w:val="125"/>
        </w:trPr>
        <w:tc>
          <w:tcPr>
            <w:tcW w:w="2260" w:type="dxa"/>
            <w:vAlign w:val="bottom"/>
          </w:tcPr>
          <w:p>
            <w:pPr>
              <w:ind w:left="60"/>
              <w:spacing w:after="0" w:line="125" w:lineRule="exact"/>
              <w:rPr>
                <w:sz w:val="20"/>
                <w:szCs w:val="20"/>
                <w:color w:val="auto"/>
              </w:rPr>
            </w:pPr>
            <w:r>
              <w:rPr>
                <w:rFonts w:ascii="Arial" w:cs="Arial" w:eastAsia="Arial" w:hAnsi="Arial"/>
                <w:sz w:val="12"/>
                <w:szCs w:val="12"/>
                <w:color w:val="474C55"/>
              </w:rPr>
              <w:t>Executive Vice President</w:t>
            </w:r>
          </w:p>
        </w:tc>
        <w:tc>
          <w:tcPr>
            <w:tcW w:w="780" w:type="dxa"/>
            <w:vAlign w:val="bottom"/>
            <w:vMerge w:val="restart"/>
          </w:tcPr>
          <w:p>
            <w:pPr>
              <w:jc w:val="right"/>
              <w:ind w:right="202"/>
              <w:spacing w:after="0"/>
              <w:rPr>
                <w:sz w:val="20"/>
                <w:szCs w:val="20"/>
                <w:color w:val="auto"/>
              </w:rPr>
            </w:pPr>
            <w:r>
              <w:rPr>
                <w:rFonts w:ascii="Arial" w:cs="Arial" w:eastAsia="Arial" w:hAnsi="Arial"/>
                <w:sz w:val="12"/>
                <w:szCs w:val="12"/>
                <w:color w:val="474C55"/>
              </w:rPr>
              <w:t>2023</w:t>
            </w:r>
          </w:p>
        </w:tc>
        <w:tc>
          <w:tcPr>
            <w:tcW w:w="1360" w:type="dxa"/>
            <w:vAlign w:val="bottom"/>
            <w:vMerge w:val="restart"/>
          </w:tcPr>
          <w:p>
            <w:pPr>
              <w:jc w:val="right"/>
              <w:ind w:right="122"/>
              <w:spacing w:after="0"/>
              <w:rPr>
                <w:sz w:val="20"/>
                <w:szCs w:val="20"/>
                <w:color w:val="auto"/>
              </w:rPr>
            </w:pPr>
            <w:r>
              <w:rPr>
                <w:rFonts w:ascii="Arial" w:cs="Arial" w:eastAsia="Arial" w:hAnsi="Arial"/>
                <w:sz w:val="12"/>
                <w:szCs w:val="12"/>
                <w:color w:val="474C55"/>
              </w:rPr>
              <w:t>600,000</w:t>
            </w:r>
          </w:p>
        </w:tc>
        <w:tc>
          <w:tcPr>
            <w:tcW w:w="1500" w:type="dxa"/>
            <w:vAlign w:val="bottom"/>
            <w:vMerge w:val="restart"/>
          </w:tcPr>
          <w:p>
            <w:pPr>
              <w:jc w:val="right"/>
              <w:ind w:right="162"/>
              <w:spacing w:after="0"/>
              <w:rPr>
                <w:sz w:val="20"/>
                <w:szCs w:val="20"/>
                <w:color w:val="auto"/>
              </w:rPr>
            </w:pPr>
            <w:r>
              <w:rPr>
                <w:rFonts w:ascii="Arial" w:cs="Arial" w:eastAsia="Arial" w:hAnsi="Arial"/>
                <w:sz w:val="12"/>
                <w:szCs w:val="12"/>
                <w:color w:val="474C55"/>
              </w:rPr>
              <w:t>597,623</w:t>
            </w:r>
          </w:p>
        </w:tc>
        <w:tc>
          <w:tcPr>
            <w:tcW w:w="1440" w:type="dxa"/>
            <w:vAlign w:val="bottom"/>
            <w:vMerge w:val="restart"/>
          </w:tcPr>
          <w:p>
            <w:pPr>
              <w:jc w:val="right"/>
              <w:ind w:right="123"/>
              <w:spacing w:after="0"/>
              <w:rPr>
                <w:sz w:val="20"/>
                <w:szCs w:val="20"/>
                <w:color w:val="auto"/>
              </w:rPr>
            </w:pPr>
            <w:r>
              <w:rPr>
                <w:rFonts w:ascii="Arial" w:cs="Arial" w:eastAsia="Arial" w:hAnsi="Arial"/>
                <w:sz w:val="12"/>
                <w:szCs w:val="12"/>
                <w:color w:val="474C55"/>
              </w:rPr>
              <w:t>208,286</w:t>
            </w:r>
          </w:p>
        </w:tc>
        <w:tc>
          <w:tcPr>
            <w:tcW w:w="1640" w:type="dxa"/>
            <w:vAlign w:val="bottom"/>
            <w:vMerge w:val="restart"/>
          </w:tcPr>
          <w:p>
            <w:pPr>
              <w:jc w:val="right"/>
              <w:ind w:right="82"/>
              <w:spacing w:after="0"/>
              <w:rPr>
                <w:sz w:val="20"/>
                <w:szCs w:val="20"/>
                <w:color w:val="auto"/>
              </w:rPr>
            </w:pPr>
            <w:r>
              <w:rPr>
                <w:rFonts w:ascii="Arial" w:cs="Arial" w:eastAsia="Arial" w:hAnsi="Arial"/>
                <w:sz w:val="12"/>
                <w:szCs w:val="12"/>
                <w:color w:val="474C55"/>
              </w:rPr>
              <w:t>143,094</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54,659</w:t>
            </w:r>
          </w:p>
        </w:tc>
        <w:tc>
          <w:tcPr>
            <w:tcW w:w="240" w:type="dxa"/>
            <w:vAlign w:val="bottom"/>
          </w:tcPr>
          <w:p>
            <w:pPr>
              <w:spacing w:after="0"/>
              <w:rPr>
                <w:sz w:val="10"/>
                <w:szCs w:val="10"/>
                <w:color w:val="auto"/>
              </w:rPr>
            </w:pPr>
          </w:p>
        </w:tc>
        <w:tc>
          <w:tcPr>
            <w:tcW w:w="980" w:type="dxa"/>
            <w:vAlign w:val="bottom"/>
            <w:vMerge w:val="restart"/>
          </w:tcPr>
          <w:p>
            <w:pPr>
              <w:jc w:val="right"/>
              <w:ind w:right="102"/>
              <w:spacing w:after="0"/>
              <w:rPr>
                <w:sz w:val="20"/>
                <w:szCs w:val="20"/>
                <w:color w:val="auto"/>
              </w:rPr>
            </w:pPr>
            <w:r>
              <w:rPr>
                <w:rFonts w:ascii="Arial" w:cs="Arial" w:eastAsia="Arial" w:hAnsi="Arial"/>
                <w:sz w:val="12"/>
                <w:szCs w:val="12"/>
                <w:color w:val="auto"/>
              </w:rPr>
              <w:t>1,603,662</w:t>
            </w:r>
          </w:p>
        </w:tc>
        <w:tc>
          <w:tcPr>
            <w:tcW w:w="0" w:type="dxa"/>
            <w:vAlign w:val="bottom"/>
          </w:tcPr>
          <w:p>
            <w:pPr>
              <w:spacing w:after="0"/>
              <w:rPr>
                <w:sz w:val="1"/>
                <w:szCs w:val="1"/>
                <w:color w:val="auto"/>
              </w:rPr>
            </w:pPr>
          </w:p>
        </w:tc>
      </w:tr>
      <w:tr>
        <w:trPr>
          <w:trHeight w:val="77"/>
        </w:trPr>
        <w:tc>
          <w:tcPr>
            <w:tcW w:w="2260" w:type="dxa"/>
            <w:vAlign w:val="bottom"/>
            <w:vMerge w:val="restart"/>
          </w:tcPr>
          <w:p>
            <w:pPr>
              <w:ind w:left="60"/>
              <w:spacing w:after="0"/>
              <w:rPr>
                <w:sz w:val="20"/>
                <w:szCs w:val="20"/>
                <w:color w:val="auto"/>
              </w:rPr>
            </w:pPr>
            <w:r>
              <w:rPr>
                <w:rFonts w:ascii="Arial" w:cs="Arial" w:eastAsia="Arial" w:hAnsi="Arial"/>
                <w:sz w:val="12"/>
                <w:szCs w:val="12"/>
                <w:color w:val="474C55"/>
              </w:rPr>
              <w:t>Chief Banking Officer</w:t>
            </w:r>
          </w:p>
        </w:tc>
        <w:tc>
          <w:tcPr>
            <w:tcW w:w="7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260" w:type="dxa"/>
            <w:vAlign w:val="bottom"/>
            <w:vMerge w:val="continue"/>
          </w:tcPr>
          <w:p>
            <w:pPr>
              <w:spacing w:after="0"/>
              <w:rPr>
                <w:sz w:val="6"/>
                <w:szCs w:val="6"/>
                <w:color w:val="auto"/>
              </w:rPr>
            </w:pPr>
          </w:p>
        </w:tc>
        <w:tc>
          <w:tcPr>
            <w:tcW w:w="780" w:type="dxa"/>
            <w:vAlign w:val="bottom"/>
            <w:vMerge w:val="restart"/>
          </w:tcPr>
          <w:p>
            <w:pPr>
              <w:jc w:val="right"/>
              <w:ind w:right="202"/>
              <w:spacing w:after="0"/>
              <w:rPr>
                <w:sz w:val="20"/>
                <w:szCs w:val="20"/>
                <w:color w:val="auto"/>
              </w:rPr>
            </w:pPr>
            <w:r>
              <w:rPr>
                <w:rFonts w:ascii="Arial" w:cs="Arial" w:eastAsia="Arial" w:hAnsi="Arial"/>
                <w:sz w:val="12"/>
                <w:szCs w:val="12"/>
                <w:color w:val="474C55"/>
              </w:rPr>
              <w:t>2022</w:t>
            </w:r>
          </w:p>
        </w:tc>
        <w:tc>
          <w:tcPr>
            <w:tcW w:w="1360" w:type="dxa"/>
            <w:vAlign w:val="bottom"/>
            <w:vMerge w:val="restart"/>
          </w:tcPr>
          <w:p>
            <w:pPr>
              <w:jc w:val="right"/>
              <w:ind w:right="122"/>
              <w:spacing w:after="0"/>
              <w:rPr>
                <w:sz w:val="20"/>
                <w:szCs w:val="20"/>
                <w:color w:val="auto"/>
              </w:rPr>
            </w:pPr>
            <w:r>
              <w:rPr>
                <w:rFonts w:ascii="Arial" w:cs="Arial" w:eastAsia="Arial" w:hAnsi="Arial"/>
                <w:sz w:val="12"/>
                <w:szCs w:val="12"/>
                <w:color w:val="474C55"/>
              </w:rPr>
              <w:t>525,000</w:t>
            </w:r>
          </w:p>
        </w:tc>
        <w:tc>
          <w:tcPr>
            <w:tcW w:w="1500" w:type="dxa"/>
            <w:vAlign w:val="bottom"/>
            <w:vMerge w:val="restart"/>
          </w:tcPr>
          <w:p>
            <w:pPr>
              <w:jc w:val="right"/>
              <w:ind w:right="162"/>
              <w:spacing w:after="0"/>
              <w:rPr>
                <w:sz w:val="20"/>
                <w:szCs w:val="20"/>
                <w:color w:val="auto"/>
              </w:rPr>
            </w:pPr>
            <w:r>
              <w:rPr>
                <w:rFonts w:ascii="Arial" w:cs="Arial" w:eastAsia="Arial" w:hAnsi="Arial"/>
                <w:sz w:val="12"/>
                <w:szCs w:val="12"/>
                <w:color w:val="474C55"/>
              </w:rPr>
              <w:t>-</w:t>
            </w:r>
          </w:p>
        </w:tc>
        <w:tc>
          <w:tcPr>
            <w:tcW w:w="1440" w:type="dxa"/>
            <w:vAlign w:val="bottom"/>
            <w:vMerge w:val="restart"/>
          </w:tcPr>
          <w:p>
            <w:pPr>
              <w:jc w:val="right"/>
              <w:ind w:right="123"/>
              <w:spacing w:after="0"/>
              <w:rPr>
                <w:sz w:val="20"/>
                <w:szCs w:val="20"/>
                <w:color w:val="auto"/>
              </w:rPr>
            </w:pPr>
            <w:r>
              <w:rPr>
                <w:rFonts w:ascii="Arial" w:cs="Arial" w:eastAsia="Arial" w:hAnsi="Arial"/>
                <w:sz w:val="12"/>
                <w:szCs w:val="12"/>
                <w:color w:val="474C55"/>
              </w:rPr>
              <w:t>494,983</w:t>
            </w:r>
          </w:p>
        </w:tc>
        <w:tc>
          <w:tcPr>
            <w:tcW w:w="164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46,722</w:t>
            </w:r>
          </w:p>
        </w:tc>
        <w:tc>
          <w:tcPr>
            <w:tcW w:w="240" w:type="dxa"/>
            <w:vAlign w:val="bottom"/>
          </w:tcPr>
          <w:p>
            <w:pPr>
              <w:spacing w:after="0"/>
              <w:rPr>
                <w:sz w:val="6"/>
                <w:szCs w:val="6"/>
                <w:color w:val="auto"/>
              </w:rPr>
            </w:pPr>
          </w:p>
        </w:tc>
        <w:tc>
          <w:tcPr>
            <w:tcW w:w="980" w:type="dxa"/>
            <w:vAlign w:val="bottom"/>
            <w:vMerge w:val="restart"/>
          </w:tcPr>
          <w:p>
            <w:pPr>
              <w:jc w:val="right"/>
              <w:ind w:right="102"/>
              <w:spacing w:after="0"/>
              <w:rPr>
                <w:sz w:val="20"/>
                <w:szCs w:val="20"/>
                <w:color w:val="auto"/>
              </w:rPr>
            </w:pPr>
            <w:r>
              <w:rPr>
                <w:rFonts w:ascii="Arial" w:cs="Arial" w:eastAsia="Arial" w:hAnsi="Arial"/>
                <w:sz w:val="12"/>
                <w:szCs w:val="12"/>
                <w:color w:val="auto"/>
              </w:rPr>
              <w:t>1,066,705</w:t>
            </w:r>
          </w:p>
        </w:tc>
        <w:tc>
          <w:tcPr>
            <w:tcW w:w="0" w:type="dxa"/>
            <w:vAlign w:val="bottom"/>
          </w:tcPr>
          <w:p>
            <w:pPr>
              <w:spacing w:after="0"/>
              <w:rPr>
                <w:sz w:val="1"/>
                <w:szCs w:val="1"/>
                <w:color w:val="auto"/>
              </w:rPr>
            </w:pPr>
          </w:p>
        </w:tc>
      </w:tr>
      <w:tr>
        <w:trPr>
          <w:trHeight w:val="89"/>
        </w:trPr>
        <w:tc>
          <w:tcPr>
            <w:tcW w:w="22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60" w:type="dxa"/>
            <w:vAlign w:val="bottom"/>
            <w:shd w:val="clear" w:color="auto" w:fill="E7E6E6"/>
          </w:tcPr>
          <w:p>
            <w:pPr>
              <w:ind w:left="60"/>
              <w:spacing w:after="0"/>
              <w:rPr>
                <w:sz w:val="20"/>
                <w:szCs w:val="20"/>
                <w:color w:val="auto"/>
              </w:rPr>
            </w:pPr>
            <w:r>
              <w:rPr>
                <w:rFonts w:ascii="Arial" w:cs="Arial" w:eastAsia="Arial" w:hAnsi="Arial"/>
                <w:sz w:val="12"/>
                <w:szCs w:val="12"/>
                <w:b w:val="1"/>
                <w:bCs w:val="1"/>
                <w:color w:val="474C55"/>
              </w:rPr>
              <w:t>Melinda Davis Lux</w:t>
            </w:r>
          </w:p>
        </w:tc>
        <w:tc>
          <w:tcPr>
            <w:tcW w:w="780" w:type="dxa"/>
            <w:vAlign w:val="bottom"/>
            <w:shd w:val="clear" w:color="auto" w:fill="E7E6E6"/>
          </w:tcPr>
          <w:p>
            <w:pPr>
              <w:jc w:val="right"/>
              <w:ind w:right="202"/>
              <w:spacing w:after="0"/>
              <w:rPr>
                <w:sz w:val="20"/>
                <w:szCs w:val="20"/>
                <w:color w:val="auto"/>
              </w:rPr>
            </w:pPr>
            <w:r>
              <w:rPr>
                <w:rFonts w:ascii="Arial" w:cs="Arial" w:eastAsia="Arial" w:hAnsi="Arial"/>
                <w:sz w:val="12"/>
                <w:szCs w:val="12"/>
                <w:color w:val="474C55"/>
              </w:rPr>
              <w:t>2024</w:t>
            </w:r>
          </w:p>
        </w:tc>
        <w:tc>
          <w:tcPr>
            <w:tcW w:w="1360" w:type="dxa"/>
            <w:vAlign w:val="bottom"/>
            <w:shd w:val="clear" w:color="auto" w:fill="E7E6E6"/>
          </w:tcPr>
          <w:p>
            <w:pPr>
              <w:jc w:val="right"/>
              <w:ind w:right="122"/>
              <w:spacing w:after="0"/>
              <w:rPr>
                <w:sz w:val="20"/>
                <w:szCs w:val="20"/>
                <w:color w:val="auto"/>
              </w:rPr>
            </w:pPr>
            <w:r>
              <w:rPr>
                <w:rFonts w:ascii="Arial" w:cs="Arial" w:eastAsia="Arial" w:hAnsi="Arial"/>
                <w:sz w:val="12"/>
                <w:szCs w:val="12"/>
                <w:color w:val="474C55"/>
              </w:rPr>
              <w:t>512,500</w:t>
            </w:r>
          </w:p>
        </w:tc>
        <w:tc>
          <w:tcPr>
            <w:tcW w:w="1500" w:type="dxa"/>
            <w:vAlign w:val="bottom"/>
            <w:shd w:val="clear" w:color="auto" w:fill="E7E6E6"/>
          </w:tcPr>
          <w:p>
            <w:pPr>
              <w:jc w:val="right"/>
              <w:ind w:right="162"/>
              <w:spacing w:after="0"/>
              <w:rPr>
                <w:sz w:val="20"/>
                <w:szCs w:val="20"/>
                <w:color w:val="auto"/>
              </w:rPr>
            </w:pPr>
            <w:r>
              <w:rPr>
                <w:rFonts w:ascii="Arial" w:cs="Arial" w:eastAsia="Arial" w:hAnsi="Arial"/>
                <w:sz w:val="12"/>
                <w:szCs w:val="12"/>
                <w:color w:val="474C55"/>
              </w:rPr>
              <w:t>472,160</w:t>
            </w:r>
          </w:p>
        </w:tc>
        <w:tc>
          <w:tcPr>
            <w:tcW w:w="1440" w:type="dxa"/>
            <w:vAlign w:val="bottom"/>
            <w:shd w:val="clear" w:color="auto" w:fill="E7E6E6"/>
          </w:tcPr>
          <w:p>
            <w:pPr>
              <w:jc w:val="right"/>
              <w:ind w:right="123"/>
              <w:spacing w:after="0"/>
              <w:rPr>
                <w:sz w:val="20"/>
                <w:szCs w:val="20"/>
                <w:color w:val="auto"/>
              </w:rPr>
            </w:pPr>
            <w:r>
              <w:rPr>
                <w:rFonts w:ascii="Arial" w:cs="Arial" w:eastAsia="Arial" w:hAnsi="Arial"/>
                <w:sz w:val="12"/>
                <w:szCs w:val="12"/>
                <w:color w:val="474C55"/>
              </w:rPr>
              <w:t>483,469</w:t>
            </w:r>
          </w:p>
        </w:tc>
        <w:tc>
          <w:tcPr>
            <w:tcW w:w="1640" w:type="dxa"/>
            <w:vAlign w:val="bottom"/>
            <w:shd w:val="clear" w:color="auto" w:fill="E7E6E6"/>
          </w:tcPr>
          <w:p>
            <w:pPr>
              <w:jc w:val="right"/>
              <w:ind w:right="42"/>
              <w:spacing w:after="0" w:line="170" w:lineRule="exact"/>
              <w:rPr>
                <w:sz w:val="20"/>
                <w:szCs w:val="20"/>
                <w:color w:val="auto"/>
              </w:rPr>
            </w:pPr>
            <w:r>
              <w:rPr>
                <w:rFonts w:ascii="Arial" w:cs="Arial" w:eastAsia="Arial" w:hAnsi="Arial"/>
                <w:sz w:val="12"/>
                <w:szCs w:val="12"/>
                <w:color w:val="474C55"/>
              </w:rPr>
              <w:t>-</w:t>
            </w:r>
            <w:r>
              <w:rPr>
                <w:rFonts w:ascii="Arial" w:cs="Arial" w:eastAsia="Arial" w:hAnsi="Arial"/>
                <w:sz w:val="19"/>
                <w:szCs w:val="19"/>
                <w:color w:val="474C55"/>
                <w:vertAlign w:val="superscript"/>
              </w:rPr>
              <w:t>7</w:t>
            </w:r>
          </w:p>
        </w:tc>
        <w:tc>
          <w:tcPr>
            <w:tcW w:w="1040" w:type="dxa"/>
            <w:vAlign w:val="bottom"/>
            <w:shd w:val="clear" w:color="auto" w:fill="E7E6E6"/>
          </w:tcPr>
          <w:p>
            <w:pPr>
              <w:jc w:val="right"/>
              <w:ind w:right="2"/>
              <w:spacing w:after="0"/>
              <w:rPr>
                <w:sz w:val="20"/>
                <w:szCs w:val="20"/>
                <w:color w:val="auto"/>
              </w:rPr>
            </w:pPr>
            <w:r>
              <w:rPr>
                <w:rFonts w:ascii="Arial" w:cs="Arial" w:eastAsia="Arial" w:hAnsi="Arial"/>
                <w:sz w:val="12"/>
                <w:szCs w:val="12"/>
                <w:color w:val="auto"/>
              </w:rPr>
              <w:t>39,844</w:t>
            </w:r>
          </w:p>
        </w:tc>
        <w:tc>
          <w:tcPr>
            <w:tcW w:w="240" w:type="dxa"/>
            <w:vAlign w:val="bottom"/>
            <w:shd w:val="clear" w:color="auto" w:fill="E7E6E6"/>
          </w:tcPr>
          <w:p>
            <w:pPr>
              <w:spacing w:after="0"/>
              <w:rPr>
                <w:sz w:val="14"/>
                <w:szCs w:val="14"/>
                <w:color w:val="auto"/>
              </w:rPr>
            </w:pPr>
          </w:p>
        </w:tc>
        <w:tc>
          <w:tcPr>
            <w:tcW w:w="980" w:type="dxa"/>
            <w:vAlign w:val="bottom"/>
            <w:shd w:val="clear" w:color="auto" w:fill="E7E6E6"/>
          </w:tcPr>
          <w:p>
            <w:pPr>
              <w:jc w:val="right"/>
              <w:ind w:right="102"/>
              <w:spacing w:after="0"/>
              <w:rPr>
                <w:sz w:val="20"/>
                <w:szCs w:val="20"/>
                <w:color w:val="auto"/>
              </w:rPr>
            </w:pPr>
            <w:r>
              <w:rPr>
                <w:rFonts w:ascii="Arial" w:cs="Arial" w:eastAsia="Arial" w:hAnsi="Arial"/>
                <w:sz w:val="12"/>
                <w:szCs w:val="12"/>
                <w:color w:val="auto"/>
              </w:rPr>
              <w:t>1,507,973</w:t>
            </w:r>
          </w:p>
        </w:tc>
        <w:tc>
          <w:tcPr>
            <w:tcW w:w="0" w:type="dxa"/>
            <w:vAlign w:val="bottom"/>
          </w:tcPr>
          <w:p>
            <w:pPr>
              <w:spacing w:after="0"/>
              <w:rPr>
                <w:sz w:val="1"/>
                <w:szCs w:val="1"/>
                <w:color w:val="auto"/>
              </w:rPr>
            </w:pPr>
          </w:p>
        </w:tc>
      </w:tr>
      <w:tr>
        <w:trPr>
          <w:trHeight w:val="115"/>
        </w:trPr>
        <w:tc>
          <w:tcPr>
            <w:tcW w:w="2260" w:type="dxa"/>
            <w:vAlign w:val="bottom"/>
            <w:shd w:val="clear" w:color="auto" w:fill="E7E6E6"/>
          </w:tcPr>
          <w:p>
            <w:pPr>
              <w:ind w:left="60"/>
              <w:spacing w:after="0" w:line="115" w:lineRule="exact"/>
              <w:rPr>
                <w:sz w:val="20"/>
                <w:szCs w:val="20"/>
                <w:color w:val="auto"/>
              </w:rPr>
            </w:pPr>
            <w:r>
              <w:rPr>
                <w:rFonts w:ascii="Arial" w:cs="Arial" w:eastAsia="Arial" w:hAnsi="Arial"/>
                <w:sz w:val="12"/>
                <w:szCs w:val="12"/>
                <w:color w:val="474C55"/>
              </w:rPr>
              <w:t>Executive Vice President</w:t>
            </w:r>
          </w:p>
        </w:tc>
        <w:tc>
          <w:tcPr>
            <w:tcW w:w="780" w:type="dxa"/>
            <w:vAlign w:val="bottom"/>
            <w:vMerge w:val="restart"/>
            <w:shd w:val="clear" w:color="auto" w:fill="E7E6E6"/>
          </w:tcPr>
          <w:p>
            <w:pPr>
              <w:jc w:val="right"/>
              <w:ind w:right="202"/>
              <w:spacing w:after="0"/>
              <w:rPr>
                <w:sz w:val="20"/>
                <w:szCs w:val="20"/>
                <w:color w:val="auto"/>
              </w:rPr>
            </w:pPr>
            <w:r>
              <w:rPr>
                <w:rFonts w:ascii="Arial" w:cs="Arial" w:eastAsia="Arial" w:hAnsi="Arial"/>
                <w:sz w:val="12"/>
                <w:szCs w:val="12"/>
                <w:color w:val="474C55"/>
              </w:rPr>
              <w:t>2023</w:t>
            </w:r>
          </w:p>
        </w:tc>
        <w:tc>
          <w:tcPr>
            <w:tcW w:w="1360" w:type="dxa"/>
            <w:vAlign w:val="bottom"/>
            <w:vMerge w:val="restart"/>
            <w:shd w:val="clear" w:color="auto" w:fill="E7E6E6"/>
          </w:tcPr>
          <w:p>
            <w:pPr>
              <w:jc w:val="right"/>
              <w:ind w:right="122"/>
              <w:spacing w:after="0"/>
              <w:rPr>
                <w:sz w:val="20"/>
                <w:szCs w:val="20"/>
                <w:color w:val="auto"/>
              </w:rPr>
            </w:pPr>
            <w:r>
              <w:rPr>
                <w:rFonts w:ascii="Arial" w:cs="Arial" w:eastAsia="Arial" w:hAnsi="Arial"/>
                <w:sz w:val="12"/>
                <w:szCs w:val="12"/>
                <w:color w:val="474C55"/>
              </w:rPr>
              <w:t>450,000</w:t>
            </w:r>
          </w:p>
        </w:tc>
        <w:tc>
          <w:tcPr>
            <w:tcW w:w="1500" w:type="dxa"/>
            <w:vAlign w:val="bottom"/>
            <w:vMerge w:val="restart"/>
            <w:shd w:val="clear" w:color="auto" w:fill="E7E6E6"/>
          </w:tcPr>
          <w:p>
            <w:pPr>
              <w:jc w:val="right"/>
              <w:ind w:right="162"/>
              <w:spacing w:after="0"/>
              <w:rPr>
                <w:sz w:val="20"/>
                <w:szCs w:val="20"/>
                <w:color w:val="auto"/>
              </w:rPr>
            </w:pPr>
            <w:r>
              <w:rPr>
                <w:rFonts w:ascii="Arial" w:cs="Arial" w:eastAsia="Arial" w:hAnsi="Arial"/>
                <w:sz w:val="12"/>
                <w:szCs w:val="12"/>
                <w:color w:val="474C55"/>
              </w:rPr>
              <w:t>336,169</w:t>
            </w:r>
          </w:p>
        </w:tc>
        <w:tc>
          <w:tcPr>
            <w:tcW w:w="1440" w:type="dxa"/>
            <w:vAlign w:val="bottom"/>
            <w:vMerge w:val="restart"/>
            <w:shd w:val="clear" w:color="auto" w:fill="E7E6E6"/>
          </w:tcPr>
          <w:p>
            <w:pPr>
              <w:jc w:val="right"/>
              <w:ind w:right="123"/>
              <w:spacing w:after="0"/>
              <w:rPr>
                <w:sz w:val="20"/>
                <w:szCs w:val="20"/>
                <w:color w:val="auto"/>
              </w:rPr>
            </w:pPr>
            <w:r>
              <w:rPr>
                <w:rFonts w:ascii="Arial" w:cs="Arial" w:eastAsia="Arial" w:hAnsi="Arial"/>
                <w:sz w:val="12"/>
                <w:szCs w:val="12"/>
                <w:color w:val="474C55"/>
              </w:rPr>
              <w:t>124,972</w:t>
            </w:r>
          </w:p>
        </w:tc>
        <w:tc>
          <w:tcPr>
            <w:tcW w:w="1640" w:type="dxa"/>
            <w:vAlign w:val="bottom"/>
            <w:vMerge w:val="restart"/>
            <w:shd w:val="clear" w:color="auto" w:fill="E7E6E6"/>
          </w:tcPr>
          <w:p>
            <w:pPr>
              <w:jc w:val="right"/>
              <w:ind w:right="42"/>
              <w:spacing w:after="0"/>
              <w:rPr>
                <w:sz w:val="20"/>
                <w:szCs w:val="20"/>
                <w:color w:val="auto"/>
              </w:rPr>
            </w:pPr>
            <w:r>
              <w:rPr>
                <w:rFonts w:ascii="Arial" w:cs="Arial" w:eastAsia="Arial" w:hAnsi="Arial"/>
                <w:sz w:val="12"/>
                <w:szCs w:val="12"/>
                <w:color w:val="474C55"/>
              </w:rPr>
              <w:t>-</w:t>
            </w:r>
            <w:r>
              <w:rPr>
                <w:rFonts w:ascii="Arial" w:cs="Arial" w:eastAsia="Arial" w:hAnsi="Arial"/>
                <w:sz w:val="19"/>
                <w:szCs w:val="19"/>
                <w:color w:val="000000"/>
                <w:vertAlign w:val="superscript"/>
              </w:rPr>
              <w:t>7</w:t>
            </w:r>
          </w:p>
        </w:tc>
        <w:tc>
          <w:tcPr>
            <w:tcW w:w="1040" w:type="dxa"/>
            <w:vAlign w:val="bottom"/>
            <w:vMerge w:val="restart"/>
            <w:shd w:val="clear" w:color="auto" w:fill="E7E6E6"/>
          </w:tcPr>
          <w:p>
            <w:pPr>
              <w:jc w:val="right"/>
              <w:ind w:right="2"/>
              <w:spacing w:after="0"/>
              <w:rPr>
                <w:sz w:val="20"/>
                <w:szCs w:val="20"/>
                <w:color w:val="auto"/>
              </w:rPr>
            </w:pPr>
            <w:r>
              <w:rPr>
                <w:rFonts w:ascii="Arial" w:cs="Arial" w:eastAsia="Arial" w:hAnsi="Arial"/>
                <w:sz w:val="12"/>
                <w:szCs w:val="12"/>
                <w:color w:val="auto"/>
              </w:rPr>
              <w:t>35,474</w:t>
            </w:r>
          </w:p>
        </w:tc>
        <w:tc>
          <w:tcPr>
            <w:tcW w:w="240" w:type="dxa"/>
            <w:vAlign w:val="bottom"/>
            <w:shd w:val="clear" w:color="auto" w:fill="E7E6E6"/>
          </w:tcPr>
          <w:p>
            <w:pPr>
              <w:spacing w:after="0"/>
              <w:rPr>
                <w:sz w:val="10"/>
                <w:szCs w:val="10"/>
                <w:color w:val="auto"/>
              </w:rPr>
            </w:pPr>
          </w:p>
        </w:tc>
        <w:tc>
          <w:tcPr>
            <w:tcW w:w="980" w:type="dxa"/>
            <w:vAlign w:val="bottom"/>
            <w:vMerge w:val="restart"/>
            <w:shd w:val="clear" w:color="auto" w:fill="E7E6E6"/>
          </w:tcPr>
          <w:p>
            <w:pPr>
              <w:jc w:val="right"/>
              <w:ind w:right="102"/>
              <w:spacing w:after="0"/>
              <w:rPr>
                <w:sz w:val="20"/>
                <w:szCs w:val="20"/>
                <w:color w:val="auto"/>
              </w:rPr>
            </w:pPr>
            <w:r>
              <w:rPr>
                <w:rFonts w:ascii="Arial" w:cs="Arial" w:eastAsia="Arial" w:hAnsi="Arial"/>
                <w:sz w:val="12"/>
                <w:szCs w:val="12"/>
                <w:color w:val="auto"/>
              </w:rPr>
              <w:t>946,615</w:t>
            </w:r>
          </w:p>
        </w:tc>
        <w:tc>
          <w:tcPr>
            <w:tcW w:w="0" w:type="dxa"/>
            <w:vAlign w:val="bottom"/>
          </w:tcPr>
          <w:p>
            <w:pPr>
              <w:spacing w:after="0"/>
              <w:rPr>
                <w:sz w:val="1"/>
                <w:szCs w:val="1"/>
                <w:color w:val="auto"/>
              </w:rPr>
            </w:pPr>
          </w:p>
        </w:tc>
      </w:tr>
      <w:tr>
        <w:trPr>
          <w:trHeight w:val="125"/>
        </w:trPr>
        <w:tc>
          <w:tcPr>
            <w:tcW w:w="2260" w:type="dxa"/>
            <w:vAlign w:val="bottom"/>
            <w:shd w:val="clear" w:color="auto" w:fill="E7E6E6"/>
          </w:tcPr>
          <w:p>
            <w:pPr>
              <w:ind w:left="60"/>
              <w:spacing w:after="0" w:line="125" w:lineRule="exact"/>
              <w:rPr>
                <w:sz w:val="20"/>
                <w:szCs w:val="20"/>
                <w:color w:val="auto"/>
              </w:rPr>
            </w:pPr>
            <w:r>
              <w:rPr>
                <w:rFonts w:ascii="Arial" w:cs="Arial" w:eastAsia="Arial" w:hAnsi="Arial"/>
                <w:sz w:val="12"/>
                <w:szCs w:val="12"/>
                <w:color w:val="474C55"/>
              </w:rPr>
              <w:t>Chief Administrative Officer</w:t>
            </w:r>
          </w:p>
        </w:tc>
        <w:tc>
          <w:tcPr>
            <w:tcW w:w="780" w:type="dxa"/>
            <w:vAlign w:val="bottom"/>
            <w:vMerge w:val="continue"/>
            <w:shd w:val="clear" w:color="auto" w:fill="E7E6E6"/>
          </w:tcPr>
          <w:p>
            <w:pPr>
              <w:spacing w:after="0"/>
              <w:rPr>
                <w:sz w:val="10"/>
                <w:szCs w:val="10"/>
                <w:color w:val="auto"/>
              </w:rPr>
            </w:pPr>
          </w:p>
        </w:tc>
        <w:tc>
          <w:tcPr>
            <w:tcW w:w="1360" w:type="dxa"/>
            <w:vAlign w:val="bottom"/>
            <w:vMerge w:val="continue"/>
            <w:shd w:val="clear" w:color="auto" w:fill="E7E6E6"/>
          </w:tcPr>
          <w:p>
            <w:pPr>
              <w:spacing w:after="0"/>
              <w:rPr>
                <w:sz w:val="10"/>
                <w:szCs w:val="10"/>
                <w:color w:val="auto"/>
              </w:rPr>
            </w:pPr>
          </w:p>
        </w:tc>
        <w:tc>
          <w:tcPr>
            <w:tcW w:w="1500" w:type="dxa"/>
            <w:vAlign w:val="bottom"/>
            <w:vMerge w:val="continue"/>
            <w:shd w:val="clear" w:color="auto" w:fill="E7E6E6"/>
          </w:tcPr>
          <w:p>
            <w:pPr>
              <w:spacing w:after="0"/>
              <w:rPr>
                <w:sz w:val="10"/>
                <w:szCs w:val="10"/>
                <w:color w:val="auto"/>
              </w:rPr>
            </w:pPr>
          </w:p>
        </w:tc>
        <w:tc>
          <w:tcPr>
            <w:tcW w:w="1440" w:type="dxa"/>
            <w:vAlign w:val="bottom"/>
            <w:vMerge w:val="continue"/>
            <w:shd w:val="clear" w:color="auto" w:fill="E7E6E6"/>
          </w:tcPr>
          <w:p>
            <w:pPr>
              <w:spacing w:after="0"/>
              <w:rPr>
                <w:sz w:val="10"/>
                <w:szCs w:val="10"/>
                <w:color w:val="auto"/>
              </w:rPr>
            </w:pPr>
          </w:p>
        </w:tc>
        <w:tc>
          <w:tcPr>
            <w:tcW w:w="1640" w:type="dxa"/>
            <w:vAlign w:val="bottom"/>
            <w:vMerge w:val="continue"/>
            <w:shd w:val="clear" w:color="auto" w:fill="E7E6E6"/>
          </w:tcPr>
          <w:p>
            <w:pPr>
              <w:spacing w:after="0"/>
              <w:rPr>
                <w:sz w:val="10"/>
                <w:szCs w:val="10"/>
                <w:color w:val="auto"/>
              </w:rPr>
            </w:pPr>
          </w:p>
        </w:tc>
        <w:tc>
          <w:tcPr>
            <w:tcW w:w="1040" w:type="dxa"/>
            <w:vAlign w:val="bottom"/>
            <w:vMerge w:val="continue"/>
            <w:shd w:val="clear" w:color="auto" w:fill="E7E6E6"/>
          </w:tcPr>
          <w:p>
            <w:pPr>
              <w:spacing w:after="0"/>
              <w:rPr>
                <w:sz w:val="10"/>
                <w:szCs w:val="10"/>
                <w:color w:val="auto"/>
              </w:rPr>
            </w:pPr>
          </w:p>
        </w:tc>
        <w:tc>
          <w:tcPr>
            <w:tcW w:w="240" w:type="dxa"/>
            <w:vAlign w:val="bottom"/>
            <w:shd w:val="clear" w:color="auto" w:fill="E7E6E6"/>
          </w:tcPr>
          <w:p>
            <w:pPr>
              <w:spacing w:after="0"/>
              <w:rPr>
                <w:sz w:val="10"/>
                <w:szCs w:val="10"/>
                <w:color w:val="auto"/>
              </w:rPr>
            </w:pPr>
          </w:p>
        </w:tc>
        <w:tc>
          <w:tcPr>
            <w:tcW w:w="980" w:type="dxa"/>
            <w:vAlign w:val="bottom"/>
            <w:vMerge w:val="continue"/>
            <w:shd w:val="clear" w:color="auto" w:fill="E7E6E6"/>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260" w:type="dxa"/>
            <w:vAlign w:val="bottom"/>
            <w:shd w:val="clear" w:color="auto" w:fill="E7E6E6"/>
          </w:tcPr>
          <w:p>
            <w:pPr>
              <w:ind w:left="60"/>
              <w:spacing w:after="0"/>
              <w:rPr>
                <w:sz w:val="20"/>
                <w:szCs w:val="20"/>
                <w:color w:val="auto"/>
              </w:rPr>
            </w:pPr>
            <w:r>
              <w:rPr>
                <w:rFonts w:ascii="Arial" w:cs="Arial" w:eastAsia="Arial" w:hAnsi="Arial"/>
                <w:sz w:val="12"/>
                <w:szCs w:val="12"/>
                <w:color w:val="474C55"/>
              </w:rPr>
              <w:t>&amp; General Counsel</w:t>
            </w:r>
          </w:p>
        </w:tc>
        <w:tc>
          <w:tcPr>
            <w:tcW w:w="780" w:type="dxa"/>
            <w:vAlign w:val="bottom"/>
            <w:vMerge w:val="restart"/>
            <w:shd w:val="clear" w:color="auto" w:fill="E7E6E6"/>
          </w:tcPr>
          <w:p>
            <w:pPr>
              <w:jc w:val="right"/>
              <w:ind w:right="202"/>
              <w:spacing w:after="0"/>
              <w:rPr>
                <w:sz w:val="20"/>
                <w:szCs w:val="20"/>
                <w:color w:val="auto"/>
              </w:rPr>
            </w:pPr>
            <w:r>
              <w:rPr>
                <w:rFonts w:ascii="Arial" w:cs="Arial" w:eastAsia="Arial" w:hAnsi="Arial"/>
                <w:sz w:val="12"/>
                <w:szCs w:val="12"/>
                <w:color w:val="474C55"/>
              </w:rPr>
              <w:t>2022</w:t>
            </w:r>
          </w:p>
        </w:tc>
        <w:tc>
          <w:tcPr>
            <w:tcW w:w="1360" w:type="dxa"/>
            <w:vAlign w:val="bottom"/>
            <w:vMerge w:val="restart"/>
            <w:shd w:val="clear" w:color="auto" w:fill="E7E6E6"/>
          </w:tcPr>
          <w:p>
            <w:pPr>
              <w:jc w:val="right"/>
              <w:ind w:right="122"/>
              <w:spacing w:after="0"/>
              <w:rPr>
                <w:sz w:val="20"/>
                <w:szCs w:val="20"/>
                <w:color w:val="auto"/>
              </w:rPr>
            </w:pPr>
            <w:r>
              <w:rPr>
                <w:rFonts w:ascii="Arial" w:cs="Arial" w:eastAsia="Arial" w:hAnsi="Arial"/>
                <w:sz w:val="12"/>
                <w:szCs w:val="12"/>
                <w:color w:val="474C55"/>
              </w:rPr>
              <w:t>400,000</w:t>
            </w:r>
          </w:p>
        </w:tc>
        <w:tc>
          <w:tcPr>
            <w:tcW w:w="1500" w:type="dxa"/>
            <w:vAlign w:val="bottom"/>
            <w:vMerge w:val="restart"/>
            <w:shd w:val="clear" w:color="auto" w:fill="E7E6E6"/>
          </w:tcPr>
          <w:p>
            <w:pPr>
              <w:jc w:val="right"/>
              <w:ind w:right="162"/>
              <w:spacing w:after="0"/>
              <w:rPr>
                <w:sz w:val="20"/>
                <w:szCs w:val="20"/>
                <w:color w:val="auto"/>
              </w:rPr>
            </w:pPr>
            <w:r>
              <w:rPr>
                <w:rFonts w:ascii="Arial" w:cs="Arial" w:eastAsia="Arial" w:hAnsi="Arial"/>
                <w:sz w:val="12"/>
                <w:szCs w:val="12"/>
                <w:color w:val="auto"/>
              </w:rPr>
              <w:t>-</w:t>
            </w:r>
          </w:p>
        </w:tc>
        <w:tc>
          <w:tcPr>
            <w:tcW w:w="1440" w:type="dxa"/>
            <w:vAlign w:val="bottom"/>
            <w:vMerge w:val="restart"/>
            <w:shd w:val="clear" w:color="auto" w:fill="E7E6E6"/>
          </w:tcPr>
          <w:p>
            <w:pPr>
              <w:jc w:val="right"/>
              <w:ind w:right="123"/>
              <w:spacing w:after="0"/>
              <w:rPr>
                <w:sz w:val="20"/>
                <w:szCs w:val="20"/>
                <w:color w:val="auto"/>
              </w:rPr>
            </w:pPr>
            <w:r>
              <w:rPr>
                <w:rFonts w:ascii="Arial" w:cs="Arial" w:eastAsia="Arial" w:hAnsi="Arial"/>
                <w:sz w:val="12"/>
                <w:szCs w:val="12"/>
                <w:color w:val="474C55"/>
              </w:rPr>
              <w:t>319,110</w:t>
            </w:r>
          </w:p>
        </w:tc>
        <w:tc>
          <w:tcPr>
            <w:tcW w:w="1640" w:type="dxa"/>
            <w:vAlign w:val="bottom"/>
            <w:vMerge w:val="restart"/>
            <w:shd w:val="clear" w:color="auto" w:fill="E7E6E6"/>
          </w:tcPr>
          <w:p>
            <w:pPr>
              <w:jc w:val="right"/>
              <w:ind w:right="42"/>
              <w:spacing w:after="0"/>
              <w:rPr>
                <w:sz w:val="20"/>
                <w:szCs w:val="20"/>
                <w:color w:val="auto"/>
              </w:rPr>
            </w:pPr>
            <w:r>
              <w:rPr>
                <w:rFonts w:ascii="Arial" w:cs="Arial" w:eastAsia="Arial" w:hAnsi="Arial"/>
                <w:sz w:val="12"/>
                <w:szCs w:val="12"/>
                <w:color w:val="474C55"/>
              </w:rPr>
              <w:t>-</w:t>
            </w:r>
            <w:r>
              <w:rPr>
                <w:rFonts w:ascii="Arial" w:cs="Arial" w:eastAsia="Arial" w:hAnsi="Arial"/>
                <w:sz w:val="19"/>
                <w:szCs w:val="19"/>
                <w:color w:val="474C55"/>
                <w:vertAlign w:val="superscript"/>
              </w:rPr>
              <w:t>7</w:t>
            </w:r>
          </w:p>
        </w:tc>
        <w:tc>
          <w:tcPr>
            <w:tcW w:w="1040" w:type="dxa"/>
            <w:vAlign w:val="bottom"/>
            <w:vMerge w:val="restart"/>
            <w:shd w:val="clear" w:color="auto" w:fill="E7E6E6"/>
          </w:tcPr>
          <w:p>
            <w:pPr>
              <w:jc w:val="right"/>
              <w:ind w:right="2"/>
              <w:spacing w:after="0"/>
              <w:rPr>
                <w:sz w:val="20"/>
                <w:szCs w:val="20"/>
                <w:color w:val="auto"/>
              </w:rPr>
            </w:pPr>
            <w:r>
              <w:rPr>
                <w:rFonts w:ascii="Arial" w:cs="Arial" w:eastAsia="Arial" w:hAnsi="Arial"/>
                <w:sz w:val="12"/>
                <w:szCs w:val="12"/>
                <w:color w:val="auto"/>
              </w:rPr>
              <w:t>23,917</w:t>
            </w:r>
          </w:p>
        </w:tc>
        <w:tc>
          <w:tcPr>
            <w:tcW w:w="240" w:type="dxa"/>
            <w:vAlign w:val="bottom"/>
            <w:shd w:val="clear" w:color="auto" w:fill="E7E6E6"/>
          </w:tcPr>
          <w:p>
            <w:pPr>
              <w:spacing w:after="0"/>
              <w:rPr>
                <w:sz w:val="13"/>
                <w:szCs w:val="13"/>
                <w:color w:val="auto"/>
              </w:rPr>
            </w:pPr>
          </w:p>
        </w:tc>
        <w:tc>
          <w:tcPr>
            <w:tcW w:w="980" w:type="dxa"/>
            <w:vAlign w:val="bottom"/>
            <w:vMerge w:val="restart"/>
            <w:shd w:val="clear" w:color="auto" w:fill="E7E6E6"/>
          </w:tcPr>
          <w:p>
            <w:pPr>
              <w:jc w:val="right"/>
              <w:ind w:right="102"/>
              <w:spacing w:after="0"/>
              <w:rPr>
                <w:sz w:val="20"/>
                <w:szCs w:val="20"/>
                <w:color w:val="auto"/>
              </w:rPr>
            </w:pPr>
            <w:r>
              <w:rPr>
                <w:rFonts w:ascii="Arial" w:cs="Arial" w:eastAsia="Arial" w:hAnsi="Arial"/>
                <w:sz w:val="12"/>
                <w:szCs w:val="12"/>
                <w:color w:val="auto"/>
              </w:rPr>
              <w:t>743,027</w:t>
            </w:r>
          </w:p>
        </w:tc>
        <w:tc>
          <w:tcPr>
            <w:tcW w:w="0" w:type="dxa"/>
            <w:vAlign w:val="bottom"/>
          </w:tcPr>
          <w:p>
            <w:pPr>
              <w:spacing w:after="0"/>
              <w:rPr>
                <w:sz w:val="1"/>
                <w:szCs w:val="1"/>
                <w:color w:val="auto"/>
              </w:rPr>
            </w:pPr>
          </w:p>
        </w:tc>
      </w:tr>
      <w:tr>
        <w:trPr>
          <w:trHeight w:val="77"/>
        </w:trPr>
        <w:tc>
          <w:tcPr>
            <w:tcW w:w="2260" w:type="dxa"/>
            <w:vAlign w:val="bottom"/>
            <w:tcBorders>
              <w:bottom w:val="single" w:sz="8" w:color="E0E0E0"/>
            </w:tcBorders>
            <w:shd w:val="clear" w:color="auto" w:fill="E7E6E6"/>
          </w:tcPr>
          <w:p>
            <w:pPr>
              <w:spacing w:after="0"/>
              <w:rPr>
                <w:sz w:val="6"/>
                <w:szCs w:val="6"/>
                <w:color w:val="auto"/>
              </w:rPr>
            </w:pPr>
          </w:p>
        </w:tc>
        <w:tc>
          <w:tcPr>
            <w:tcW w:w="780" w:type="dxa"/>
            <w:vAlign w:val="bottom"/>
            <w:tcBorders>
              <w:bottom w:val="single" w:sz="8" w:color="E0E0E0"/>
            </w:tcBorders>
            <w:vMerge w:val="continue"/>
            <w:shd w:val="clear" w:color="auto" w:fill="E7E6E6"/>
          </w:tcPr>
          <w:p>
            <w:pPr>
              <w:spacing w:after="0"/>
              <w:rPr>
                <w:sz w:val="6"/>
                <w:szCs w:val="6"/>
                <w:color w:val="auto"/>
              </w:rPr>
            </w:pPr>
          </w:p>
        </w:tc>
        <w:tc>
          <w:tcPr>
            <w:tcW w:w="1360" w:type="dxa"/>
            <w:vAlign w:val="bottom"/>
            <w:tcBorders>
              <w:bottom w:val="single" w:sz="8" w:color="E0E0E0"/>
            </w:tcBorders>
            <w:vMerge w:val="continue"/>
            <w:shd w:val="clear" w:color="auto" w:fill="E7E6E6"/>
          </w:tcPr>
          <w:p>
            <w:pPr>
              <w:spacing w:after="0"/>
              <w:rPr>
                <w:sz w:val="6"/>
                <w:szCs w:val="6"/>
                <w:color w:val="auto"/>
              </w:rPr>
            </w:pPr>
          </w:p>
        </w:tc>
        <w:tc>
          <w:tcPr>
            <w:tcW w:w="1500" w:type="dxa"/>
            <w:vAlign w:val="bottom"/>
            <w:tcBorders>
              <w:bottom w:val="single" w:sz="8" w:color="E0E0E0"/>
            </w:tcBorders>
            <w:vMerge w:val="continue"/>
            <w:shd w:val="clear" w:color="auto" w:fill="E7E6E6"/>
          </w:tcPr>
          <w:p>
            <w:pPr>
              <w:spacing w:after="0"/>
              <w:rPr>
                <w:sz w:val="6"/>
                <w:szCs w:val="6"/>
                <w:color w:val="auto"/>
              </w:rPr>
            </w:pPr>
          </w:p>
        </w:tc>
        <w:tc>
          <w:tcPr>
            <w:tcW w:w="1440" w:type="dxa"/>
            <w:vAlign w:val="bottom"/>
            <w:tcBorders>
              <w:bottom w:val="single" w:sz="8" w:color="E0E0E0"/>
            </w:tcBorders>
            <w:vMerge w:val="continue"/>
            <w:shd w:val="clear" w:color="auto" w:fill="E7E6E6"/>
          </w:tcPr>
          <w:p>
            <w:pPr>
              <w:spacing w:after="0"/>
              <w:rPr>
                <w:sz w:val="6"/>
                <w:szCs w:val="6"/>
                <w:color w:val="auto"/>
              </w:rPr>
            </w:pPr>
          </w:p>
        </w:tc>
        <w:tc>
          <w:tcPr>
            <w:tcW w:w="1640" w:type="dxa"/>
            <w:vAlign w:val="bottom"/>
            <w:tcBorders>
              <w:bottom w:val="single" w:sz="8" w:color="E0E0E0"/>
            </w:tcBorders>
            <w:vMerge w:val="continue"/>
            <w:shd w:val="clear" w:color="auto" w:fill="E7E6E6"/>
          </w:tcPr>
          <w:p>
            <w:pPr>
              <w:spacing w:after="0"/>
              <w:rPr>
                <w:sz w:val="6"/>
                <w:szCs w:val="6"/>
                <w:color w:val="auto"/>
              </w:rPr>
            </w:pPr>
          </w:p>
        </w:tc>
        <w:tc>
          <w:tcPr>
            <w:tcW w:w="1040" w:type="dxa"/>
            <w:vAlign w:val="bottom"/>
            <w:tcBorders>
              <w:bottom w:val="single" w:sz="8" w:color="E0E0E0"/>
            </w:tcBorders>
            <w:vMerge w:val="continue"/>
            <w:shd w:val="clear" w:color="auto" w:fill="E7E6E6"/>
          </w:tcPr>
          <w:p>
            <w:pPr>
              <w:spacing w:after="0"/>
              <w:rPr>
                <w:sz w:val="6"/>
                <w:szCs w:val="6"/>
                <w:color w:val="auto"/>
              </w:rPr>
            </w:pPr>
          </w:p>
        </w:tc>
        <w:tc>
          <w:tcPr>
            <w:tcW w:w="240" w:type="dxa"/>
            <w:vAlign w:val="bottom"/>
            <w:tcBorders>
              <w:bottom w:val="single" w:sz="8" w:color="E0E0E0"/>
            </w:tcBorders>
            <w:shd w:val="clear" w:color="auto" w:fill="E7E6E6"/>
          </w:tcPr>
          <w:p>
            <w:pPr>
              <w:spacing w:after="0"/>
              <w:rPr>
                <w:sz w:val="6"/>
                <w:szCs w:val="6"/>
                <w:color w:val="auto"/>
              </w:rPr>
            </w:pPr>
          </w:p>
        </w:tc>
        <w:tc>
          <w:tcPr>
            <w:tcW w:w="980" w:type="dxa"/>
            <w:vAlign w:val="bottom"/>
            <w:tcBorders>
              <w:bottom w:val="single" w:sz="8" w:color="E0E0E0"/>
            </w:tcBorders>
            <w:vMerge w:val="continue"/>
            <w:shd w:val="clear" w:color="auto" w:fill="E7E6E6"/>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260" w:type="dxa"/>
            <w:vAlign w:val="bottom"/>
          </w:tcPr>
          <w:p>
            <w:pPr>
              <w:ind w:left="60"/>
              <w:spacing w:after="0"/>
              <w:rPr>
                <w:sz w:val="20"/>
                <w:szCs w:val="20"/>
                <w:color w:val="auto"/>
              </w:rPr>
            </w:pPr>
            <w:r>
              <w:rPr>
                <w:rFonts w:ascii="Arial" w:cs="Arial" w:eastAsia="Arial" w:hAnsi="Arial"/>
                <w:sz w:val="12"/>
                <w:szCs w:val="12"/>
                <w:b w:val="1"/>
                <w:bCs w:val="1"/>
                <w:color w:val="474C55"/>
              </w:rPr>
              <w:t>Robert A. Edwards</w:t>
            </w:r>
          </w:p>
        </w:tc>
        <w:tc>
          <w:tcPr>
            <w:tcW w:w="780" w:type="dxa"/>
            <w:vAlign w:val="bottom"/>
          </w:tcPr>
          <w:p>
            <w:pPr>
              <w:jc w:val="right"/>
              <w:ind w:right="202"/>
              <w:spacing w:after="0"/>
              <w:rPr>
                <w:sz w:val="20"/>
                <w:szCs w:val="20"/>
                <w:color w:val="auto"/>
              </w:rPr>
            </w:pPr>
            <w:r>
              <w:rPr>
                <w:rFonts w:ascii="Arial" w:cs="Arial" w:eastAsia="Arial" w:hAnsi="Arial"/>
                <w:sz w:val="12"/>
                <w:szCs w:val="12"/>
                <w:color w:val="474C55"/>
              </w:rPr>
              <w:t>2024</w:t>
            </w:r>
          </w:p>
        </w:tc>
        <w:tc>
          <w:tcPr>
            <w:tcW w:w="1360" w:type="dxa"/>
            <w:vAlign w:val="bottom"/>
          </w:tcPr>
          <w:p>
            <w:pPr>
              <w:jc w:val="right"/>
              <w:ind w:right="122"/>
              <w:spacing w:after="0"/>
              <w:rPr>
                <w:sz w:val="20"/>
                <w:szCs w:val="20"/>
                <w:color w:val="auto"/>
              </w:rPr>
            </w:pPr>
            <w:r>
              <w:rPr>
                <w:rFonts w:ascii="Arial" w:cs="Arial" w:eastAsia="Arial" w:hAnsi="Arial"/>
                <w:sz w:val="12"/>
                <w:szCs w:val="12"/>
                <w:color w:val="474C55"/>
              </w:rPr>
              <w:t>482,500</w:t>
            </w:r>
          </w:p>
        </w:tc>
        <w:tc>
          <w:tcPr>
            <w:tcW w:w="1500" w:type="dxa"/>
            <w:vAlign w:val="bottom"/>
          </w:tcPr>
          <w:p>
            <w:pPr>
              <w:jc w:val="right"/>
              <w:ind w:right="162"/>
              <w:spacing w:after="0"/>
              <w:rPr>
                <w:sz w:val="20"/>
                <w:szCs w:val="20"/>
                <w:color w:val="auto"/>
              </w:rPr>
            </w:pPr>
            <w:r>
              <w:rPr>
                <w:rFonts w:ascii="Arial" w:cs="Arial" w:eastAsia="Arial" w:hAnsi="Arial"/>
                <w:sz w:val="12"/>
                <w:szCs w:val="12"/>
                <w:color w:val="474C55"/>
              </w:rPr>
              <w:t>346,654</w:t>
            </w:r>
          </w:p>
        </w:tc>
        <w:tc>
          <w:tcPr>
            <w:tcW w:w="1440" w:type="dxa"/>
            <w:vAlign w:val="bottom"/>
          </w:tcPr>
          <w:p>
            <w:pPr>
              <w:jc w:val="right"/>
              <w:ind w:right="123"/>
              <w:spacing w:after="0"/>
              <w:rPr>
                <w:sz w:val="20"/>
                <w:szCs w:val="20"/>
                <w:color w:val="auto"/>
              </w:rPr>
            </w:pPr>
            <w:r>
              <w:rPr>
                <w:rFonts w:ascii="Arial" w:cs="Arial" w:eastAsia="Arial" w:hAnsi="Arial"/>
                <w:sz w:val="12"/>
                <w:szCs w:val="12"/>
                <w:color w:val="474C55"/>
              </w:rPr>
              <w:t>329,638</w:t>
            </w:r>
          </w:p>
        </w:tc>
        <w:tc>
          <w:tcPr>
            <w:tcW w:w="1640" w:type="dxa"/>
            <w:vAlign w:val="bottom"/>
          </w:tcPr>
          <w:p>
            <w:pPr>
              <w:jc w:val="right"/>
              <w:ind w:right="82"/>
              <w:spacing w:after="0"/>
              <w:rPr>
                <w:sz w:val="20"/>
                <w:szCs w:val="20"/>
                <w:color w:val="auto"/>
              </w:rPr>
            </w:pPr>
            <w:r>
              <w:rPr>
                <w:rFonts w:ascii="Arial" w:cs="Arial" w:eastAsia="Arial" w:hAnsi="Arial"/>
                <w:sz w:val="12"/>
                <w:szCs w:val="12"/>
                <w:color w:val="474C55"/>
              </w:rPr>
              <w:t>42,678</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35,760</w:t>
            </w:r>
          </w:p>
        </w:tc>
        <w:tc>
          <w:tcPr>
            <w:tcW w:w="240" w:type="dxa"/>
            <w:vAlign w:val="bottom"/>
          </w:tcPr>
          <w:p>
            <w:pPr>
              <w:spacing w:after="0"/>
              <w:rPr>
                <w:sz w:val="13"/>
                <w:szCs w:val="13"/>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1,237,230</w:t>
            </w:r>
          </w:p>
        </w:tc>
        <w:tc>
          <w:tcPr>
            <w:tcW w:w="0" w:type="dxa"/>
            <w:vAlign w:val="bottom"/>
          </w:tcPr>
          <w:p>
            <w:pPr>
              <w:spacing w:after="0"/>
              <w:rPr>
                <w:sz w:val="1"/>
                <w:szCs w:val="1"/>
                <w:color w:val="auto"/>
              </w:rPr>
            </w:pPr>
          </w:p>
        </w:tc>
      </w:tr>
      <w:tr>
        <w:trPr>
          <w:trHeight w:val="125"/>
        </w:trPr>
        <w:tc>
          <w:tcPr>
            <w:tcW w:w="2260" w:type="dxa"/>
            <w:vAlign w:val="bottom"/>
          </w:tcPr>
          <w:p>
            <w:pPr>
              <w:ind w:left="60"/>
              <w:spacing w:after="0" w:line="125" w:lineRule="exact"/>
              <w:rPr>
                <w:sz w:val="20"/>
                <w:szCs w:val="20"/>
                <w:color w:val="auto"/>
              </w:rPr>
            </w:pPr>
            <w:r>
              <w:rPr>
                <w:rFonts w:ascii="Arial" w:cs="Arial" w:eastAsia="Arial" w:hAnsi="Arial"/>
                <w:sz w:val="12"/>
                <w:szCs w:val="12"/>
                <w:color w:val="474C55"/>
              </w:rPr>
              <w:t>Executive Vice President</w:t>
            </w:r>
          </w:p>
        </w:tc>
        <w:tc>
          <w:tcPr>
            <w:tcW w:w="780" w:type="dxa"/>
            <w:vAlign w:val="bottom"/>
            <w:vMerge w:val="restart"/>
          </w:tcPr>
          <w:p>
            <w:pPr>
              <w:jc w:val="right"/>
              <w:ind w:right="202"/>
              <w:spacing w:after="0"/>
              <w:rPr>
                <w:sz w:val="20"/>
                <w:szCs w:val="20"/>
                <w:color w:val="auto"/>
              </w:rPr>
            </w:pPr>
            <w:r>
              <w:rPr>
                <w:rFonts w:ascii="Arial" w:cs="Arial" w:eastAsia="Arial" w:hAnsi="Arial"/>
                <w:sz w:val="12"/>
                <w:szCs w:val="12"/>
                <w:color w:val="474C55"/>
              </w:rPr>
              <w:t>2023</w:t>
            </w:r>
          </w:p>
        </w:tc>
        <w:tc>
          <w:tcPr>
            <w:tcW w:w="1360" w:type="dxa"/>
            <w:vAlign w:val="bottom"/>
            <w:vMerge w:val="restart"/>
          </w:tcPr>
          <w:p>
            <w:pPr>
              <w:jc w:val="right"/>
              <w:ind w:right="122"/>
              <w:spacing w:after="0"/>
              <w:rPr>
                <w:sz w:val="20"/>
                <w:szCs w:val="20"/>
                <w:color w:val="auto"/>
              </w:rPr>
            </w:pPr>
            <w:r>
              <w:rPr>
                <w:rFonts w:ascii="Arial" w:cs="Arial" w:eastAsia="Arial" w:hAnsi="Arial"/>
                <w:sz w:val="12"/>
                <w:szCs w:val="12"/>
                <w:color w:val="474C55"/>
              </w:rPr>
              <w:t>450,000</w:t>
            </w:r>
          </w:p>
        </w:tc>
        <w:tc>
          <w:tcPr>
            <w:tcW w:w="1500" w:type="dxa"/>
            <w:vAlign w:val="bottom"/>
            <w:vMerge w:val="restart"/>
          </w:tcPr>
          <w:p>
            <w:pPr>
              <w:jc w:val="right"/>
              <w:ind w:right="162"/>
              <w:spacing w:after="0"/>
              <w:rPr>
                <w:sz w:val="20"/>
                <w:szCs w:val="20"/>
                <w:color w:val="auto"/>
              </w:rPr>
            </w:pPr>
            <w:r>
              <w:rPr>
                <w:rFonts w:ascii="Arial" w:cs="Arial" w:eastAsia="Arial" w:hAnsi="Arial"/>
                <w:sz w:val="12"/>
                <w:szCs w:val="12"/>
                <w:color w:val="474C55"/>
              </w:rPr>
              <w:t>336,169</w:t>
            </w:r>
          </w:p>
        </w:tc>
        <w:tc>
          <w:tcPr>
            <w:tcW w:w="1440" w:type="dxa"/>
            <w:vAlign w:val="bottom"/>
            <w:vMerge w:val="restart"/>
          </w:tcPr>
          <w:p>
            <w:pPr>
              <w:jc w:val="right"/>
              <w:ind w:right="123"/>
              <w:spacing w:after="0"/>
              <w:rPr>
                <w:sz w:val="20"/>
                <w:szCs w:val="20"/>
                <w:color w:val="auto"/>
              </w:rPr>
            </w:pPr>
            <w:r>
              <w:rPr>
                <w:rFonts w:ascii="Arial" w:cs="Arial" w:eastAsia="Arial" w:hAnsi="Arial"/>
                <w:sz w:val="12"/>
                <w:szCs w:val="12"/>
                <w:color w:val="474C55"/>
              </w:rPr>
              <w:t>124,972</w:t>
            </w:r>
          </w:p>
        </w:tc>
        <w:tc>
          <w:tcPr>
            <w:tcW w:w="1640" w:type="dxa"/>
            <w:vAlign w:val="bottom"/>
            <w:vMerge w:val="restart"/>
          </w:tcPr>
          <w:p>
            <w:pPr>
              <w:jc w:val="right"/>
              <w:ind w:right="82"/>
              <w:spacing w:after="0"/>
              <w:rPr>
                <w:sz w:val="20"/>
                <w:szCs w:val="20"/>
                <w:color w:val="auto"/>
              </w:rPr>
            </w:pPr>
            <w:r>
              <w:rPr>
                <w:rFonts w:ascii="Arial" w:cs="Arial" w:eastAsia="Arial" w:hAnsi="Arial"/>
                <w:sz w:val="12"/>
                <w:szCs w:val="12"/>
                <w:color w:val="474C55"/>
              </w:rPr>
              <w:t>109,927</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34,806</w:t>
            </w:r>
          </w:p>
        </w:tc>
        <w:tc>
          <w:tcPr>
            <w:tcW w:w="240" w:type="dxa"/>
            <w:vAlign w:val="bottom"/>
          </w:tcPr>
          <w:p>
            <w:pPr>
              <w:spacing w:after="0"/>
              <w:rPr>
                <w:sz w:val="10"/>
                <w:szCs w:val="10"/>
                <w:color w:val="auto"/>
              </w:rPr>
            </w:pPr>
          </w:p>
        </w:tc>
        <w:tc>
          <w:tcPr>
            <w:tcW w:w="980" w:type="dxa"/>
            <w:vAlign w:val="bottom"/>
            <w:vMerge w:val="restart"/>
          </w:tcPr>
          <w:p>
            <w:pPr>
              <w:jc w:val="right"/>
              <w:ind w:right="102"/>
              <w:spacing w:after="0"/>
              <w:rPr>
                <w:sz w:val="20"/>
                <w:szCs w:val="20"/>
                <w:color w:val="auto"/>
              </w:rPr>
            </w:pPr>
            <w:r>
              <w:rPr>
                <w:rFonts w:ascii="Arial" w:cs="Arial" w:eastAsia="Arial" w:hAnsi="Arial"/>
                <w:sz w:val="12"/>
                <w:szCs w:val="12"/>
                <w:color w:val="auto"/>
              </w:rPr>
              <w:t>1,055,874</w:t>
            </w:r>
          </w:p>
        </w:tc>
        <w:tc>
          <w:tcPr>
            <w:tcW w:w="0" w:type="dxa"/>
            <w:vAlign w:val="bottom"/>
          </w:tcPr>
          <w:p>
            <w:pPr>
              <w:spacing w:after="0"/>
              <w:rPr>
                <w:sz w:val="1"/>
                <w:szCs w:val="1"/>
                <w:color w:val="auto"/>
              </w:rPr>
            </w:pPr>
          </w:p>
        </w:tc>
      </w:tr>
      <w:tr>
        <w:trPr>
          <w:trHeight w:val="77"/>
        </w:trPr>
        <w:tc>
          <w:tcPr>
            <w:tcW w:w="2260" w:type="dxa"/>
            <w:vAlign w:val="bottom"/>
            <w:vMerge w:val="restart"/>
          </w:tcPr>
          <w:p>
            <w:pPr>
              <w:ind w:left="60"/>
              <w:spacing w:after="0"/>
              <w:rPr>
                <w:sz w:val="20"/>
                <w:szCs w:val="20"/>
                <w:color w:val="auto"/>
              </w:rPr>
            </w:pPr>
            <w:r>
              <w:rPr>
                <w:rFonts w:ascii="Arial" w:cs="Arial" w:eastAsia="Arial" w:hAnsi="Arial"/>
                <w:sz w:val="12"/>
                <w:szCs w:val="12"/>
                <w:color w:val="474C55"/>
              </w:rPr>
              <w:t>Chief Risk Officer</w:t>
            </w:r>
          </w:p>
        </w:tc>
        <w:tc>
          <w:tcPr>
            <w:tcW w:w="7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260" w:type="dxa"/>
            <w:vAlign w:val="bottom"/>
            <w:vMerge w:val="continue"/>
          </w:tcPr>
          <w:p>
            <w:pPr>
              <w:spacing w:after="0"/>
              <w:rPr>
                <w:sz w:val="6"/>
                <w:szCs w:val="6"/>
                <w:color w:val="auto"/>
              </w:rPr>
            </w:pPr>
          </w:p>
        </w:tc>
        <w:tc>
          <w:tcPr>
            <w:tcW w:w="780" w:type="dxa"/>
            <w:vAlign w:val="bottom"/>
            <w:vMerge w:val="restart"/>
          </w:tcPr>
          <w:p>
            <w:pPr>
              <w:jc w:val="right"/>
              <w:ind w:right="202"/>
              <w:spacing w:after="0"/>
              <w:rPr>
                <w:sz w:val="20"/>
                <w:szCs w:val="20"/>
                <w:color w:val="auto"/>
              </w:rPr>
            </w:pPr>
            <w:r>
              <w:rPr>
                <w:rFonts w:ascii="Arial" w:cs="Arial" w:eastAsia="Arial" w:hAnsi="Arial"/>
                <w:sz w:val="12"/>
                <w:szCs w:val="12"/>
                <w:color w:val="474C55"/>
              </w:rPr>
              <w:t>2022</w:t>
            </w:r>
          </w:p>
        </w:tc>
        <w:tc>
          <w:tcPr>
            <w:tcW w:w="1360" w:type="dxa"/>
            <w:vAlign w:val="bottom"/>
            <w:vMerge w:val="restart"/>
          </w:tcPr>
          <w:p>
            <w:pPr>
              <w:jc w:val="right"/>
              <w:ind w:right="122"/>
              <w:spacing w:after="0"/>
              <w:rPr>
                <w:sz w:val="20"/>
                <w:szCs w:val="20"/>
                <w:color w:val="auto"/>
              </w:rPr>
            </w:pPr>
            <w:r>
              <w:rPr>
                <w:rFonts w:ascii="Arial" w:cs="Arial" w:eastAsia="Arial" w:hAnsi="Arial"/>
                <w:sz w:val="12"/>
                <w:szCs w:val="12"/>
                <w:color w:val="474C55"/>
              </w:rPr>
              <w:t>425,000</w:t>
            </w:r>
          </w:p>
        </w:tc>
        <w:tc>
          <w:tcPr>
            <w:tcW w:w="1500" w:type="dxa"/>
            <w:vAlign w:val="bottom"/>
            <w:vMerge w:val="restart"/>
          </w:tcPr>
          <w:p>
            <w:pPr>
              <w:jc w:val="right"/>
              <w:ind w:right="162"/>
              <w:spacing w:after="0"/>
              <w:rPr>
                <w:sz w:val="20"/>
                <w:szCs w:val="20"/>
                <w:color w:val="auto"/>
              </w:rPr>
            </w:pPr>
            <w:r>
              <w:rPr>
                <w:rFonts w:ascii="Arial" w:cs="Arial" w:eastAsia="Arial" w:hAnsi="Arial"/>
                <w:sz w:val="12"/>
                <w:szCs w:val="12"/>
                <w:color w:val="474C55"/>
              </w:rPr>
              <w:t>-</w:t>
            </w:r>
          </w:p>
        </w:tc>
        <w:tc>
          <w:tcPr>
            <w:tcW w:w="1440" w:type="dxa"/>
            <w:vAlign w:val="bottom"/>
            <w:vMerge w:val="restart"/>
          </w:tcPr>
          <w:p>
            <w:pPr>
              <w:jc w:val="right"/>
              <w:ind w:right="123"/>
              <w:spacing w:after="0"/>
              <w:rPr>
                <w:sz w:val="20"/>
                <w:szCs w:val="20"/>
                <w:color w:val="auto"/>
              </w:rPr>
            </w:pPr>
            <w:r>
              <w:rPr>
                <w:rFonts w:ascii="Arial" w:cs="Arial" w:eastAsia="Arial" w:hAnsi="Arial"/>
                <w:sz w:val="12"/>
                <w:szCs w:val="12"/>
                <w:color w:val="474C55"/>
              </w:rPr>
              <w:t>369,878</w:t>
            </w:r>
          </w:p>
        </w:tc>
        <w:tc>
          <w:tcPr>
            <w:tcW w:w="1640" w:type="dxa"/>
            <w:vAlign w:val="bottom"/>
            <w:vMerge w:val="restart"/>
          </w:tcPr>
          <w:p>
            <w:pPr>
              <w:jc w:val="right"/>
              <w:ind w:right="82"/>
              <w:spacing w:after="0"/>
              <w:rPr>
                <w:sz w:val="20"/>
                <w:szCs w:val="20"/>
                <w:color w:val="auto"/>
              </w:rPr>
            </w:pPr>
            <w:r>
              <w:rPr>
                <w:rFonts w:ascii="Arial" w:cs="Arial" w:eastAsia="Arial" w:hAnsi="Arial"/>
                <w:sz w:val="12"/>
                <w:szCs w:val="12"/>
                <w:color w:val="474C55"/>
              </w:rPr>
              <w:t>-</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34,322</w:t>
            </w:r>
          </w:p>
        </w:tc>
        <w:tc>
          <w:tcPr>
            <w:tcW w:w="240" w:type="dxa"/>
            <w:vAlign w:val="bottom"/>
          </w:tcPr>
          <w:p>
            <w:pPr>
              <w:spacing w:after="0"/>
              <w:rPr>
                <w:sz w:val="6"/>
                <w:szCs w:val="6"/>
                <w:color w:val="auto"/>
              </w:rPr>
            </w:pPr>
          </w:p>
        </w:tc>
        <w:tc>
          <w:tcPr>
            <w:tcW w:w="980" w:type="dxa"/>
            <w:vAlign w:val="bottom"/>
            <w:vMerge w:val="restart"/>
          </w:tcPr>
          <w:p>
            <w:pPr>
              <w:jc w:val="right"/>
              <w:ind w:right="102"/>
              <w:spacing w:after="0"/>
              <w:rPr>
                <w:sz w:val="20"/>
                <w:szCs w:val="20"/>
                <w:color w:val="auto"/>
              </w:rPr>
            </w:pPr>
            <w:r>
              <w:rPr>
                <w:rFonts w:ascii="Arial" w:cs="Arial" w:eastAsia="Arial" w:hAnsi="Arial"/>
                <w:sz w:val="12"/>
                <w:szCs w:val="12"/>
                <w:color w:val="auto"/>
              </w:rPr>
              <w:t>829,200</w:t>
            </w:r>
          </w:p>
        </w:tc>
        <w:tc>
          <w:tcPr>
            <w:tcW w:w="0" w:type="dxa"/>
            <w:vAlign w:val="bottom"/>
          </w:tcPr>
          <w:p>
            <w:pPr>
              <w:spacing w:after="0"/>
              <w:rPr>
                <w:sz w:val="1"/>
                <w:szCs w:val="1"/>
                <w:color w:val="auto"/>
              </w:rPr>
            </w:pPr>
          </w:p>
        </w:tc>
      </w:tr>
      <w:tr>
        <w:trPr>
          <w:trHeight w:val="89"/>
        </w:trPr>
        <w:tc>
          <w:tcPr>
            <w:tcW w:w="2260" w:type="dxa"/>
            <w:vAlign w:val="bottom"/>
            <w:tcBorders>
              <w:bottom w:val="single" w:sz="8" w:color="E5E6E6"/>
            </w:tcBorders>
          </w:tcPr>
          <w:p>
            <w:pPr>
              <w:spacing w:after="0"/>
              <w:rPr>
                <w:sz w:val="7"/>
                <w:szCs w:val="7"/>
                <w:color w:val="auto"/>
              </w:rPr>
            </w:pPr>
          </w:p>
        </w:tc>
        <w:tc>
          <w:tcPr>
            <w:tcW w:w="780" w:type="dxa"/>
            <w:vAlign w:val="bottom"/>
            <w:tcBorders>
              <w:bottom w:val="single" w:sz="8" w:color="E5E6E6"/>
            </w:tcBorders>
            <w:vMerge w:val="continue"/>
          </w:tcPr>
          <w:p>
            <w:pPr>
              <w:spacing w:after="0"/>
              <w:rPr>
                <w:sz w:val="7"/>
                <w:szCs w:val="7"/>
                <w:color w:val="auto"/>
              </w:rPr>
            </w:pPr>
          </w:p>
        </w:tc>
        <w:tc>
          <w:tcPr>
            <w:tcW w:w="1360" w:type="dxa"/>
            <w:vAlign w:val="bottom"/>
            <w:tcBorders>
              <w:bottom w:val="single" w:sz="8" w:color="E5E6E6"/>
            </w:tcBorders>
            <w:vMerge w:val="continue"/>
          </w:tcPr>
          <w:p>
            <w:pPr>
              <w:spacing w:after="0"/>
              <w:rPr>
                <w:sz w:val="7"/>
                <w:szCs w:val="7"/>
                <w:color w:val="auto"/>
              </w:rPr>
            </w:pPr>
          </w:p>
        </w:tc>
        <w:tc>
          <w:tcPr>
            <w:tcW w:w="1500" w:type="dxa"/>
            <w:vAlign w:val="bottom"/>
            <w:tcBorders>
              <w:bottom w:val="single" w:sz="8" w:color="E5E6E6"/>
            </w:tcBorders>
            <w:vMerge w:val="continue"/>
          </w:tcPr>
          <w:p>
            <w:pPr>
              <w:spacing w:after="0"/>
              <w:rPr>
                <w:sz w:val="7"/>
                <w:szCs w:val="7"/>
                <w:color w:val="auto"/>
              </w:rPr>
            </w:pPr>
          </w:p>
        </w:tc>
        <w:tc>
          <w:tcPr>
            <w:tcW w:w="1440" w:type="dxa"/>
            <w:vAlign w:val="bottom"/>
            <w:tcBorders>
              <w:bottom w:val="single" w:sz="8" w:color="E5E6E6"/>
            </w:tcBorders>
            <w:vMerge w:val="continue"/>
          </w:tcPr>
          <w:p>
            <w:pPr>
              <w:spacing w:after="0"/>
              <w:rPr>
                <w:sz w:val="7"/>
                <w:szCs w:val="7"/>
                <w:color w:val="auto"/>
              </w:rPr>
            </w:pPr>
          </w:p>
        </w:tc>
        <w:tc>
          <w:tcPr>
            <w:tcW w:w="1640" w:type="dxa"/>
            <w:vAlign w:val="bottom"/>
            <w:tcBorders>
              <w:bottom w:val="single" w:sz="8" w:color="E5E6E6"/>
            </w:tcBorders>
            <w:vMerge w:val="continue"/>
          </w:tcPr>
          <w:p>
            <w:pPr>
              <w:spacing w:after="0"/>
              <w:rPr>
                <w:sz w:val="7"/>
                <w:szCs w:val="7"/>
                <w:color w:val="auto"/>
              </w:rPr>
            </w:pPr>
          </w:p>
        </w:tc>
        <w:tc>
          <w:tcPr>
            <w:tcW w:w="1040" w:type="dxa"/>
            <w:vAlign w:val="bottom"/>
            <w:tcBorders>
              <w:bottom w:val="single" w:sz="8" w:color="E5E6E6"/>
            </w:tcBorders>
            <w:vMerge w:val="continue"/>
          </w:tcPr>
          <w:p>
            <w:pPr>
              <w:spacing w:after="0"/>
              <w:rPr>
                <w:sz w:val="7"/>
                <w:szCs w:val="7"/>
                <w:color w:val="auto"/>
              </w:rPr>
            </w:pPr>
          </w:p>
        </w:tc>
        <w:tc>
          <w:tcPr>
            <w:tcW w:w="240" w:type="dxa"/>
            <w:vAlign w:val="bottom"/>
            <w:tcBorders>
              <w:bottom w:val="single" w:sz="8" w:color="E5E6E6"/>
            </w:tcBorders>
          </w:tcPr>
          <w:p>
            <w:pPr>
              <w:spacing w:after="0"/>
              <w:rPr>
                <w:sz w:val="7"/>
                <w:szCs w:val="7"/>
                <w:color w:val="auto"/>
              </w:rPr>
            </w:pPr>
          </w:p>
        </w:tc>
        <w:tc>
          <w:tcPr>
            <w:tcW w:w="980" w:type="dxa"/>
            <w:vAlign w:val="bottom"/>
            <w:tcBorders>
              <w:bottom w:val="single" w:sz="8" w:color="E5E6E6"/>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60" w:hanging="247"/>
        <w:spacing w:after="0"/>
        <w:tabs>
          <w:tab w:leader="none" w:pos="360" w:val="left"/>
        </w:tabs>
        <w:numPr>
          <w:ilvl w:val="0"/>
          <w:numId w:val="37"/>
        </w:numPr>
        <w:rPr>
          <w:rFonts w:ascii="Arial" w:cs="Arial" w:eastAsia="Arial" w:hAnsi="Arial"/>
          <w:sz w:val="22"/>
          <w:szCs w:val="22"/>
          <w:color w:val="474C55"/>
          <w:vertAlign w:val="superscript"/>
        </w:rPr>
      </w:pPr>
      <w:r>
        <w:rPr>
          <w:rFonts w:ascii="Arial" w:cs="Arial" w:eastAsia="Arial" w:hAnsi="Arial"/>
          <w:sz w:val="13"/>
          <w:szCs w:val="13"/>
          <w:color w:val="474C55"/>
        </w:rPr>
        <w:t>Reflects current principal positions.</w:t>
      </w:r>
    </w:p>
    <w:p>
      <w:pPr>
        <w:ind w:left="360" w:hanging="247"/>
        <w:spacing w:after="0" w:line="184" w:lineRule="auto"/>
        <w:tabs>
          <w:tab w:leader="none" w:pos="360" w:val="left"/>
        </w:tabs>
        <w:numPr>
          <w:ilvl w:val="0"/>
          <w:numId w:val="38"/>
        </w:numPr>
        <w:rPr>
          <w:rFonts w:ascii="Arial" w:cs="Arial" w:eastAsia="Arial" w:hAnsi="Arial"/>
          <w:sz w:val="17"/>
          <w:szCs w:val="17"/>
          <w:color w:val="474C55"/>
          <w:vertAlign w:val="superscript"/>
        </w:rPr>
      </w:pPr>
      <w:r>
        <w:rPr>
          <w:rFonts w:ascii="Arial" w:cs="Arial" w:eastAsia="Arial" w:hAnsi="Arial"/>
          <w:sz w:val="11"/>
          <w:szCs w:val="11"/>
          <w:color w:val="474C55"/>
        </w:rPr>
        <w:t>Includes any amounts voluntarily deferred under our Deferred Compensation Plan. See Nonqualified Deferred Compensation.</w:t>
      </w:r>
    </w:p>
    <w:p>
      <w:pPr>
        <w:ind w:left="360" w:right="120" w:hanging="247"/>
        <w:spacing w:after="0" w:line="220" w:lineRule="auto"/>
        <w:tabs>
          <w:tab w:leader="none" w:pos="360" w:val="left"/>
        </w:tabs>
        <w:numPr>
          <w:ilvl w:val="0"/>
          <w:numId w:val="39"/>
        </w:numPr>
        <w:rPr>
          <w:rFonts w:ascii="Arial" w:cs="Arial" w:eastAsia="Arial" w:hAnsi="Arial"/>
          <w:sz w:val="22"/>
          <w:szCs w:val="22"/>
          <w:color w:val="474C55"/>
          <w:vertAlign w:val="superscript"/>
        </w:rPr>
      </w:pPr>
      <w:r>
        <w:rPr>
          <w:rFonts w:ascii="Arial" w:cs="Arial" w:eastAsia="Arial" w:hAnsi="Arial"/>
          <w:sz w:val="13"/>
          <w:szCs w:val="13"/>
          <w:color w:val="474C55"/>
        </w:rPr>
        <w:t>The amounts reported represent the aggregate grant date fair value of restricted stock units awarded in each fiscal year for which compensation is required to be reported in the table for each NEO, in each case computed in accordance with FASB ASC Topic 718. See Note 16 of our annual consolidated financial statements included in our Annual Report on Form 10-K for the year ended December 31, 2024, filed with the SEC on February 27, 2025, for a discussion of valuation assumptions. The PRSUs awarded in each fiscal year for which compensation is required to be reported in the table for each NEO are subject to performance conditions, and the reported value at the grant date is based upon the probable outcome of such conditions on such date. The values of the stock awards at the grant date assuming that the highest level of performance conditions will be achieved related to performance-based awards are as follows for each fiscal year required to be reported for each applicable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5434330</wp:posOffset>
            </wp:positionH>
            <wp:positionV relativeFrom="paragraph">
              <wp:posOffset>85090</wp:posOffset>
            </wp:positionV>
            <wp:extent cx="8255" cy="6750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67500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85090</wp:posOffset>
            </wp:positionV>
            <wp:extent cx="8255" cy="675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675005"/>
                    </a:xfrm>
                    <a:prstGeom prst="rect">
                      <a:avLst/>
                    </a:prstGeom>
                    <a:noFill/>
                  </pic:spPr>
                </pic:pic>
              </a:graphicData>
            </a:graphic>
          </wp:anchor>
        </w:drawing>
        <w:drawing>
          <wp:anchor simplePos="0" relativeHeight="251657728" behindDoc="1" locked="0" layoutInCell="0" allowOverlap="1">
            <wp:simplePos x="0" y="0"/>
            <wp:positionH relativeFrom="column">
              <wp:posOffset>3448050</wp:posOffset>
            </wp:positionH>
            <wp:positionV relativeFrom="paragraph">
              <wp:posOffset>85090</wp:posOffset>
            </wp:positionV>
            <wp:extent cx="8255" cy="675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675005"/>
                    </a:xfrm>
                    <a:prstGeom prst="rect">
                      <a:avLst/>
                    </a:prstGeom>
                    <a:noFill/>
                  </pic:spPr>
                </pic:pic>
              </a:graphicData>
            </a:graphic>
          </wp:anchor>
        </w:drawing>
        <w:drawing>
          <wp:anchor simplePos="0" relativeHeight="251657728" behindDoc="1" locked="0" layoutInCell="0" allowOverlap="1">
            <wp:simplePos x="0" y="0"/>
            <wp:positionH relativeFrom="column">
              <wp:posOffset>2454910</wp:posOffset>
            </wp:positionH>
            <wp:positionV relativeFrom="paragraph">
              <wp:posOffset>85090</wp:posOffset>
            </wp:positionV>
            <wp:extent cx="8255" cy="2381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23812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85090</wp:posOffset>
            </wp:positionV>
            <wp:extent cx="8255" cy="6750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675005"/>
                    </a:xfrm>
                    <a:prstGeom prst="rect">
                      <a:avLst/>
                    </a:prstGeom>
                    <a:noFill/>
                  </pic:spPr>
                </pic:pic>
              </a:graphicData>
            </a:graphic>
          </wp:anchor>
        </w:drawing>
      </w:r>
    </w:p>
    <w:p>
      <w:pPr>
        <w:spacing w:after="0" w:line="114" w:lineRule="exact"/>
        <w:rPr>
          <w:sz w:val="20"/>
          <w:szCs w:val="20"/>
          <w:color w:val="auto"/>
        </w:rPr>
      </w:pPr>
    </w:p>
    <w:tbl>
      <w:tblPr>
        <w:tblLayout w:type="fixed"/>
        <w:tblInd w:w="340" w:type="dxa"/>
        <w:tblCellMar>
          <w:top w:w="0" w:type="dxa"/>
          <w:left w:w="0" w:type="dxa"/>
          <w:bottom w:w="0" w:type="dxa"/>
          <w:right w:w="0" w:type="dxa"/>
        </w:tblCellMar>
      </w:tblPr>
      <w:tr>
        <w:trPr>
          <w:trHeight w:val="261"/>
        </w:trPr>
        <w:tc>
          <w:tcPr>
            <w:tcW w:w="1300" w:type="dxa"/>
            <w:vAlign w:val="bottom"/>
            <w:shd w:val="clear" w:color="auto" w:fill="1077A9"/>
          </w:tcPr>
          <w:p>
            <w:pPr>
              <w:ind w:left="80"/>
              <w:spacing w:after="0"/>
              <w:rPr>
                <w:sz w:val="20"/>
                <w:szCs w:val="20"/>
                <w:color w:val="auto"/>
              </w:rPr>
            </w:pPr>
            <w:r>
              <w:rPr>
                <w:rFonts w:ascii="Arial" w:cs="Arial" w:eastAsia="Arial" w:hAnsi="Arial"/>
                <w:sz w:val="12"/>
                <w:szCs w:val="12"/>
                <w:color w:val="FFFFFF"/>
              </w:rPr>
              <w:t>Year</w:t>
            </w:r>
          </w:p>
        </w:tc>
        <w:tc>
          <w:tcPr>
            <w:tcW w:w="2200" w:type="dxa"/>
            <w:vAlign w:val="bottom"/>
            <w:shd w:val="clear" w:color="auto" w:fill="1077A9"/>
          </w:tcPr>
          <w:p>
            <w:pPr>
              <w:jc w:val="right"/>
              <w:ind w:right="222"/>
              <w:spacing w:after="0"/>
              <w:rPr>
                <w:sz w:val="20"/>
                <w:szCs w:val="20"/>
                <w:color w:val="auto"/>
              </w:rPr>
            </w:pPr>
            <w:r>
              <w:rPr>
                <w:rFonts w:ascii="Arial" w:cs="Arial" w:eastAsia="Arial" w:hAnsi="Arial"/>
                <w:sz w:val="12"/>
                <w:szCs w:val="12"/>
                <w:color w:val="FFFFFF"/>
              </w:rPr>
              <w:t>H. Lynn Harton ($)</w:t>
            </w:r>
          </w:p>
        </w:tc>
        <w:tc>
          <w:tcPr>
            <w:tcW w:w="1600" w:type="dxa"/>
            <w:vAlign w:val="bottom"/>
            <w:shd w:val="clear" w:color="auto" w:fill="1077A9"/>
          </w:tcPr>
          <w:p>
            <w:pPr>
              <w:jc w:val="right"/>
              <w:ind w:right="62"/>
              <w:spacing w:after="0"/>
              <w:rPr>
                <w:sz w:val="20"/>
                <w:szCs w:val="20"/>
                <w:color w:val="auto"/>
              </w:rPr>
            </w:pPr>
            <w:r>
              <w:rPr>
                <w:rFonts w:ascii="Arial" w:cs="Arial" w:eastAsia="Arial" w:hAnsi="Arial"/>
                <w:sz w:val="12"/>
                <w:szCs w:val="12"/>
                <w:color w:val="FFFFFF"/>
              </w:rPr>
              <w:t>Jefferson L. Harralson ($)</w:t>
            </w:r>
          </w:p>
        </w:tc>
        <w:tc>
          <w:tcPr>
            <w:tcW w:w="1600" w:type="dxa"/>
            <w:vAlign w:val="bottom"/>
            <w:shd w:val="clear" w:color="auto" w:fill="1077A9"/>
          </w:tcPr>
          <w:p>
            <w:pPr>
              <w:jc w:val="right"/>
              <w:ind w:right="122"/>
              <w:spacing w:after="0"/>
              <w:rPr>
                <w:sz w:val="20"/>
                <w:szCs w:val="20"/>
                <w:color w:val="auto"/>
              </w:rPr>
            </w:pPr>
            <w:r>
              <w:rPr>
                <w:rFonts w:ascii="Arial" w:cs="Arial" w:eastAsia="Arial" w:hAnsi="Arial"/>
                <w:sz w:val="12"/>
                <w:szCs w:val="12"/>
                <w:color w:val="FFFFFF"/>
              </w:rPr>
              <w:t>Richard W. Bradshaw ($)</w:t>
            </w:r>
          </w:p>
        </w:tc>
        <w:tc>
          <w:tcPr>
            <w:tcW w:w="1540" w:type="dxa"/>
            <w:vAlign w:val="bottom"/>
            <w:shd w:val="clear" w:color="auto" w:fill="1077A9"/>
          </w:tcPr>
          <w:p>
            <w:pPr>
              <w:jc w:val="right"/>
              <w:ind w:right="182"/>
              <w:spacing w:after="0"/>
              <w:rPr>
                <w:sz w:val="20"/>
                <w:szCs w:val="20"/>
                <w:color w:val="auto"/>
              </w:rPr>
            </w:pPr>
            <w:r>
              <w:rPr>
                <w:rFonts w:ascii="Arial" w:cs="Arial" w:eastAsia="Arial" w:hAnsi="Arial"/>
                <w:sz w:val="12"/>
                <w:szCs w:val="12"/>
                <w:color w:val="FFFFFF"/>
              </w:rPr>
              <w:t>Melinda Davis Lux ($)</w:t>
            </w:r>
          </w:p>
        </w:tc>
        <w:tc>
          <w:tcPr>
            <w:tcW w:w="1540" w:type="dxa"/>
            <w:vAlign w:val="bottom"/>
            <w:shd w:val="clear" w:color="auto" w:fill="1077A9"/>
          </w:tcPr>
          <w:p>
            <w:pPr>
              <w:jc w:val="right"/>
              <w:ind w:right="142"/>
              <w:spacing w:after="0"/>
              <w:rPr>
                <w:sz w:val="20"/>
                <w:szCs w:val="20"/>
                <w:color w:val="auto"/>
              </w:rPr>
            </w:pPr>
            <w:r>
              <w:rPr>
                <w:rFonts w:ascii="Arial" w:cs="Arial" w:eastAsia="Arial" w:hAnsi="Arial"/>
                <w:sz w:val="12"/>
                <w:szCs w:val="12"/>
                <w:color w:val="FFFFFF"/>
              </w:rPr>
              <w:t>Robert A. Edwards ($)</w:t>
            </w:r>
          </w:p>
        </w:tc>
      </w:tr>
      <w:tr>
        <w:trPr>
          <w:trHeight w:val="114"/>
        </w:trPr>
        <w:tc>
          <w:tcPr>
            <w:tcW w:w="1300" w:type="dxa"/>
            <w:vAlign w:val="bottom"/>
            <w:shd w:val="clear" w:color="auto" w:fill="1077A9"/>
          </w:tcPr>
          <w:p>
            <w:pPr>
              <w:spacing w:after="0"/>
              <w:rPr>
                <w:sz w:val="9"/>
                <w:szCs w:val="9"/>
                <w:color w:val="auto"/>
              </w:rPr>
            </w:pPr>
          </w:p>
        </w:tc>
        <w:tc>
          <w:tcPr>
            <w:tcW w:w="2200" w:type="dxa"/>
            <w:vAlign w:val="bottom"/>
            <w:shd w:val="clear" w:color="auto" w:fill="1077A9"/>
          </w:tcPr>
          <w:p>
            <w:pPr>
              <w:spacing w:after="0"/>
              <w:rPr>
                <w:sz w:val="9"/>
                <w:szCs w:val="9"/>
                <w:color w:val="auto"/>
              </w:rPr>
            </w:pPr>
          </w:p>
        </w:tc>
        <w:tc>
          <w:tcPr>
            <w:tcW w:w="1600" w:type="dxa"/>
            <w:vAlign w:val="bottom"/>
            <w:shd w:val="clear" w:color="auto" w:fill="1077A9"/>
          </w:tcPr>
          <w:p>
            <w:pPr>
              <w:spacing w:after="0"/>
              <w:rPr>
                <w:sz w:val="9"/>
                <w:szCs w:val="9"/>
                <w:color w:val="auto"/>
              </w:rPr>
            </w:pPr>
          </w:p>
        </w:tc>
        <w:tc>
          <w:tcPr>
            <w:tcW w:w="1600" w:type="dxa"/>
            <w:vAlign w:val="bottom"/>
            <w:shd w:val="clear" w:color="auto" w:fill="1077A9"/>
          </w:tcPr>
          <w:p>
            <w:pPr>
              <w:spacing w:after="0"/>
              <w:rPr>
                <w:sz w:val="9"/>
                <w:szCs w:val="9"/>
                <w:color w:val="auto"/>
              </w:rPr>
            </w:pPr>
          </w:p>
        </w:tc>
        <w:tc>
          <w:tcPr>
            <w:tcW w:w="1540" w:type="dxa"/>
            <w:vAlign w:val="bottom"/>
            <w:shd w:val="clear" w:color="auto" w:fill="1077A9"/>
          </w:tcPr>
          <w:p>
            <w:pPr>
              <w:spacing w:after="0"/>
              <w:rPr>
                <w:sz w:val="9"/>
                <w:szCs w:val="9"/>
                <w:color w:val="auto"/>
              </w:rPr>
            </w:pPr>
          </w:p>
        </w:tc>
        <w:tc>
          <w:tcPr>
            <w:tcW w:w="1540" w:type="dxa"/>
            <w:vAlign w:val="bottom"/>
            <w:shd w:val="clear" w:color="auto" w:fill="1077A9"/>
          </w:tcPr>
          <w:p>
            <w:pPr>
              <w:spacing w:after="0"/>
              <w:rPr>
                <w:sz w:val="9"/>
                <w:szCs w:val="9"/>
                <w:color w:val="auto"/>
              </w:rPr>
            </w:pPr>
          </w:p>
        </w:tc>
      </w:tr>
      <w:tr>
        <w:trPr>
          <w:trHeight w:val="186"/>
        </w:trPr>
        <w:tc>
          <w:tcPr>
            <w:tcW w:w="1300" w:type="dxa"/>
            <w:vAlign w:val="bottom"/>
          </w:tcPr>
          <w:p>
            <w:pPr>
              <w:ind w:left="80"/>
              <w:spacing w:after="0"/>
              <w:rPr>
                <w:sz w:val="20"/>
                <w:szCs w:val="20"/>
                <w:color w:val="auto"/>
              </w:rPr>
            </w:pPr>
            <w:r>
              <w:rPr>
                <w:rFonts w:ascii="Arial" w:cs="Arial" w:eastAsia="Arial" w:hAnsi="Arial"/>
                <w:sz w:val="12"/>
                <w:szCs w:val="12"/>
                <w:color w:val="474C55"/>
              </w:rPr>
              <w:t>2024</w:t>
            </w:r>
          </w:p>
        </w:tc>
        <w:tc>
          <w:tcPr>
            <w:tcW w:w="2200" w:type="dxa"/>
            <w:vAlign w:val="bottom"/>
          </w:tcPr>
          <w:p>
            <w:pPr>
              <w:jc w:val="right"/>
              <w:ind w:right="82"/>
              <w:spacing w:after="0"/>
              <w:rPr>
                <w:sz w:val="20"/>
                <w:szCs w:val="20"/>
                <w:color w:val="auto"/>
              </w:rPr>
            </w:pPr>
            <w:r>
              <w:rPr>
                <w:rFonts w:ascii="Arial" w:cs="Arial" w:eastAsia="Arial" w:hAnsi="Arial"/>
                <w:sz w:val="12"/>
                <w:szCs w:val="12"/>
                <w:color w:val="474C55"/>
              </w:rPr>
              <w:t>$ 3,274,114</w:t>
            </w:r>
          </w:p>
        </w:tc>
        <w:tc>
          <w:tcPr>
            <w:tcW w:w="1600" w:type="dxa"/>
            <w:vAlign w:val="bottom"/>
          </w:tcPr>
          <w:p>
            <w:pPr>
              <w:jc w:val="right"/>
              <w:ind w:right="122"/>
              <w:spacing w:after="0"/>
              <w:rPr>
                <w:sz w:val="20"/>
                <w:szCs w:val="20"/>
                <w:color w:val="auto"/>
              </w:rPr>
            </w:pPr>
            <w:r>
              <w:rPr>
                <w:rFonts w:ascii="Arial" w:cs="Arial" w:eastAsia="Arial" w:hAnsi="Arial"/>
                <w:sz w:val="12"/>
                <w:szCs w:val="12"/>
                <w:color w:val="474C55"/>
              </w:rPr>
              <w:t>$ 802,255</w:t>
            </w:r>
          </w:p>
        </w:tc>
        <w:tc>
          <w:tcPr>
            <w:tcW w:w="1600" w:type="dxa"/>
            <w:vAlign w:val="bottom"/>
          </w:tcPr>
          <w:p>
            <w:pPr>
              <w:jc w:val="right"/>
              <w:ind w:right="162"/>
              <w:spacing w:after="0"/>
              <w:rPr>
                <w:sz w:val="20"/>
                <w:szCs w:val="20"/>
                <w:color w:val="auto"/>
              </w:rPr>
            </w:pPr>
            <w:r>
              <w:rPr>
                <w:rFonts w:ascii="Arial" w:cs="Arial" w:eastAsia="Arial" w:hAnsi="Arial"/>
                <w:sz w:val="12"/>
                <w:szCs w:val="12"/>
                <w:color w:val="474C55"/>
              </w:rPr>
              <w:t>$ 946,090</w:t>
            </w:r>
          </w:p>
        </w:tc>
        <w:tc>
          <w:tcPr>
            <w:tcW w:w="1540" w:type="dxa"/>
            <w:vAlign w:val="bottom"/>
          </w:tcPr>
          <w:p>
            <w:pPr>
              <w:jc w:val="right"/>
              <w:ind w:right="142"/>
              <w:spacing w:after="0"/>
              <w:rPr>
                <w:sz w:val="20"/>
                <w:szCs w:val="20"/>
                <w:color w:val="auto"/>
              </w:rPr>
            </w:pPr>
            <w:r>
              <w:rPr>
                <w:rFonts w:ascii="Arial" w:cs="Arial" w:eastAsia="Arial" w:hAnsi="Arial"/>
                <w:sz w:val="12"/>
                <w:szCs w:val="12"/>
                <w:color w:val="474C55"/>
              </w:rPr>
              <w:t>$ 719,060</w:t>
            </w:r>
          </w:p>
        </w:tc>
        <w:tc>
          <w:tcPr>
            <w:tcW w:w="1540" w:type="dxa"/>
            <w:vAlign w:val="bottom"/>
          </w:tcPr>
          <w:p>
            <w:pPr>
              <w:jc w:val="right"/>
              <w:ind w:right="102"/>
              <w:spacing w:after="0"/>
              <w:rPr>
                <w:sz w:val="20"/>
                <w:szCs w:val="20"/>
                <w:color w:val="auto"/>
              </w:rPr>
            </w:pPr>
            <w:r>
              <w:rPr>
                <w:rFonts w:ascii="Arial" w:cs="Arial" w:eastAsia="Arial" w:hAnsi="Arial"/>
                <w:sz w:val="12"/>
                <w:szCs w:val="12"/>
                <w:color w:val="474C55"/>
              </w:rPr>
              <w:t>$ 527,918</w:t>
            </w:r>
          </w:p>
        </w:tc>
      </w:tr>
      <w:tr>
        <w:trPr>
          <w:trHeight w:val="39"/>
        </w:trPr>
        <w:tc>
          <w:tcPr>
            <w:tcW w:w="13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05"/>
        </w:trPr>
        <w:tc>
          <w:tcPr>
            <w:tcW w:w="1300" w:type="dxa"/>
            <w:vAlign w:val="bottom"/>
            <w:tcBorders>
              <w:bottom w:val="single" w:sz="8" w:color="E5E6E6"/>
            </w:tcBorders>
            <w:shd w:val="clear" w:color="auto" w:fill="E5E6E6"/>
          </w:tcPr>
          <w:p>
            <w:pPr>
              <w:ind w:left="80"/>
              <w:spacing w:after="0"/>
              <w:rPr>
                <w:sz w:val="20"/>
                <w:szCs w:val="20"/>
                <w:color w:val="auto"/>
              </w:rPr>
            </w:pPr>
            <w:r>
              <w:rPr>
                <w:rFonts w:ascii="Arial" w:cs="Arial" w:eastAsia="Arial" w:hAnsi="Arial"/>
                <w:sz w:val="12"/>
                <w:szCs w:val="12"/>
                <w:color w:val="474C55"/>
              </w:rPr>
              <w:t>2023</w:t>
            </w:r>
          </w:p>
        </w:tc>
        <w:tc>
          <w:tcPr>
            <w:tcW w:w="2200" w:type="dxa"/>
            <w:vAlign w:val="bottom"/>
            <w:tcBorders>
              <w:bottom w:val="single" w:sz="8" w:color="E5E6E6"/>
            </w:tcBorders>
            <w:shd w:val="clear" w:color="auto" w:fill="E5E6E6"/>
          </w:tcPr>
          <w:p>
            <w:pPr>
              <w:jc w:val="right"/>
              <w:ind w:right="82"/>
              <w:spacing w:after="0"/>
              <w:rPr>
                <w:sz w:val="20"/>
                <w:szCs w:val="20"/>
                <w:color w:val="auto"/>
              </w:rPr>
            </w:pPr>
            <w:r>
              <w:rPr>
                <w:rFonts w:ascii="Arial" w:cs="Arial" w:eastAsia="Arial" w:hAnsi="Arial"/>
                <w:sz w:val="12"/>
                <w:szCs w:val="12"/>
                <w:color w:val="474C55"/>
              </w:rPr>
              <w:t>3,370,662</w:t>
            </w:r>
          </w:p>
        </w:tc>
        <w:tc>
          <w:tcPr>
            <w:tcW w:w="1600" w:type="dxa"/>
            <w:vAlign w:val="bottom"/>
            <w:tcBorders>
              <w:bottom w:val="single" w:sz="8" w:color="E5E6E6"/>
            </w:tcBorders>
            <w:shd w:val="clear" w:color="auto" w:fill="E5E6E6"/>
          </w:tcPr>
          <w:p>
            <w:pPr>
              <w:jc w:val="right"/>
              <w:ind w:right="122"/>
              <w:spacing w:after="0"/>
              <w:rPr>
                <w:sz w:val="20"/>
                <w:szCs w:val="20"/>
                <w:color w:val="auto"/>
              </w:rPr>
            </w:pPr>
            <w:r>
              <w:rPr>
                <w:rFonts w:ascii="Arial" w:cs="Arial" w:eastAsia="Arial" w:hAnsi="Arial"/>
                <w:sz w:val="12"/>
                <w:szCs w:val="12"/>
                <w:color w:val="474C55"/>
              </w:rPr>
              <w:t>826,617</w:t>
            </w:r>
          </w:p>
        </w:tc>
        <w:tc>
          <w:tcPr>
            <w:tcW w:w="1600" w:type="dxa"/>
            <w:vAlign w:val="bottom"/>
            <w:tcBorders>
              <w:bottom w:val="single" w:sz="8" w:color="E5E6E6"/>
            </w:tcBorders>
            <w:shd w:val="clear" w:color="auto" w:fill="E5E6E6"/>
          </w:tcPr>
          <w:p>
            <w:pPr>
              <w:jc w:val="right"/>
              <w:ind w:right="162"/>
              <w:spacing w:after="0"/>
              <w:rPr>
                <w:sz w:val="20"/>
                <w:szCs w:val="20"/>
                <w:color w:val="auto"/>
              </w:rPr>
            </w:pPr>
            <w:r>
              <w:rPr>
                <w:rFonts w:ascii="Arial" w:cs="Arial" w:eastAsia="Arial" w:hAnsi="Arial"/>
                <w:sz w:val="12"/>
                <w:szCs w:val="12"/>
                <w:color w:val="474C55"/>
              </w:rPr>
              <w:t>963,046</w:t>
            </w:r>
          </w:p>
        </w:tc>
        <w:tc>
          <w:tcPr>
            <w:tcW w:w="1540" w:type="dxa"/>
            <w:vAlign w:val="bottom"/>
            <w:tcBorders>
              <w:bottom w:val="single" w:sz="8" w:color="E5E6E6"/>
            </w:tcBorders>
            <w:shd w:val="clear" w:color="auto" w:fill="E5E6E6"/>
          </w:tcPr>
          <w:p>
            <w:pPr>
              <w:jc w:val="right"/>
              <w:ind w:right="142"/>
              <w:spacing w:after="0"/>
              <w:rPr>
                <w:sz w:val="20"/>
                <w:szCs w:val="20"/>
                <w:color w:val="auto"/>
              </w:rPr>
            </w:pPr>
            <w:r>
              <w:rPr>
                <w:rFonts w:ascii="Arial" w:cs="Arial" w:eastAsia="Arial" w:hAnsi="Arial"/>
                <w:sz w:val="12"/>
                <w:szCs w:val="12"/>
                <w:color w:val="474C55"/>
              </w:rPr>
              <w:t>541,729</w:t>
            </w:r>
          </w:p>
        </w:tc>
        <w:tc>
          <w:tcPr>
            <w:tcW w:w="1540" w:type="dxa"/>
            <w:vAlign w:val="bottom"/>
            <w:tcBorders>
              <w:bottom w:val="single" w:sz="8" w:color="E5E6E6"/>
            </w:tcBorders>
            <w:shd w:val="clear" w:color="auto" w:fill="E5E6E6"/>
          </w:tcPr>
          <w:p>
            <w:pPr>
              <w:jc w:val="right"/>
              <w:ind w:right="102"/>
              <w:spacing w:after="0"/>
              <w:rPr>
                <w:sz w:val="20"/>
                <w:szCs w:val="20"/>
                <w:color w:val="auto"/>
              </w:rPr>
            </w:pPr>
            <w:r>
              <w:rPr>
                <w:rFonts w:ascii="Arial" w:cs="Arial" w:eastAsia="Arial" w:hAnsi="Arial"/>
                <w:sz w:val="12"/>
                <w:szCs w:val="12"/>
                <w:color w:val="474C55"/>
              </w:rPr>
              <w:t>541,729</w:t>
            </w:r>
          </w:p>
        </w:tc>
      </w:tr>
      <w:tr>
        <w:trPr>
          <w:trHeight w:val="186"/>
        </w:trPr>
        <w:tc>
          <w:tcPr>
            <w:tcW w:w="1300" w:type="dxa"/>
            <w:vAlign w:val="bottom"/>
          </w:tcPr>
          <w:p>
            <w:pPr>
              <w:ind w:left="80"/>
              <w:spacing w:after="0"/>
              <w:rPr>
                <w:sz w:val="20"/>
                <w:szCs w:val="20"/>
                <w:color w:val="auto"/>
              </w:rPr>
            </w:pPr>
            <w:r>
              <w:rPr>
                <w:rFonts w:ascii="Arial" w:cs="Arial" w:eastAsia="Arial" w:hAnsi="Arial"/>
                <w:sz w:val="12"/>
                <w:szCs w:val="12"/>
                <w:color w:val="474C55"/>
              </w:rPr>
              <w:t>2022</w:t>
            </w:r>
          </w:p>
        </w:tc>
        <w:tc>
          <w:tcPr>
            <w:tcW w:w="2200" w:type="dxa"/>
            <w:vAlign w:val="bottom"/>
          </w:tcPr>
          <w:p>
            <w:pPr>
              <w:jc w:val="right"/>
              <w:ind w:right="82"/>
              <w:spacing w:after="0"/>
              <w:rPr>
                <w:sz w:val="20"/>
                <w:szCs w:val="20"/>
                <w:color w:val="auto"/>
              </w:rPr>
            </w:pPr>
            <w:r>
              <w:rPr>
                <w:rFonts w:ascii="Arial" w:cs="Arial" w:eastAsia="Arial" w:hAnsi="Arial"/>
                <w:sz w:val="12"/>
                <w:szCs w:val="12"/>
                <w:color w:val="474C55"/>
              </w:rPr>
              <w:t>-</w:t>
            </w:r>
          </w:p>
        </w:tc>
        <w:tc>
          <w:tcPr>
            <w:tcW w:w="1600" w:type="dxa"/>
            <w:vAlign w:val="bottom"/>
          </w:tcPr>
          <w:p>
            <w:pPr>
              <w:jc w:val="right"/>
              <w:ind w:right="122"/>
              <w:spacing w:after="0"/>
              <w:rPr>
                <w:sz w:val="20"/>
                <w:szCs w:val="20"/>
                <w:color w:val="auto"/>
              </w:rPr>
            </w:pPr>
            <w:r>
              <w:rPr>
                <w:rFonts w:ascii="Arial" w:cs="Arial" w:eastAsia="Arial" w:hAnsi="Arial"/>
                <w:sz w:val="12"/>
                <w:szCs w:val="12"/>
                <w:color w:val="474C55"/>
              </w:rPr>
              <w:t>-</w:t>
            </w:r>
          </w:p>
        </w:tc>
        <w:tc>
          <w:tcPr>
            <w:tcW w:w="1600" w:type="dxa"/>
            <w:vAlign w:val="bottom"/>
          </w:tcPr>
          <w:p>
            <w:pPr>
              <w:jc w:val="right"/>
              <w:ind w:right="162"/>
              <w:spacing w:after="0"/>
              <w:rPr>
                <w:sz w:val="20"/>
                <w:szCs w:val="20"/>
                <w:color w:val="auto"/>
              </w:rPr>
            </w:pPr>
            <w:r>
              <w:rPr>
                <w:rFonts w:ascii="Arial" w:cs="Arial" w:eastAsia="Arial" w:hAnsi="Arial"/>
                <w:sz w:val="12"/>
                <w:szCs w:val="12"/>
                <w:color w:val="474C55"/>
              </w:rPr>
              <w:t>-</w:t>
            </w:r>
          </w:p>
        </w:tc>
        <w:tc>
          <w:tcPr>
            <w:tcW w:w="1540" w:type="dxa"/>
            <w:vAlign w:val="bottom"/>
          </w:tcPr>
          <w:p>
            <w:pPr>
              <w:jc w:val="right"/>
              <w:ind w:right="142"/>
              <w:spacing w:after="0"/>
              <w:rPr>
                <w:sz w:val="20"/>
                <w:szCs w:val="20"/>
                <w:color w:val="auto"/>
              </w:rPr>
            </w:pPr>
            <w:r>
              <w:rPr>
                <w:rFonts w:ascii="Arial" w:cs="Arial" w:eastAsia="Arial" w:hAnsi="Arial"/>
                <w:sz w:val="12"/>
                <w:szCs w:val="12"/>
                <w:color w:val="474C55"/>
              </w:rPr>
              <w:t>-</w:t>
            </w:r>
          </w:p>
        </w:tc>
        <w:tc>
          <w:tcPr>
            <w:tcW w:w="1540" w:type="dxa"/>
            <w:vAlign w:val="bottom"/>
          </w:tcPr>
          <w:p>
            <w:pPr>
              <w:jc w:val="right"/>
              <w:ind w:right="102"/>
              <w:spacing w:after="0"/>
              <w:rPr>
                <w:sz w:val="20"/>
                <w:szCs w:val="20"/>
                <w:color w:val="auto"/>
              </w:rPr>
            </w:pPr>
            <w:r>
              <w:rPr>
                <w:rFonts w:ascii="Arial" w:cs="Arial" w:eastAsia="Arial" w:hAnsi="Arial"/>
                <w:sz w:val="12"/>
                <w:szCs w:val="12"/>
                <w:color w:val="auto"/>
              </w:rPr>
              <w:t>-</w:t>
            </w:r>
          </w:p>
        </w:tc>
      </w:tr>
      <w:tr>
        <w:trPr>
          <w:trHeight w:val="39"/>
        </w:trPr>
        <w:tc>
          <w:tcPr>
            <w:tcW w:w="1300" w:type="dxa"/>
            <w:vAlign w:val="bottom"/>
            <w:tcBorders>
              <w:bottom w:val="single" w:sz="8" w:color="E0E0E0"/>
            </w:tcBorders>
          </w:tcPr>
          <w:p>
            <w:pPr>
              <w:spacing w:after="0"/>
              <w:rPr>
                <w:sz w:val="3"/>
                <w:szCs w:val="3"/>
                <w:color w:val="auto"/>
              </w:rPr>
            </w:pPr>
          </w:p>
        </w:tc>
        <w:tc>
          <w:tcPr>
            <w:tcW w:w="2200" w:type="dxa"/>
            <w:vAlign w:val="bottom"/>
            <w:tcBorders>
              <w:bottom w:val="single" w:sz="8" w:color="E0E0E0"/>
            </w:tcBorders>
          </w:tcPr>
          <w:p>
            <w:pPr>
              <w:spacing w:after="0"/>
              <w:rPr>
                <w:sz w:val="3"/>
                <w:szCs w:val="3"/>
                <w:color w:val="auto"/>
              </w:rPr>
            </w:pPr>
          </w:p>
        </w:tc>
        <w:tc>
          <w:tcPr>
            <w:tcW w:w="1600" w:type="dxa"/>
            <w:vAlign w:val="bottom"/>
            <w:tcBorders>
              <w:bottom w:val="single" w:sz="8" w:color="E0E0E0"/>
            </w:tcBorders>
          </w:tcPr>
          <w:p>
            <w:pPr>
              <w:spacing w:after="0"/>
              <w:rPr>
                <w:sz w:val="3"/>
                <w:szCs w:val="3"/>
                <w:color w:val="auto"/>
              </w:rPr>
            </w:pPr>
          </w:p>
        </w:tc>
        <w:tc>
          <w:tcPr>
            <w:tcW w:w="1600" w:type="dxa"/>
            <w:vAlign w:val="bottom"/>
            <w:tcBorders>
              <w:bottom w:val="single" w:sz="8" w:color="E0E0E0"/>
            </w:tcBorders>
          </w:tcPr>
          <w:p>
            <w:pPr>
              <w:spacing w:after="0"/>
              <w:rPr>
                <w:sz w:val="3"/>
                <w:szCs w:val="3"/>
                <w:color w:val="auto"/>
              </w:rPr>
            </w:pPr>
          </w:p>
        </w:tc>
        <w:tc>
          <w:tcPr>
            <w:tcW w:w="1540" w:type="dxa"/>
            <w:vAlign w:val="bottom"/>
            <w:tcBorders>
              <w:bottom w:val="single" w:sz="8" w:color="E0E0E0"/>
            </w:tcBorders>
          </w:tcPr>
          <w:p>
            <w:pPr>
              <w:spacing w:after="0"/>
              <w:rPr>
                <w:sz w:val="3"/>
                <w:szCs w:val="3"/>
                <w:color w:val="auto"/>
              </w:rPr>
            </w:pPr>
          </w:p>
        </w:tc>
        <w:tc>
          <w:tcPr>
            <w:tcW w:w="1540" w:type="dxa"/>
            <w:vAlign w:val="bottom"/>
            <w:tcBorders>
              <w:bottom w:val="single" w:sz="8" w:color="E0E0E0"/>
            </w:tcBorders>
          </w:tcPr>
          <w:p>
            <w:pPr>
              <w:spacing w:after="0"/>
              <w:rPr>
                <w:sz w:val="3"/>
                <w:szCs w:val="3"/>
                <w:color w:val="auto"/>
              </w:rPr>
            </w:pPr>
          </w:p>
        </w:tc>
      </w:tr>
    </w:tbl>
    <w:p>
      <w:pPr>
        <w:spacing w:after="0" w:line="67" w:lineRule="exact"/>
        <w:rPr>
          <w:sz w:val="20"/>
          <w:szCs w:val="20"/>
          <w:color w:val="auto"/>
        </w:rPr>
      </w:pPr>
    </w:p>
    <w:p>
      <w:pPr>
        <w:ind w:left="380" w:right="100"/>
        <w:spacing w:after="0" w:line="244" w:lineRule="auto"/>
        <w:rPr>
          <w:sz w:val="20"/>
          <w:szCs w:val="20"/>
          <w:color w:val="auto"/>
        </w:rPr>
      </w:pPr>
      <w:r>
        <w:rPr>
          <w:rFonts w:ascii="Arial" w:cs="Arial" w:eastAsia="Arial" w:hAnsi="Arial"/>
          <w:sz w:val="13"/>
          <w:szCs w:val="13"/>
          <w:color w:val="474C55"/>
        </w:rPr>
        <w:t>In 2022, in an effort to better align the timing of the grants of annual long-term equity incentive awards to our executive officers with annual compensation discussions, we changed the timing of those grants from September (as had generally been the case historically) to January. As a result, no long-term equity incentive awards were granted to executive officers in calendar year 2022.</w:t>
      </w:r>
    </w:p>
    <w:p>
      <w:pPr>
        <w:ind w:left="360" w:hanging="247"/>
        <w:spacing w:after="0" w:line="185" w:lineRule="auto"/>
        <w:tabs>
          <w:tab w:leader="none" w:pos="360" w:val="left"/>
        </w:tabs>
        <w:numPr>
          <w:ilvl w:val="0"/>
          <w:numId w:val="40"/>
        </w:numPr>
        <w:rPr>
          <w:rFonts w:ascii="Arial" w:cs="Arial" w:eastAsia="Arial" w:hAnsi="Arial"/>
          <w:sz w:val="19"/>
          <w:szCs w:val="19"/>
          <w:color w:val="474C55"/>
          <w:vertAlign w:val="superscript"/>
        </w:rPr>
      </w:pPr>
      <w:r>
        <w:rPr>
          <w:rFonts w:ascii="Arial" w:cs="Arial" w:eastAsia="Arial" w:hAnsi="Arial"/>
          <w:sz w:val="12"/>
          <w:szCs w:val="12"/>
          <w:color w:val="474C55"/>
        </w:rPr>
        <w:t>Represents amount awarded under our Management Incentive Plan. See Compensation Discussion and Analysis: 2024 Executive Compensation Components: Annual Cash Incentive</w:t>
      </w:r>
    </w:p>
    <w:p>
      <w:pPr>
        <w:spacing w:after="0" w:line="126" w:lineRule="exact"/>
        <w:rPr>
          <w:sz w:val="20"/>
          <w:szCs w:val="20"/>
          <w:color w:val="auto"/>
        </w:rPr>
      </w:pPr>
    </w:p>
    <w:p>
      <w:pPr>
        <w:ind w:left="360" w:right="80" w:hanging="247"/>
        <w:spacing w:after="0" w:line="221" w:lineRule="auto"/>
        <w:tabs>
          <w:tab w:leader="none" w:pos="360" w:val="left"/>
        </w:tabs>
        <w:numPr>
          <w:ilvl w:val="0"/>
          <w:numId w:val="41"/>
        </w:numPr>
        <w:rPr>
          <w:rFonts w:ascii="Arial" w:cs="Arial" w:eastAsia="Arial" w:hAnsi="Arial"/>
          <w:sz w:val="22"/>
          <w:szCs w:val="22"/>
          <w:color w:val="474C55"/>
          <w:vertAlign w:val="superscript"/>
        </w:rPr>
      </w:pPr>
      <w:r>
        <w:rPr>
          <w:rFonts w:ascii="Arial" w:cs="Arial" w:eastAsia="Arial" w:hAnsi="Arial"/>
          <w:sz w:val="13"/>
          <w:szCs w:val="13"/>
          <w:color w:val="474C55"/>
        </w:rPr>
        <w:t>Represents the change in the actuarial present value of the NEO’s accumulated benefits under the Modified Retirement Plan. For this purpose, in accordance with SEC rules, the present value was determined assuming no preretirement death, disability or termination and that benefits commence at the later of current age or the earliest age at which unreduced benefits are available. Other assumptions are those applicable for valuing pension benefits for purposes of our financial statements, including a discount rate of 5.60% and postretirement mortality rates based on aggregate 2012 base rates from the PRI-2012 mortality study, with white collar adjustment projected generationally using Scale MP-2021. See Compensation Discussion and Analysis: 2024 Executive Compensation Components: Retirement and Other Benefits and Pension Benefits for additional information. The following negative 2024 amounts are excluded from being reported in this column: Harton ($261,384). The following negative 2022 amounts are excluded from being reported in this column: Harton ($1,118,870); Harralson ($66,247); Bradshaw ($121,510) and Edwards ($111,043). The 2024 change in actuarial present value reflects an additional year of service rendered by</w:t>
      </w:r>
    </w:p>
    <w:p>
      <w:pPr>
        <w:spacing w:after="0" w:line="4" w:lineRule="exact"/>
        <w:rPr>
          <w:sz w:val="20"/>
          <w:szCs w:val="20"/>
          <w:color w:val="auto"/>
        </w:rPr>
      </w:pPr>
    </w:p>
    <w:p>
      <w:pPr>
        <w:ind w:left="360" w:right="20"/>
        <w:spacing w:after="0" w:line="237" w:lineRule="auto"/>
        <w:rPr>
          <w:sz w:val="20"/>
          <w:szCs w:val="20"/>
          <w:color w:val="auto"/>
        </w:rPr>
      </w:pPr>
      <w:r>
        <w:rPr>
          <w:rFonts w:ascii="Arial" w:cs="Arial" w:eastAsia="Arial" w:hAnsi="Arial"/>
          <w:sz w:val="13"/>
          <w:szCs w:val="13"/>
          <w:color w:val="474C55"/>
        </w:rPr>
        <w:t>participants, age increases reflecting that each participant is one year closer to retirement and changes in key actuarial assumptions, principally, discount rate assumptions and mortality assumptions. Our Deferred Compensation Plan does not credit above-market or preferential earnings.</w:t>
      </w:r>
    </w:p>
    <w:p>
      <w:pPr>
        <w:ind w:left="360" w:hanging="247"/>
        <w:spacing w:after="0" w:line="184" w:lineRule="auto"/>
        <w:tabs>
          <w:tab w:leader="none" w:pos="360" w:val="left"/>
        </w:tabs>
        <w:numPr>
          <w:ilvl w:val="0"/>
          <w:numId w:val="42"/>
        </w:numPr>
        <w:rPr>
          <w:rFonts w:ascii="Arial" w:cs="Arial" w:eastAsia="Arial" w:hAnsi="Arial"/>
          <w:sz w:val="19"/>
          <w:szCs w:val="19"/>
          <w:color w:val="474C55"/>
          <w:vertAlign w:val="superscript"/>
        </w:rPr>
      </w:pPr>
      <w:r>
        <w:rPr>
          <w:rFonts w:ascii="Arial" w:cs="Arial" w:eastAsia="Arial" w:hAnsi="Arial"/>
          <w:sz w:val="12"/>
          <w:szCs w:val="12"/>
          <w:color w:val="474C55"/>
        </w:rPr>
        <w:t>The following table summarizes the amount reported in the All Other Compensation column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92710</wp:posOffset>
            </wp:positionV>
            <wp:extent cx="8255" cy="3498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34988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92710</wp:posOffset>
            </wp:positionV>
            <wp:extent cx="8255" cy="3498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34988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92710</wp:posOffset>
            </wp:positionV>
            <wp:extent cx="8255" cy="3498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34988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92710</wp:posOffset>
            </wp:positionV>
            <wp:extent cx="8255" cy="3498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349885"/>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92710</wp:posOffset>
            </wp:positionV>
            <wp:extent cx="8255" cy="3498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349885"/>
                    </a:xfrm>
                    <a:prstGeom prst="rect">
                      <a:avLst/>
                    </a:prstGeom>
                    <a:noFill/>
                  </pic:spPr>
                </pic:pic>
              </a:graphicData>
            </a:graphic>
          </wp:anchor>
        </w:drawing>
      </w:r>
    </w:p>
    <w:p>
      <w:pPr>
        <w:spacing w:after="0" w:line="126" w:lineRule="exact"/>
        <w:rPr>
          <w:sz w:val="20"/>
          <w:szCs w:val="20"/>
          <w:color w:val="auto"/>
        </w:rPr>
      </w:pPr>
    </w:p>
    <w:tbl>
      <w:tblPr>
        <w:tblLayout w:type="fixed"/>
        <w:tblInd w:w="380" w:type="dxa"/>
        <w:tblCellMar>
          <w:top w:w="0" w:type="dxa"/>
          <w:left w:w="0" w:type="dxa"/>
          <w:bottom w:w="0" w:type="dxa"/>
          <w:right w:w="0" w:type="dxa"/>
        </w:tblCellMar>
      </w:tblPr>
      <w:tr>
        <w:trPr>
          <w:trHeight w:val="193"/>
        </w:trPr>
        <w:tc>
          <w:tcPr>
            <w:tcW w:w="1740" w:type="dxa"/>
            <w:vAlign w:val="bottom"/>
            <w:shd w:val="clear" w:color="auto" w:fill="1077A9"/>
          </w:tcPr>
          <w:p>
            <w:pPr>
              <w:spacing w:after="0"/>
              <w:rPr>
                <w:sz w:val="16"/>
                <w:szCs w:val="16"/>
                <w:color w:val="auto"/>
              </w:rPr>
            </w:pPr>
          </w:p>
        </w:tc>
        <w:tc>
          <w:tcPr>
            <w:tcW w:w="1760" w:type="dxa"/>
            <w:vAlign w:val="bottom"/>
            <w:shd w:val="clear" w:color="auto" w:fill="1077A9"/>
          </w:tcPr>
          <w:p>
            <w:pPr>
              <w:spacing w:after="0"/>
              <w:rPr>
                <w:sz w:val="16"/>
                <w:szCs w:val="16"/>
                <w:color w:val="auto"/>
              </w:rPr>
            </w:pPr>
          </w:p>
        </w:tc>
        <w:tc>
          <w:tcPr>
            <w:tcW w:w="1500" w:type="dxa"/>
            <w:vAlign w:val="bottom"/>
            <w:vMerge w:val="restart"/>
            <w:shd w:val="clear" w:color="auto" w:fill="1077A9"/>
          </w:tcPr>
          <w:p>
            <w:pPr>
              <w:jc w:val="right"/>
              <w:ind w:right="173"/>
              <w:spacing w:after="0"/>
              <w:rPr>
                <w:sz w:val="20"/>
                <w:szCs w:val="20"/>
                <w:color w:val="auto"/>
              </w:rPr>
            </w:pPr>
            <w:r>
              <w:rPr>
                <w:rFonts w:ascii="Arial" w:cs="Arial" w:eastAsia="Arial" w:hAnsi="Arial"/>
                <w:sz w:val="13"/>
                <w:szCs w:val="13"/>
                <w:color w:val="FFFFFF"/>
              </w:rPr>
              <w:t>Club Membership</w:t>
            </w:r>
          </w:p>
        </w:tc>
        <w:tc>
          <w:tcPr>
            <w:tcW w:w="1640" w:type="dxa"/>
            <w:vAlign w:val="bottom"/>
            <w:shd w:val="clear" w:color="auto" w:fill="1077A9"/>
          </w:tcPr>
          <w:p>
            <w:pPr>
              <w:jc w:val="center"/>
              <w:spacing w:after="0"/>
              <w:rPr>
                <w:sz w:val="20"/>
                <w:szCs w:val="20"/>
                <w:color w:val="auto"/>
              </w:rPr>
            </w:pPr>
            <w:r>
              <w:rPr>
                <w:rFonts w:ascii="Arial" w:cs="Arial" w:eastAsia="Arial" w:hAnsi="Arial"/>
                <w:sz w:val="13"/>
                <w:szCs w:val="13"/>
                <w:color w:val="FFFFFF"/>
              </w:rPr>
              <w:t>Employer Contributions</w:t>
            </w:r>
          </w:p>
        </w:tc>
        <w:tc>
          <w:tcPr>
            <w:tcW w:w="1820" w:type="dxa"/>
            <w:vAlign w:val="bottom"/>
            <w:vMerge w:val="restart"/>
            <w:shd w:val="clear" w:color="auto" w:fill="1077A9"/>
          </w:tcPr>
          <w:p>
            <w:pPr>
              <w:jc w:val="right"/>
              <w:ind w:right="253"/>
              <w:spacing w:after="0"/>
              <w:rPr>
                <w:sz w:val="20"/>
                <w:szCs w:val="20"/>
                <w:color w:val="auto"/>
              </w:rPr>
            </w:pPr>
            <w:r>
              <w:rPr>
                <w:rFonts w:ascii="Arial" w:cs="Arial" w:eastAsia="Arial" w:hAnsi="Arial"/>
                <w:sz w:val="13"/>
                <w:szCs w:val="13"/>
                <w:color w:val="FFFFFF"/>
              </w:rPr>
              <w:t>Employer Contributions</w:t>
            </w:r>
          </w:p>
        </w:tc>
        <w:tc>
          <w:tcPr>
            <w:tcW w:w="1340" w:type="dxa"/>
            <w:vAlign w:val="bottom"/>
            <w:shd w:val="clear" w:color="auto" w:fill="1077A9"/>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740" w:type="dxa"/>
            <w:vAlign w:val="bottom"/>
            <w:vMerge w:val="restart"/>
            <w:shd w:val="clear" w:color="auto" w:fill="1077A9"/>
          </w:tcPr>
          <w:p>
            <w:pPr>
              <w:ind w:left="80"/>
              <w:spacing w:after="0"/>
              <w:rPr>
                <w:sz w:val="20"/>
                <w:szCs w:val="20"/>
                <w:color w:val="auto"/>
              </w:rPr>
            </w:pPr>
            <w:r>
              <w:rPr>
                <w:rFonts w:ascii="Arial" w:cs="Arial" w:eastAsia="Arial" w:hAnsi="Arial"/>
                <w:sz w:val="13"/>
                <w:szCs w:val="13"/>
                <w:color w:val="FFFFFF"/>
              </w:rPr>
              <w:t>Name</w:t>
            </w:r>
          </w:p>
        </w:tc>
        <w:tc>
          <w:tcPr>
            <w:tcW w:w="1760" w:type="dxa"/>
            <w:vAlign w:val="bottom"/>
            <w:vMerge w:val="restart"/>
            <w:shd w:val="clear" w:color="auto" w:fill="1077A9"/>
          </w:tcPr>
          <w:p>
            <w:pPr>
              <w:jc w:val="right"/>
              <w:ind w:right="213"/>
              <w:spacing w:after="0"/>
              <w:rPr>
                <w:sz w:val="20"/>
                <w:szCs w:val="20"/>
                <w:color w:val="auto"/>
              </w:rPr>
            </w:pPr>
            <w:r>
              <w:rPr>
                <w:rFonts w:ascii="Arial" w:cs="Arial" w:eastAsia="Arial" w:hAnsi="Arial"/>
                <w:sz w:val="13"/>
                <w:szCs w:val="13"/>
                <w:color w:val="FFFFFF"/>
              </w:rPr>
              <w:t>Auto Allowance ($)</w:t>
            </w:r>
          </w:p>
        </w:tc>
        <w:tc>
          <w:tcPr>
            <w:tcW w:w="1500" w:type="dxa"/>
            <w:vAlign w:val="bottom"/>
            <w:vMerge w:val="continue"/>
            <w:shd w:val="clear" w:color="auto" w:fill="1077A9"/>
          </w:tcPr>
          <w:p>
            <w:pPr>
              <w:spacing w:after="0"/>
              <w:rPr>
                <w:sz w:val="6"/>
                <w:szCs w:val="6"/>
                <w:color w:val="auto"/>
              </w:rPr>
            </w:pPr>
          </w:p>
        </w:tc>
        <w:tc>
          <w:tcPr>
            <w:tcW w:w="1640" w:type="dxa"/>
            <w:vAlign w:val="bottom"/>
            <w:vMerge w:val="restart"/>
            <w:shd w:val="clear" w:color="auto" w:fill="1077A9"/>
          </w:tcPr>
          <w:p>
            <w:pPr>
              <w:jc w:val="center"/>
              <w:spacing w:after="0"/>
              <w:rPr>
                <w:sz w:val="20"/>
                <w:szCs w:val="20"/>
                <w:color w:val="auto"/>
              </w:rPr>
            </w:pPr>
            <w:r>
              <w:rPr>
                <w:rFonts w:ascii="Arial" w:cs="Arial" w:eastAsia="Arial" w:hAnsi="Arial"/>
                <w:sz w:val="13"/>
                <w:szCs w:val="13"/>
                <w:color w:val="FFFFFF"/>
              </w:rPr>
              <w:t>to the Deferred</w:t>
            </w:r>
          </w:p>
        </w:tc>
        <w:tc>
          <w:tcPr>
            <w:tcW w:w="1820" w:type="dxa"/>
            <w:vAlign w:val="bottom"/>
            <w:vMerge w:val="continue"/>
            <w:shd w:val="clear" w:color="auto" w:fill="1077A9"/>
          </w:tcPr>
          <w:p>
            <w:pPr>
              <w:spacing w:after="0"/>
              <w:rPr>
                <w:sz w:val="6"/>
                <w:szCs w:val="6"/>
                <w:color w:val="auto"/>
              </w:rPr>
            </w:pPr>
          </w:p>
        </w:tc>
        <w:tc>
          <w:tcPr>
            <w:tcW w:w="1340" w:type="dxa"/>
            <w:vAlign w:val="bottom"/>
            <w:vMerge w:val="restart"/>
            <w:shd w:val="clear" w:color="auto" w:fill="1077A9"/>
          </w:tcPr>
          <w:p>
            <w:pPr>
              <w:jc w:val="right"/>
              <w:ind w:right="473"/>
              <w:spacing w:after="0"/>
              <w:rPr>
                <w:sz w:val="20"/>
                <w:szCs w:val="20"/>
                <w:color w:val="auto"/>
              </w:rPr>
            </w:pPr>
            <w:r>
              <w:rPr>
                <w:rFonts w:ascii="Arial" w:cs="Arial" w:eastAsia="Arial" w:hAnsi="Arial"/>
                <w:sz w:val="13"/>
                <w:szCs w:val="13"/>
                <w:color w:val="FFFFFF"/>
              </w:rPr>
              <w:t>Total ($)</w:t>
            </w:r>
          </w:p>
        </w:tc>
        <w:tc>
          <w:tcPr>
            <w:tcW w:w="0" w:type="dxa"/>
            <w:vAlign w:val="bottom"/>
          </w:tcPr>
          <w:p>
            <w:pPr>
              <w:spacing w:after="0"/>
              <w:rPr>
                <w:sz w:val="1"/>
                <w:szCs w:val="1"/>
                <w:color w:val="auto"/>
              </w:rPr>
            </w:pPr>
          </w:p>
        </w:tc>
      </w:tr>
      <w:tr>
        <w:trPr>
          <w:trHeight w:val="75"/>
        </w:trPr>
        <w:tc>
          <w:tcPr>
            <w:tcW w:w="1740" w:type="dxa"/>
            <w:vAlign w:val="bottom"/>
            <w:vMerge w:val="continue"/>
            <w:shd w:val="clear" w:color="auto" w:fill="1077A9"/>
          </w:tcPr>
          <w:p>
            <w:pPr>
              <w:spacing w:after="0"/>
              <w:rPr>
                <w:sz w:val="6"/>
                <w:szCs w:val="6"/>
                <w:color w:val="auto"/>
              </w:rPr>
            </w:pPr>
          </w:p>
        </w:tc>
        <w:tc>
          <w:tcPr>
            <w:tcW w:w="1760" w:type="dxa"/>
            <w:vAlign w:val="bottom"/>
            <w:vMerge w:val="continue"/>
            <w:shd w:val="clear" w:color="auto" w:fill="1077A9"/>
          </w:tcPr>
          <w:p>
            <w:pPr>
              <w:spacing w:after="0"/>
              <w:rPr>
                <w:sz w:val="6"/>
                <w:szCs w:val="6"/>
                <w:color w:val="auto"/>
              </w:rPr>
            </w:pPr>
          </w:p>
        </w:tc>
        <w:tc>
          <w:tcPr>
            <w:tcW w:w="1500" w:type="dxa"/>
            <w:vAlign w:val="bottom"/>
            <w:vMerge w:val="restart"/>
            <w:shd w:val="clear" w:color="auto" w:fill="1077A9"/>
          </w:tcPr>
          <w:p>
            <w:pPr>
              <w:jc w:val="right"/>
              <w:ind w:right="453"/>
              <w:spacing w:after="0"/>
              <w:rPr>
                <w:sz w:val="20"/>
                <w:szCs w:val="20"/>
                <w:color w:val="auto"/>
              </w:rPr>
            </w:pPr>
            <w:r>
              <w:rPr>
                <w:rFonts w:ascii="Arial" w:cs="Arial" w:eastAsia="Arial" w:hAnsi="Arial"/>
                <w:sz w:val="13"/>
                <w:szCs w:val="13"/>
                <w:color w:val="FFFFFF"/>
              </w:rPr>
              <w:t>Dues ($)</w:t>
            </w:r>
          </w:p>
        </w:tc>
        <w:tc>
          <w:tcPr>
            <w:tcW w:w="1640" w:type="dxa"/>
            <w:vAlign w:val="bottom"/>
            <w:vMerge w:val="continue"/>
            <w:shd w:val="clear" w:color="auto" w:fill="1077A9"/>
          </w:tcPr>
          <w:p>
            <w:pPr>
              <w:spacing w:after="0"/>
              <w:rPr>
                <w:sz w:val="6"/>
                <w:szCs w:val="6"/>
                <w:color w:val="auto"/>
              </w:rPr>
            </w:pPr>
          </w:p>
        </w:tc>
        <w:tc>
          <w:tcPr>
            <w:tcW w:w="1820" w:type="dxa"/>
            <w:vAlign w:val="bottom"/>
            <w:vMerge w:val="restart"/>
            <w:shd w:val="clear" w:color="auto" w:fill="1077A9"/>
          </w:tcPr>
          <w:p>
            <w:pPr>
              <w:jc w:val="right"/>
              <w:ind w:right="313"/>
              <w:spacing w:after="0"/>
              <w:rPr>
                <w:sz w:val="20"/>
                <w:szCs w:val="20"/>
                <w:color w:val="auto"/>
              </w:rPr>
            </w:pPr>
            <w:r>
              <w:rPr>
                <w:rFonts w:ascii="Arial" w:cs="Arial" w:eastAsia="Arial" w:hAnsi="Arial"/>
                <w:sz w:val="13"/>
                <w:szCs w:val="13"/>
                <w:color w:val="FFFFFF"/>
              </w:rPr>
              <w:t>to the 401(k) Plan ($)</w:t>
            </w:r>
          </w:p>
        </w:tc>
        <w:tc>
          <w:tcPr>
            <w:tcW w:w="1340" w:type="dxa"/>
            <w:vAlign w:val="bottom"/>
            <w:vMerge w:val="continue"/>
            <w:shd w:val="clear" w:color="auto" w:fill="1077A9"/>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740" w:type="dxa"/>
            <w:vAlign w:val="bottom"/>
            <w:shd w:val="clear" w:color="auto" w:fill="1077A9"/>
          </w:tcPr>
          <w:p>
            <w:pPr>
              <w:spacing w:after="0"/>
              <w:rPr>
                <w:sz w:val="8"/>
                <w:szCs w:val="8"/>
                <w:color w:val="auto"/>
              </w:rPr>
            </w:pPr>
          </w:p>
        </w:tc>
        <w:tc>
          <w:tcPr>
            <w:tcW w:w="1760" w:type="dxa"/>
            <w:vAlign w:val="bottom"/>
            <w:shd w:val="clear" w:color="auto" w:fill="1077A9"/>
          </w:tcPr>
          <w:p>
            <w:pPr>
              <w:spacing w:after="0"/>
              <w:rPr>
                <w:sz w:val="8"/>
                <w:szCs w:val="8"/>
                <w:color w:val="auto"/>
              </w:rPr>
            </w:pPr>
          </w:p>
        </w:tc>
        <w:tc>
          <w:tcPr>
            <w:tcW w:w="1500" w:type="dxa"/>
            <w:vAlign w:val="bottom"/>
            <w:vMerge w:val="continue"/>
            <w:shd w:val="clear" w:color="auto" w:fill="1077A9"/>
          </w:tcPr>
          <w:p>
            <w:pPr>
              <w:spacing w:after="0"/>
              <w:rPr>
                <w:sz w:val="8"/>
                <w:szCs w:val="8"/>
                <w:color w:val="auto"/>
              </w:rPr>
            </w:pPr>
          </w:p>
        </w:tc>
        <w:tc>
          <w:tcPr>
            <w:tcW w:w="1640" w:type="dxa"/>
            <w:vAlign w:val="bottom"/>
            <w:vMerge w:val="restart"/>
            <w:shd w:val="clear" w:color="auto" w:fill="1077A9"/>
          </w:tcPr>
          <w:p>
            <w:pPr>
              <w:jc w:val="center"/>
              <w:spacing w:after="0"/>
              <w:rPr>
                <w:sz w:val="20"/>
                <w:szCs w:val="20"/>
                <w:color w:val="auto"/>
              </w:rPr>
            </w:pPr>
            <w:r>
              <w:rPr>
                <w:rFonts w:ascii="Arial" w:cs="Arial" w:eastAsia="Arial" w:hAnsi="Arial"/>
                <w:sz w:val="13"/>
                <w:szCs w:val="13"/>
                <w:color w:val="FFFFFF"/>
              </w:rPr>
              <w:t>Compensation Plan ($)</w:t>
            </w:r>
          </w:p>
        </w:tc>
        <w:tc>
          <w:tcPr>
            <w:tcW w:w="1820" w:type="dxa"/>
            <w:vAlign w:val="bottom"/>
            <w:vMerge w:val="continue"/>
            <w:shd w:val="clear" w:color="auto" w:fill="1077A9"/>
          </w:tcPr>
          <w:p>
            <w:pPr>
              <w:spacing w:after="0"/>
              <w:rPr>
                <w:sz w:val="8"/>
                <w:szCs w:val="8"/>
                <w:color w:val="auto"/>
              </w:rPr>
            </w:pPr>
          </w:p>
        </w:tc>
        <w:tc>
          <w:tcPr>
            <w:tcW w:w="1340" w:type="dxa"/>
            <w:vAlign w:val="bottom"/>
            <w:shd w:val="clear" w:color="auto" w:fill="1077A9"/>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740" w:type="dxa"/>
            <w:vAlign w:val="bottom"/>
            <w:tcBorders>
              <w:bottom w:val="single" w:sz="8" w:color="1077A9"/>
            </w:tcBorders>
            <w:shd w:val="clear" w:color="auto" w:fill="1077A9"/>
          </w:tcPr>
          <w:p>
            <w:pPr>
              <w:spacing w:after="0"/>
              <w:rPr>
                <w:sz w:val="7"/>
                <w:szCs w:val="7"/>
                <w:color w:val="auto"/>
              </w:rPr>
            </w:pPr>
          </w:p>
        </w:tc>
        <w:tc>
          <w:tcPr>
            <w:tcW w:w="1760" w:type="dxa"/>
            <w:vAlign w:val="bottom"/>
            <w:tcBorders>
              <w:bottom w:val="single" w:sz="8" w:color="1077A9"/>
            </w:tcBorders>
            <w:shd w:val="clear" w:color="auto" w:fill="1077A9"/>
          </w:tcPr>
          <w:p>
            <w:pPr>
              <w:spacing w:after="0"/>
              <w:rPr>
                <w:sz w:val="7"/>
                <w:szCs w:val="7"/>
                <w:color w:val="auto"/>
              </w:rPr>
            </w:pPr>
          </w:p>
        </w:tc>
        <w:tc>
          <w:tcPr>
            <w:tcW w:w="1500" w:type="dxa"/>
            <w:vAlign w:val="bottom"/>
            <w:tcBorders>
              <w:bottom w:val="single" w:sz="8" w:color="1077A9"/>
            </w:tcBorders>
            <w:shd w:val="clear" w:color="auto" w:fill="1077A9"/>
          </w:tcPr>
          <w:p>
            <w:pPr>
              <w:spacing w:after="0"/>
              <w:rPr>
                <w:sz w:val="7"/>
                <w:szCs w:val="7"/>
                <w:color w:val="auto"/>
              </w:rPr>
            </w:pPr>
          </w:p>
        </w:tc>
        <w:tc>
          <w:tcPr>
            <w:tcW w:w="1640" w:type="dxa"/>
            <w:vAlign w:val="bottom"/>
            <w:tcBorders>
              <w:bottom w:val="single" w:sz="8" w:color="1077A9"/>
            </w:tcBorders>
            <w:vMerge w:val="continue"/>
            <w:shd w:val="clear" w:color="auto" w:fill="1077A9"/>
          </w:tcPr>
          <w:p>
            <w:pPr>
              <w:spacing w:after="0"/>
              <w:rPr>
                <w:sz w:val="7"/>
                <w:szCs w:val="7"/>
                <w:color w:val="auto"/>
              </w:rPr>
            </w:pPr>
          </w:p>
        </w:tc>
        <w:tc>
          <w:tcPr>
            <w:tcW w:w="1820" w:type="dxa"/>
            <w:vAlign w:val="bottom"/>
            <w:tcBorders>
              <w:bottom w:val="single" w:sz="8" w:color="1077A9"/>
            </w:tcBorders>
            <w:shd w:val="clear" w:color="auto" w:fill="1077A9"/>
          </w:tcPr>
          <w:p>
            <w:pPr>
              <w:spacing w:after="0"/>
              <w:rPr>
                <w:sz w:val="7"/>
                <w:szCs w:val="7"/>
                <w:color w:val="auto"/>
              </w:rPr>
            </w:pPr>
          </w:p>
        </w:tc>
        <w:tc>
          <w:tcPr>
            <w:tcW w:w="1340" w:type="dxa"/>
            <w:vAlign w:val="bottom"/>
            <w:tcBorders>
              <w:bottom w:val="single" w:sz="8" w:color="1077A9"/>
            </w:tcBorders>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740" w:type="dxa"/>
            <w:vAlign w:val="bottom"/>
          </w:tcPr>
          <w:p>
            <w:pPr>
              <w:ind w:left="80"/>
              <w:spacing w:after="0"/>
              <w:rPr>
                <w:sz w:val="20"/>
                <w:szCs w:val="20"/>
                <w:color w:val="auto"/>
              </w:rPr>
            </w:pPr>
            <w:r>
              <w:rPr>
                <w:rFonts w:ascii="Arial" w:cs="Arial" w:eastAsia="Arial" w:hAnsi="Arial"/>
                <w:sz w:val="13"/>
                <w:szCs w:val="13"/>
                <w:color w:val="474C55"/>
              </w:rPr>
              <w:t>H. Lynn Harton</w:t>
            </w:r>
          </w:p>
        </w:tc>
        <w:tc>
          <w:tcPr>
            <w:tcW w:w="1760" w:type="dxa"/>
            <w:vAlign w:val="bottom"/>
          </w:tcPr>
          <w:p>
            <w:pPr>
              <w:jc w:val="right"/>
              <w:ind w:right="153"/>
              <w:spacing w:after="0"/>
              <w:rPr>
                <w:sz w:val="20"/>
                <w:szCs w:val="20"/>
                <w:color w:val="auto"/>
              </w:rPr>
            </w:pPr>
            <w:r>
              <w:rPr>
                <w:rFonts w:ascii="Arial" w:cs="Arial" w:eastAsia="Arial" w:hAnsi="Arial"/>
                <w:sz w:val="13"/>
                <w:szCs w:val="13"/>
                <w:color w:val="474C55"/>
              </w:rPr>
              <w:t>$ 15,000</w:t>
            </w:r>
          </w:p>
        </w:tc>
        <w:tc>
          <w:tcPr>
            <w:tcW w:w="1500" w:type="dxa"/>
            <w:vAlign w:val="bottom"/>
          </w:tcPr>
          <w:p>
            <w:pPr>
              <w:jc w:val="right"/>
              <w:ind w:right="93"/>
              <w:spacing w:after="0"/>
              <w:rPr>
                <w:sz w:val="20"/>
                <w:szCs w:val="20"/>
                <w:color w:val="auto"/>
              </w:rPr>
            </w:pPr>
            <w:r>
              <w:rPr>
                <w:rFonts w:ascii="Arial" w:cs="Arial" w:eastAsia="Arial" w:hAnsi="Arial"/>
                <w:sz w:val="13"/>
                <w:szCs w:val="13"/>
                <w:color w:val="474C55"/>
              </w:rPr>
              <w:t>$ 51,154</w:t>
            </w:r>
          </w:p>
        </w:tc>
        <w:tc>
          <w:tcPr>
            <w:tcW w:w="1640" w:type="dxa"/>
            <w:vAlign w:val="bottom"/>
          </w:tcPr>
          <w:p>
            <w:pPr>
              <w:jc w:val="right"/>
              <w:ind w:right="73"/>
              <w:spacing w:after="0"/>
              <w:rPr>
                <w:sz w:val="20"/>
                <w:szCs w:val="20"/>
                <w:color w:val="auto"/>
              </w:rPr>
            </w:pPr>
            <w:r>
              <w:rPr>
                <w:rFonts w:ascii="Arial" w:cs="Arial" w:eastAsia="Arial" w:hAnsi="Arial"/>
                <w:sz w:val="13"/>
                <w:szCs w:val="13"/>
                <w:color w:val="474C55"/>
              </w:rPr>
              <w:t>$ 37,459</w:t>
            </w:r>
          </w:p>
        </w:tc>
        <w:tc>
          <w:tcPr>
            <w:tcW w:w="1820" w:type="dxa"/>
            <w:vAlign w:val="bottom"/>
          </w:tcPr>
          <w:p>
            <w:pPr>
              <w:jc w:val="right"/>
              <w:ind w:right="333"/>
              <w:spacing w:after="0"/>
              <w:rPr>
                <w:sz w:val="20"/>
                <w:szCs w:val="20"/>
                <w:color w:val="auto"/>
              </w:rPr>
            </w:pPr>
            <w:r>
              <w:rPr>
                <w:rFonts w:ascii="Arial" w:cs="Arial" w:eastAsia="Arial" w:hAnsi="Arial"/>
                <w:sz w:val="13"/>
                <w:szCs w:val="13"/>
                <w:color w:val="474C55"/>
              </w:rPr>
              <w:t>$ 17,250</w:t>
            </w:r>
          </w:p>
        </w:tc>
        <w:tc>
          <w:tcPr>
            <w:tcW w:w="1340" w:type="dxa"/>
            <w:vAlign w:val="bottom"/>
          </w:tcPr>
          <w:p>
            <w:pPr>
              <w:jc w:val="right"/>
              <w:ind w:right="113"/>
              <w:spacing w:after="0"/>
              <w:rPr>
                <w:sz w:val="20"/>
                <w:szCs w:val="20"/>
                <w:color w:val="auto"/>
              </w:rPr>
            </w:pPr>
            <w:r>
              <w:rPr>
                <w:rFonts w:ascii="Arial" w:cs="Arial" w:eastAsia="Arial" w:hAnsi="Arial"/>
                <w:sz w:val="13"/>
                <w:szCs w:val="13"/>
                <w:color w:val="474C55"/>
              </w:rPr>
              <w:t>$ 120,863</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40" w:type="dxa"/>
            <w:vAlign w:val="bottom"/>
            <w:tcBorders>
              <w:bottom w:val="single" w:sz="8" w:color="E5E6E6"/>
            </w:tcBorders>
            <w:shd w:val="clear" w:color="auto" w:fill="E5E6E6"/>
          </w:tcPr>
          <w:p>
            <w:pPr>
              <w:ind w:left="80"/>
              <w:spacing w:after="0"/>
              <w:rPr>
                <w:sz w:val="20"/>
                <w:szCs w:val="20"/>
                <w:color w:val="auto"/>
              </w:rPr>
            </w:pPr>
            <w:r>
              <w:rPr>
                <w:rFonts w:ascii="Arial" w:cs="Arial" w:eastAsia="Arial" w:hAnsi="Arial"/>
                <w:sz w:val="13"/>
                <w:szCs w:val="13"/>
                <w:color w:val="474C55"/>
              </w:rPr>
              <w:t>Jefferson L. Harralson</w:t>
            </w:r>
          </w:p>
        </w:tc>
        <w:tc>
          <w:tcPr>
            <w:tcW w:w="1760" w:type="dxa"/>
            <w:vAlign w:val="bottom"/>
            <w:tcBorders>
              <w:bottom w:val="single" w:sz="8" w:color="E5E6E6"/>
            </w:tcBorders>
            <w:shd w:val="clear" w:color="auto" w:fill="E5E6E6"/>
          </w:tcPr>
          <w:p>
            <w:pPr>
              <w:jc w:val="right"/>
              <w:ind w:right="153"/>
              <w:spacing w:after="0"/>
              <w:rPr>
                <w:sz w:val="20"/>
                <w:szCs w:val="20"/>
                <w:color w:val="auto"/>
              </w:rPr>
            </w:pPr>
            <w:r>
              <w:rPr>
                <w:rFonts w:ascii="Arial" w:cs="Arial" w:eastAsia="Arial" w:hAnsi="Arial"/>
                <w:sz w:val="13"/>
                <w:szCs w:val="13"/>
                <w:color w:val="474C55"/>
              </w:rPr>
              <w:t>15,000</w:t>
            </w:r>
          </w:p>
        </w:tc>
        <w:tc>
          <w:tcPr>
            <w:tcW w:w="1500" w:type="dxa"/>
            <w:vAlign w:val="bottom"/>
            <w:tcBorders>
              <w:bottom w:val="single" w:sz="8" w:color="E5E6E6"/>
            </w:tcBorders>
            <w:shd w:val="clear" w:color="auto" w:fill="E5E6E6"/>
          </w:tcPr>
          <w:p>
            <w:pPr>
              <w:jc w:val="right"/>
              <w:ind w:right="93"/>
              <w:spacing w:after="0"/>
              <w:rPr>
                <w:sz w:val="20"/>
                <w:szCs w:val="20"/>
                <w:color w:val="auto"/>
              </w:rPr>
            </w:pPr>
            <w:r>
              <w:rPr>
                <w:rFonts w:ascii="Arial" w:cs="Arial" w:eastAsia="Arial" w:hAnsi="Arial"/>
                <w:sz w:val="13"/>
                <w:szCs w:val="13"/>
                <w:color w:val="474C55"/>
              </w:rPr>
              <w:t>15,900</w:t>
            </w:r>
          </w:p>
        </w:tc>
        <w:tc>
          <w:tcPr>
            <w:tcW w:w="1640" w:type="dxa"/>
            <w:vAlign w:val="bottom"/>
            <w:tcBorders>
              <w:bottom w:val="single" w:sz="8" w:color="E5E6E6"/>
            </w:tcBorders>
            <w:shd w:val="clear" w:color="auto" w:fill="E5E6E6"/>
          </w:tcPr>
          <w:p>
            <w:pPr>
              <w:jc w:val="right"/>
              <w:ind w:right="73"/>
              <w:spacing w:after="0"/>
              <w:rPr>
                <w:sz w:val="20"/>
                <w:szCs w:val="20"/>
                <w:color w:val="auto"/>
              </w:rPr>
            </w:pPr>
            <w:r>
              <w:rPr>
                <w:rFonts w:ascii="Arial" w:cs="Arial" w:eastAsia="Arial" w:hAnsi="Arial"/>
                <w:sz w:val="13"/>
                <w:szCs w:val="13"/>
                <w:color w:val="474C55"/>
              </w:rPr>
              <w:t>9,542</w:t>
            </w:r>
          </w:p>
        </w:tc>
        <w:tc>
          <w:tcPr>
            <w:tcW w:w="1820" w:type="dxa"/>
            <w:vAlign w:val="bottom"/>
            <w:tcBorders>
              <w:bottom w:val="single" w:sz="8" w:color="E5E6E6"/>
            </w:tcBorders>
            <w:shd w:val="clear" w:color="auto" w:fill="E5E6E6"/>
          </w:tcPr>
          <w:p>
            <w:pPr>
              <w:jc w:val="right"/>
              <w:ind w:right="333"/>
              <w:spacing w:after="0"/>
              <w:rPr>
                <w:sz w:val="20"/>
                <w:szCs w:val="20"/>
                <w:color w:val="auto"/>
              </w:rPr>
            </w:pPr>
            <w:r>
              <w:rPr>
                <w:rFonts w:ascii="Arial" w:cs="Arial" w:eastAsia="Arial" w:hAnsi="Arial"/>
                <w:sz w:val="13"/>
                <w:szCs w:val="13"/>
                <w:color w:val="474C55"/>
              </w:rPr>
              <w:t>17,250</w:t>
            </w:r>
          </w:p>
        </w:tc>
        <w:tc>
          <w:tcPr>
            <w:tcW w:w="1340" w:type="dxa"/>
            <w:vAlign w:val="bottom"/>
            <w:tcBorders>
              <w:bottom w:val="single" w:sz="8" w:color="E5E6E6"/>
            </w:tcBorders>
            <w:shd w:val="clear" w:color="auto" w:fill="E5E6E6"/>
          </w:tcPr>
          <w:p>
            <w:pPr>
              <w:jc w:val="right"/>
              <w:ind w:right="113"/>
              <w:spacing w:after="0"/>
              <w:rPr>
                <w:sz w:val="20"/>
                <w:szCs w:val="20"/>
                <w:color w:val="auto"/>
              </w:rPr>
            </w:pPr>
            <w:r>
              <w:rPr>
                <w:rFonts w:ascii="Arial" w:cs="Arial" w:eastAsia="Arial" w:hAnsi="Arial"/>
                <w:sz w:val="13"/>
                <w:szCs w:val="13"/>
                <w:color w:val="474C55"/>
              </w:rPr>
              <w:t>57,692</w:t>
            </w:r>
          </w:p>
        </w:tc>
        <w:tc>
          <w:tcPr>
            <w:tcW w:w="0" w:type="dxa"/>
            <w:vAlign w:val="bottom"/>
          </w:tcPr>
          <w:p>
            <w:pPr>
              <w:spacing w:after="0"/>
              <w:rPr>
                <w:sz w:val="1"/>
                <w:szCs w:val="1"/>
                <w:color w:val="auto"/>
              </w:rPr>
            </w:pPr>
          </w:p>
        </w:tc>
      </w:tr>
      <w:tr>
        <w:trPr>
          <w:trHeight w:val="217"/>
        </w:trPr>
        <w:tc>
          <w:tcPr>
            <w:tcW w:w="1740" w:type="dxa"/>
            <w:vAlign w:val="bottom"/>
          </w:tcPr>
          <w:p>
            <w:pPr>
              <w:ind w:left="80"/>
              <w:spacing w:after="0"/>
              <w:rPr>
                <w:sz w:val="20"/>
                <w:szCs w:val="20"/>
                <w:color w:val="auto"/>
              </w:rPr>
            </w:pPr>
            <w:r>
              <w:rPr>
                <w:rFonts w:ascii="Arial" w:cs="Arial" w:eastAsia="Arial" w:hAnsi="Arial"/>
                <w:sz w:val="13"/>
                <w:szCs w:val="13"/>
                <w:color w:val="474C55"/>
              </w:rPr>
              <w:t>Richard W. Bradshaw</w:t>
            </w:r>
          </w:p>
        </w:tc>
        <w:tc>
          <w:tcPr>
            <w:tcW w:w="1760" w:type="dxa"/>
            <w:vAlign w:val="bottom"/>
          </w:tcPr>
          <w:p>
            <w:pPr>
              <w:jc w:val="right"/>
              <w:ind w:right="153"/>
              <w:spacing w:after="0"/>
              <w:rPr>
                <w:sz w:val="20"/>
                <w:szCs w:val="20"/>
                <w:color w:val="auto"/>
              </w:rPr>
            </w:pPr>
            <w:r>
              <w:rPr>
                <w:rFonts w:ascii="Arial" w:cs="Arial" w:eastAsia="Arial" w:hAnsi="Arial"/>
                <w:sz w:val="13"/>
                <w:szCs w:val="13"/>
                <w:color w:val="474C55"/>
              </w:rPr>
              <w:t>15,000</w:t>
            </w:r>
          </w:p>
        </w:tc>
        <w:tc>
          <w:tcPr>
            <w:tcW w:w="1500" w:type="dxa"/>
            <w:vAlign w:val="bottom"/>
          </w:tcPr>
          <w:p>
            <w:pPr>
              <w:jc w:val="right"/>
              <w:ind w:right="93"/>
              <w:spacing w:after="0"/>
              <w:rPr>
                <w:sz w:val="20"/>
                <w:szCs w:val="20"/>
                <w:color w:val="auto"/>
              </w:rPr>
            </w:pPr>
            <w:r>
              <w:rPr>
                <w:rFonts w:ascii="Arial" w:cs="Arial" w:eastAsia="Arial" w:hAnsi="Arial"/>
                <w:sz w:val="13"/>
                <w:szCs w:val="13"/>
                <w:color w:val="474C55"/>
              </w:rPr>
              <w:t>22,196</w:t>
            </w:r>
          </w:p>
        </w:tc>
        <w:tc>
          <w:tcPr>
            <w:tcW w:w="1640" w:type="dxa"/>
            <w:vAlign w:val="bottom"/>
          </w:tcPr>
          <w:p>
            <w:pPr>
              <w:jc w:val="right"/>
              <w:ind w:right="73"/>
              <w:spacing w:after="0"/>
              <w:rPr>
                <w:sz w:val="20"/>
                <w:szCs w:val="20"/>
                <w:color w:val="auto"/>
              </w:rPr>
            </w:pPr>
            <w:r>
              <w:rPr>
                <w:rFonts w:ascii="Arial" w:cs="Arial" w:eastAsia="Arial" w:hAnsi="Arial"/>
                <w:sz w:val="13"/>
                <w:szCs w:val="13"/>
                <w:color w:val="474C55"/>
              </w:rPr>
              <w:t>14,729</w:t>
            </w:r>
          </w:p>
        </w:tc>
        <w:tc>
          <w:tcPr>
            <w:tcW w:w="1820" w:type="dxa"/>
            <w:vAlign w:val="bottom"/>
          </w:tcPr>
          <w:p>
            <w:pPr>
              <w:jc w:val="right"/>
              <w:ind w:right="333"/>
              <w:spacing w:after="0"/>
              <w:rPr>
                <w:sz w:val="20"/>
                <w:szCs w:val="20"/>
                <w:color w:val="auto"/>
              </w:rPr>
            </w:pPr>
            <w:r>
              <w:rPr>
                <w:rFonts w:ascii="Arial" w:cs="Arial" w:eastAsia="Arial" w:hAnsi="Arial"/>
                <w:sz w:val="13"/>
                <w:szCs w:val="13"/>
                <w:color w:val="474C55"/>
              </w:rPr>
              <w:t>17,250</w:t>
            </w:r>
          </w:p>
        </w:tc>
        <w:tc>
          <w:tcPr>
            <w:tcW w:w="1340" w:type="dxa"/>
            <w:vAlign w:val="bottom"/>
          </w:tcPr>
          <w:p>
            <w:pPr>
              <w:jc w:val="right"/>
              <w:ind w:right="113"/>
              <w:spacing w:after="0"/>
              <w:rPr>
                <w:sz w:val="20"/>
                <w:szCs w:val="20"/>
                <w:color w:val="auto"/>
              </w:rPr>
            </w:pPr>
            <w:r>
              <w:rPr>
                <w:rFonts w:ascii="Arial" w:cs="Arial" w:eastAsia="Arial" w:hAnsi="Arial"/>
                <w:sz w:val="13"/>
                <w:szCs w:val="13"/>
                <w:color w:val="474C55"/>
              </w:rPr>
              <w:t>69,175</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40" w:type="dxa"/>
            <w:vAlign w:val="bottom"/>
            <w:tcBorders>
              <w:bottom w:val="single" w:sz="8" w:color="E5E6E6"/>
            </w:tcBorders>
            <w:shd w:val="clear" w:color="auto" w:fill="E5E6E6"/>
          </w:tcPr>
          <w:p>
            <w:pPr>
              <w:ind w:left="80"/>
              <w:spacing w:after="0"/>
              <w:rPr>
                <w:sz w:val="20"/>
                <w:szCs w:val="20"/>
                <w:color w:val="auto"/>
              </w:rPr>
            </w:pPr>
            <w:r>
              <w:rPr>
                <w:rFonts w:ascii="Arial" w:cs="Arial" w:eastAsia="Arial" w:hAnsi="Arial"/>
                <w:sz w:val="13"/>
                <w:szCs w:val="13"/>
                <w:color w:val="474C55"/>
              </w:rPr>
              <w:t>Melinda Davis Lux</w:t>
            </w:r>
          </w:p>
        </w:tc>
        <w:tc>
          <w:tcPr>
            <w:tcW w:w="1760" w:type="dxa"/>
            <w:vAlign w:val="bottom"/>
            <w:tcBorders>
              <w:bottom w:val="single" w:sz="8" w:color="E5E6E6"/>
            </w:tcBorders>
            <w:shd w:val="clear" w:color="auto" w:fill="E5E6E6"/>
          </w:tcPr>
          <w:p>
            <w:pPr>
              <w:jc w:val="right"/>
              <w:ind w:right="153"/>
              <w:spacing w:after="0"/>
              <w:rPr>
                <w:sz w:val="20"/>
                <w:szCs w:val="20"/>
                <w:color w:val="auto"/>
              </w:rPr>
            </w:pPr>
            <w:r>
              <w:rPr>
                <w:rFonts w:ascii="Arial" w:cs="Arial" w:eastAsia="Arial" w:hAnsi="Arial"/>
                <w:sz w:val="13"/>
                <w:szCs w:val="13"/>
                <w:color w:val="474C55"/>
              </w:rPr>
              <w:t>15,000</w:t>
            </w:r>
          </w:p>
        </w:tc>
        <w:tc>
          <w:tcPr>
            <w:tcW w:w="1500" w:type="dxa"/>
            <w:vAlign w:val="bottom"/>
            <w:tcBorders>
              <w:bottom w:val="single" w:sz="8" w:color="E5E6E6"/>
            </w:tcBorders>
            <w:shd w:val="clear" w:color="auto" w:fill="E5E6E6"/>
          </w:tcPr>
          <w:p>
            <w:pPr>
              <w:jc w:val="right"/>
              <w:ind w:right="93"/>
              <w:spacing w:after="0"/>
              <w:rPr>
                <w:sz w:val="20"/>
                <w:szCs w:val="20"/>
                <w:color w:val="auto"/>
              </w:rPr>
            </w:pPr>
            <w:r>
              <w:rPr>
                <w:rFonts w:ascii="Arial" w:cs="Arial" w:eastAsia="Arial" w:hAnsi="Arial"/>
                <w:sz w:val="13"/>
                <w:szCs w:val="13"/>
                <w:color w:val="474C55"/>
              </w:rPr>
              <w:t>-</w:t>
            </w:r>
          </w:p>
        </w:tc>
        <w:tc>
          <w:tcPr>
            <w:tcW w:w="1640" w:type="dxa"/>
            <w:vAlign w:val="bottom"/>
            <w:tcBorders>
              <w:bottom w:val="single" w:sz="8" w:color="E5E6E6"/>
            </w:tcBorders>
            <w:shd w:val="clear" w:color="auto" w:fill="E5E6E6"/>
          </w:tcPr>
          <w:p>
            <w:pPr>
              <w:jc w:val="right"/>
              <w:ind w:right="73"/>
              <w:spacing w:after="0"/>
              <w:rPr>
                <w:sz w:val="20"/>
                <w:szCs w:val="20"/>
                <w:color w:val="auto"/>
              </w:rPr>
            </w:pPr>
            <w:r>
              <w:rPr>
                <w:rFonts w:ascii="Arial" w:cs="Arial" w:eastAsia="Arial" w:hAnsi="Arial"/>
                <w:sz w:val="13"/>
                <w:szCs w:val="13"/>
                <w:color w:val="474C55"/>
              </w:rPr>
              <w:t>7,594</w:t>
            </w:r>
          </w:p>
        </w:tc>
        <w:tc>
          <w:tcPr>
            <w:tcW w:w="1820" w:type="dxa"/>
            <w:vAlign w:val="bottom"/>
            <w:tcBorders>
              <w:bottom w:val="single" w:sz="8" w:color="E5E6E6"/>
            </w:tcBorders>
            <w:shd w:val="clear" w:color="auto" w:fill="E5E6E6"/>
          </w:tcPr>
          <w:p>
            <w:pPr>
              <w:jc w:val="right"/>
              <w:ind w:right="333"/>
              <w:spacing w:after="0"/>
              <w:rPr>
                <w:sz w:val="20"/>
                <w:szCs w:val="20"/>
                <w:color w:val="auto"/>
              </w:rPr>
            </w:pPr>
            <w:r>
              <w:rPr>
                <w:rFonts w:ascii="Arial" w:cs="Arial" w:eastAsia="Arial" w:hAnsi="Arial"/>
                <w:sz w:val="13"/>
                <w:szCs w:val="13"/>
                <w:color w:val="474C55"/>
              </w:rPr>
              <w:t>17,250</w:t>
            </w:r>
          </w:p>
        </w:tc>
        <w:tc>
          <w:tcPr>
            <w:tcW w:w="1340" w:type="dxa"/>
            <w:vAlign w:val="bottom"/>
            <w:tcBorders>
              <w:bottom w:val="single" w:sz="8" w:color="E5E6E6"/>
            </w:tcBorders>
            <w:shd w:val="clear" w:color="auto" w:fill="E5E6E6"/>
          </w:tcPr>
          <w:p>
            <w:pPr>
              <w:jc w:val="right"/>
              <w:ind w:right="113"/>
              <w:spacing w:after="0"/>
              <w:rPr>
                <w:sz w:val="20"/>
                <w:szCs w:val="20"/>
                <w:color w:val="auto"/>
              </w:rPr>
            </w:pPr>
            <w:r>
              <w:rPr>
                <w:rFonts w:ascii="Arial" w:cs="Arial" w:eastAsia="Arial" w:hAnsi="Arial"/>
                <w:sz w:val="13"/>
                <w:szCs w:val="13"/>
                <w:color w:val="474C55"/>
              </w:rPr>
              <w:t>39,844</w:t>
            </w:r>
          </w:p>
        </w:tc>
        <w:tc>
          <w:tcPr>
            <w:tcW w:w="0" w:type="dxa"/>
            <w:vAlign w:val="bottom"/>
          </w:tcPr>
          <w:p>
            <w:pPr>
              <w:spacing w:after="0"/>
              <w:rPr>
                <w:sz w:val="1"/>
                <w:szCs w:val="1"/>
                <w:color w:val="auto"/>
              </w:rPr>
            </w:pPr>
          </w:p>
        </w:tc>
      </w:tr>
      <w:tr>
        <w:trPr>
          <w:trHeight w:val="217"/>
        </w:trPr>
        <w:tc>
          <w:tcPr>
            <w:tcW w:w="1740" w:type="dxa"/>
            <w:vAlign w:val="bottom"/>
          </w:tcPr>
          <w:p>
            <w:pPr>
              <w:ind w:left="80"/>
              <w:spacing w:after="0"/>
              <w:rPr>
                <w:sz w:val="20"/>
                <w:szCs w:val="20"/>
                <w:color w:val="auto"/>
              </w:rPr>
            </w:pPr>
            <w:r>
              <w:rPr>
                <w:rFonts w:ascii="Arial" w:cs="Arial" w:eastAsia="Arial" w:hAnsi="Arial"/>
                <w:sz w:val="13"/>
                <w:szCs w:val="13"/>
                <w:color w:val="474C55"/>
              </w:rPr>
              <w:t>Robert A. Edwards</w:t>
            </w:r>
          </w:p>
        </w:tc>
        <w:tc>
          <w:tcPr>
            <w:tcW w:w="1760" w:type="dxa"/>
            <w:vAlign w:val="bottom"/>
          </w:tcPr>
          <w:p>
            <w:pPr>
              <w:jc w:val="right"/>
              <w:ind w:right="153"/>
              <w:spacing w:after="0"/>
              <w:rPr>
                <w:sz w:val="20"/>
                <w:szCs w:val="20"/>
                <w:color w:val="auto"/>
              </w:rPr>
            </w:pPr>
            <w:r>
              <w:rPr>
                <w:rFonts w:ascii="Arial" w:cs="Arial" w:eastAsia="Arial" w:hAnsi="Arial"/>
                <w:sz w:val="13"/>
                <w:szCs w:val="13"/>
                <w:color w:val="474C55"/>
              </w:rPr>
              <w:t>12,000</w:t>
            </w:r>
          </w:p>
        </w:tc>
        <w:tc>
          <w:tcPr>
            <w:tcW w:w="1500" w:type="dxa"/>
            <w:vAlign w:val="bottom"/>
          </w:tcPr>
          <w:p>
            <w:pPr>
              <w:jc w:val="right"/>
              <w:ind w:right="93"/>
              <w:spacing w:after="0"/>
              <w:rPr>
                <w:sz w:val="20"/>
                <w:szCs w:val="20"/>
                <w:color w:val="auto"/>
              </w:rPr>
            </w:pPr>
            <w:r>
              <w:rPr>
                <w:rFonts w:ascii="Arial" w:cs="Arial" w:eastAsia="Arial" w:hAnsi="Arial"/>
                <w:sz w:val="13"/>
                <w:szCs w:val="13"/>
                <w:color w:val="474C55"/>
              </w:rPr>
              <w:t>-</w:t>
            </w:r>
          </w:p>
        </w:tc>
        <w:tc>
          <w:tcPr>
            <w:tcW w:w="1640" w:type="dxa"/>
            <w:vAlign w:val="bottom"/>
          </w:tcPr>
          <w:p>
            <w:pPr>
              <w:jc w:val="right"/>
              <w:ind w:right="73"/>
              <w:spacing w:after="0"/>
              <w:rPr>
                <w:sz w:val="20"/>
                <w:szCs w:val="20"/>
                <w:color w:val="auto"/>
              </w:rPr>
            </w:pPr>
            <w:r>
              <w:rPr>
                <w:rFonts w:ascii="Arial" w:cs="Arial" w:eastAsia="Arial" w:hAnsi="Arial"/>
                <w:sz w:val="13"/>
                <w:szCs w:val="13"/>
                <w:color w:val="474C55"/>
              </w:rPr>
              <w:t>6,510</w:t>
            </w:r>
          </w:p>
        </w:tc>
        <w:tc>
          <w:tcPr>
            <w:tcW w:w="1820" w:type="dxa"/>
            <w:vAlign w:val="bottom"/>
          </w:tcPr>
          <w:p>
            <w:pPr>
              <w:jc w:val="right"/>
              <w:ind w:right="333"/>
              <w:spacing w:after="0"/>
              <w:rPr>
                <w:sz w:val="20"/>
                <w:szCs w:val="20"/>
                <w:color w:val="auto"/>
              </w:rPr>
            </w:pPr>
            <w:r>
              <w:rPr>
                <w:rFonts w:ascii="Arial" w:cs="Arial" w:eastAsia="Arial" w:hAnsi="Arial"/>
                <w:sz w:val="13"/>
                <w:szCs w:val="13"/>
                <w:color w:val="474C55"/>
              </w:rPr>
              <w:t>17,250</w:t>
            </w:r>
          </w:p>
        </w:tc>
        <w:tc>
          <w:tcPr>
            <w:tcW w:w="1340" w:type="dxa"/>
            <w:vAlign w:val="bottom"/>
          </w:tcPr>
          <w:p>
            <w:pPr>
              <w:jc w:val="right"/>
              <w:ind w:right="113"/>
              <w:spacing w:after="0"/>
              <w:rPr>
                <w:sz w:val="20"/>
                <w:szCs w:val="20"/>
                <w:color w:val="auto"/>
              </w:rPr>
            </w:pPr>
            <w:r>
              <w:rPr>
                <w:rFonts w:ascii="Arial" w:cs="Arial" w:eastAsia="Arial" w:hAnsi="Arial"/>
                <w:sz w:val="13"/>
                <w:szCs w:val="13"/>
                <w:color w:val="474C55"/>
              </w:rPr>
              <w:t>35,760</w:t>
            </w:r>
          </w:p>
        </w:tc>
        <w:tc>
          <w:tcPr>
            <w:tcW w:w="0" w:type="dxa"/>
            <w:vAlign w:val="bottom"/>
          </w:tcPr>
          <w:p>
            <w:pPr>
              <w:spacing w:after="0"/>
              <w:rPr>
                <w:sz w:val="1"/>
                <w:szCs w:val="1"/>
                <w:color w:val="auto"/>
              </w:rPr>
            </w:pPr>
          </w:p>
        </w:tc>
      </w:tr>
      <w:tr>
        <w:trPr>
          <w:trHeight w:val="33"/>
        </w:trPr>
        <w:tc>
          <w:tcPr>
            <w:tcW w:w="1740" w:type="dxa"/>
            <w:vAlign w:val="bottom"/>
            <w:tcBorders>
              <w:bottom w:val="single" w:sz="8" w:color="E0E0E0"/>
            </w:tcBorders>
          </w:tcPr>
          <w:p>
            <w:pPr>
              <w:spacing w:after="0"/>
              <w:rPr>
                <w:sz w:val="2"/>
                <w:szCs w:val="2"/>
                <w:color w:val="auto"/>
              </w:rPr>
            </w:pPr>
          </w:p>
        </w:tc>
        <w:tc>
          <w:tcPr>
            <w:tcW w:w="1760" w:type="dxa"/>
            <w:vAlign w:val="bottom"/>
            <w:tcBorders>
              <w:bottom w:val="single" w:sz="8" w:color="E0E0E0"/>
            </w:tcBorders>
          </w:tcPr>
          <w:p>
            <w:pPr>
              <w:spacing w:after="0"/>
              <w:rPr>
                <w:sz w:val="2"/>
                <w:szCs w:val="2"/>
                <w:color w:val="auto"/>
              </w:rPr>
            </w:pPr>
          </w:p>
        </w:tc>
        <w:tc>
          <w:tcPr>
            <w:tcW w:w="1500" w:type="dxa"/>
            <w:vAlign w:val="bottom"/>
            <w:tcBorders>
              <w:bottom w:val="single" w:sz="8" w:color="E0E0E0"/>
            </w:tcBorders>
          </w:tcPr>
          <w:p>
            <w:pPr>
              <w:spacing w:after="0"/>
              <w:rPr>
                <w:sz w:val="2"/>
                <w:szCs w:val="2"/>
                <w:color w:val="auto"/>
              </w:rPr>
            </w:pPr>
          </w:p>
        </w:tc>
        <w:tc>
          <w:tcPr>
            <w:tcW w:w="1640" w:type="dxa"/>
            <w:vAlign w:val="bottom"/>
            <w:tcBorders>
              <w:bottom w:val="single" w:sz="8" w:color="E0E0E0"/>
            </w:tcBorders>
          </w:tcPr>
          <w:p>
            <w:pPr>
              <w:spacing w:after="0"/>
              <w:rPr>
                <w:sz w:val="2"/>
                <w:szCs w:val="2"/>
                <w:color w:val="auto"/>
              </w:rPr>
            </w:pPr>
          </w:p>
        </w:tc>
        <w:tc>
          <w:tcPr>
            <w:tcW w:w="1820" w:type="dxa"/>
            <w:vAlign w:val="bottom"/>
            <w:tcBorders>
              <w:bottom w:val="single" w:sz="8" w:color="E0E0E0"/>
            </w:tcBorders>
          </w:tcPr>
          <w:p>
            <w:pPr>
              <w:spacing w:after="0"/>
              <w:rPr>
                <w:sz w:val="2"/>
                <w:szCs w:val="2"/>
                <w:color w:val="auto"/>
              </w:rPr>
            </w:pPr>
          </w:p>
        </w:tc>
        <w:tc>
          <w:tcPr>
            <w:tcW w:w="1340" w:type="dxa"/>
            <w:vAlign w:val="bottom"/>
            <w:tcBorders>
              <w:bottom w:val="single" w:sz="8" w:color="E0E0E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right="120"/>
        <w:spacing w:after="0" w:line="244" w:lineRule="auto"/>
        <w:rPr>
          <w:sz w:val="20"/>
          <w:szCs w:val="20"/>
          <w:color w:val="auto"/>
        </w:rPr>
      </w:pPr>
      <w:r>
        <w:rPr>
          <w:rFonts w:ascii="Arial" w:cs="Arial" w:eastAsia="Arial" w:hAnsi="Arial"/>
          <w:sz w:val="13"/>
          <w:szCs w:val="13"/>
          <w:color w:val="474C55"/>
        </w:rPr>
        <w:t>On occasion, a NEO may be accompanied by his or her spouse on a business-related flight. Any incremental cost attributable to the executive’s spouse is de minimis and, accordingly, we do not allocate any incremental cost to the NEO for his or her spouse’s use of our aircraft when accompanying his/her spouse on a business trip, and we do not pay any other expenses for the spouse’s benefit.</w:t>
      </w:r>
    </w:p>
    <w:p>
      <w:pPr>
        <w:spacing w:after="0" w:line="2" w:lineRule="exact"/>
        <w:rPr>
          <w:sz w:val="20"/>
          <w:szCs w:val="20"/>
          <w:color w:val="auto"/>
        </w:rPr>
      </w:pPr>
    </w:p>
    <w:p>
      <w:pPr>
        <w:ind w:left="360" w:right="40" w:hanging="247"/>
        <w:spacing w:after="0" w:line="189" w:lineRule="auto"/>
        <w:tabs>
          <w:tab w:leader="none" w:pos="360" w:val="left"/>
        </w:tabs>
        <w:numPr>
          <w:ilvl w:val="0"/>
          <w:numId w:val="43"/>
        </w:numPr>
        <w:rPr>
          <w:rFonts w:ascii="Arial" w:cs="Arial" w:eastAsia="Arial" w:hAnsi="Arial"/>
          <w:sz w:val="22"/>
          <w:szCs w:val="22"/>
          <w:color w:val="474C55"/>
          <w:vertAlign w:val="superscript"/>
        </w:rPr>
      </w:pPr>
      <w:r>
        <w:rPr>
          <w:rFonts w:ascii="Arial" w:cs="Arial" w:eastAsia="Arial" w:hAnsi="Arial"/>
          <w:sz w:val="13"/>
          <w:szCs w:val="13"/>
          <w:color w:val="474C55"/>
        </w:rPr>
        <w:t>Beginning in 2020, the Board determined that it will not offer participation in the Modified Retirement Plan to any employee of United Community who was not already a participant. As a result, Ms. Davis Lux was not offered participation in the Modified Retirement Plan upon employment.</w:t>
      </w:r>
    </w:p>
    <w:p>
      <w:pPr>
        <w:spacing w:after="0" w:line="31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24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2" w:name="page53"/>
    <w:bookmarkEnd w:id="52"/>
    <w:p>
      <w:pPr>
        <w:spacing w:after="0"/>
        <w:rPr>
          <w:sz w:val="20"/>
          <w:szCs w:val="20"/>
          <w:color w:val="auto"/>
        </w:rPr>
      </w:pPr>
      <w:r>
        <w:rPr>
          <w:rFonts w:ascii="Arial" w:cs="Arial" w:eastAsia="Arial" w:hAnsi="Arial"/>
          <w:sz w:val="23"/>
          <w:szCs w:val="23"/>
          <w:b w:val="1"/>
          <w:bCs w:val="1"/>
          <w:color w:val="017AB5"/>
        </w:rPr>
        <w:t>Grant of Plan-Based Awards</w:t>
      </w:r>
    </w:p>
    <w:p>
      <w:pPr>
        <w:spacing w:after="0" w:line="204" w:lineRule="exact"/>
        <w:rPr>
          <w:sz w:val="20"/>
          <w:szCs w:val="20"/>
          <w:color w:val="auto"/>
        </w:rPr>
      </w:pPr>
    </w:p>
    <w:p>
      <w:pPr>
        <w:jc w:val="both"/>
        <w:ind w:right="460"/>
        <w:spacing w:after="0" w:line="246" w:lineRule="auto"/>
        <w:rPr>
          <w:sz w:val="20"/>
          <w:szCs w:val="20"/>
          <w:color w:val="auto"/>
        </w:rPr>
      </w:pPr>
      <w:r>
        <w:rPr>
          <w:rFonts w:ascii="Arial" w:cs="Arial" w:eastAsia="Arial" w:hAnsi="Arial"/>
          <w:sz w:val="17"/>
          <w:szCs w:val="17"/>
          <w:color w:val="474C55"/>
        </w:rPr>
        <w:t>The following table summarizes each NEO’s 2024 cash incentive opportunity under Estimated Future Payouts Under Cash Incentive Plan Awards. Actual annual cash incentives earned in 2024 are shown in the Summary Compensation Table. See Compensation Discussion and Analysis: 2024 Executive Compensation Components: Annual Cash Incentive Awards for additional information.</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474C55"/>
        </w:rPr>
        <w:t>The following table also summarizes each NEO’s equity incentives granted during 2024. Awards summarized under Estimated Future Payouts Under Equity Incentive Plan Awards include the threshold, target and maximum number of performance-based restricted stock units (“PRSUs”) which could be earned by each NEO based upon the level of achievement of the applicable performance criteria. The awards listed under All Other Stock Awards include time-based restricted stock units (“TRSUs”) that vest over time based upon the applicable NEO’s continued employment with United Community. See Compensation Discussion and Analysis: 2024 Executive Compensation Components: Long-Term Equity Incentive Awards for additional information. Certain columns specified for this table by Item 402(d) of Regulation S-K have been omitted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6363970</wp:posOffset>
            </wp:positionH>
            <wp:positionV relativeFrom="paragraph">
              <wp:posOffset>101600</wp:posOffset>
            </wp:positionV>
            <wp:extent cx="8255" cy="563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56388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101600</wp:posOffset>
            </wp:positionV>
            <wp:extent cx="8255" cy="563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56388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101600</wp:posOffset>
            </wp:positionV>
            <wp:extent cx="8255" cy="5638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563880"/>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60" w:type="dxa"/>
            <w:vAlign w:val="bottom"/>
            <w:gridSpan w:val="3"/>
            <w:vMerge w:val="restart"/>
            <w:shd w:val="clear" w:color="auto" w:fill="E5E6E6"/>
          </w:tcPr>
          <w:p>
            <w:pPr>
              <w:jc w:val="right"/>
              <w:ind w:right="217"/>
              <w:spacing w:after="0"/>
              <w:rPr>
                <w:sz w:val="20"/>
                <w:szCs w:val="20"/>
                <w:color w:val="auto"/>
              </w:rPr>
            </w:pPr>
            <w:r>
              <w:rPr>
                <w:rFonts w:ascii="Arial" w:cs="Arial" w:eastAsia="Arial" w:hAnsi="Arial"/>
                <w:sz w:val="13"/>
                <w:szCs w:val="13"/>
                <w:color w:val="auto"/>
              </w:rPr>
              <w:t>Estimated Future Payouts Under Cash Incentive</w:t>
            </w:r>
          </w:p>
        </w:tc>
        <w:tc>
          <w:tcPr>
            <w:tcW w:w="2840" w:type="dxa"/>
            <w:vAlign w:val="bottom"/>
            <w:gridSpan w:val="3"/>
            <w:vMerge w:val="restart"/>
            <w:shd w:val="clear" w:color="auto" w:fill="E5E6E6"/>
          </w:tcPr>
          <w:p>
            <w:pPr>
              <w:jc w:val="right"/>
              <w:ind w:right="257"/>
              <w:spacing w:after="0"/>
              <w:rPr>
                <w:sz w:val="20"/>
                <w:szCs w:val="20"/>
                <w:color w:val="auto"/>
              </w:rPr>
            </w:pPr>
            <w:r>
              <w:rPr>
                <w:rFonts w:ascii="Arial" w:cs="Arial" w:eastAsia="Arial" w:hAnsi="Arial"/>
                <w:sz w:val="13"/>
                <w:szCs w:val="13"/>
                <w:color w:val="auto"/>
              </w:rPr>
              <w:t>Estimated Future Payouts Under Equity</w:t>
            </w:r>
          </w:p>
        </w:tc>
        <w:tc>
          <w:tcPr>
            <w:tcW w:w="1240" w:type="dxa"/>
            <w:vAlign w:val="bottom"/>
            <w:shd w:val="clear" w:color="auto" w:fill="E5E6E6"/>
          </w:tcPr>
          <w:p>
            <w:pPr>
              <w:jc w:val="center"/>
              <w:spacing w:after="0"/>
              <w:rPr>
                <w:sz w:val="20"/>
                <w:szCs w:val="20"/>
                <w:color w:val="auto"/>
              </w:rPr>
            </w:pPr>
            <w:r>
              <w:rPr>
                <w:rFonts w:ascii="Arial" w:cs="Arial" w:eastAsia="Arial" w:hAnsi="Arial"/>
                <w:sz w:val="13"/>
                <w:szCs w:val="13"/>
                <w:color w:val="auto"/>
                <w:w w:val="94"/>
              </w:rPr>
              <w:t>All Other</w:t>
            </w:r>
          </w:p>
        </w:tc>
        <w:tc>
          <w:tcPr>
            <w:tcW w:w="1200" w:type="dxa"/>
            <w:vAlign w:val="bottom"/>
            <w:shd w:val="clear" w:color="auto" w:fill="E5E6E6"/>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60" w:type="dxa"/>
            <w:vAlign w:val="bottom"/>
            <w:gridSpan w:val="3"/>
            <w:vMerge w:val="continue"/>
            <w:shd w:val="clear" w:color="auto" w:fill="E5E6E6"/>
          </w:tcPr>
          <w:p>
            <w:pPr>
              <w:spacing w:after="0"/>
              <w:rPr>
                <w:sz w:val="5"/>
                <w:szCs w:val="5"/>
                <w:color w:val="auto"/>
              </w:rPr>
            </w:pPr>
          </w:p>
        </w:tc>
        <w:tc>
          <w:tcPr>
            <w:tcW w:w="2840" w:type="dxa"/>
            <w:vAlign w:val="bottom"/>
            <w:gridSpan w:val="3"/>
            <w:vMerge w:val="continue"/>
            <w:shd w:val="clear" w:color="auto" w:fill="E5E6E6"/>
          </w:tcPr>
          <w:p>
            <w:pPr>
              <w:spacing w:after="0"/>
              <w:rPr>
                <w:sz w:val="5"/>
                <w:szCs w:val="5"/>
                <w:color w:val="auto"/>
              </w:rPr>
            </w:pPr>
          </w:p>
        </w:tc>
        <w:tc>
          <w:tcPr>
            <w:tcW w:w="1240" w:type="dxa"/>
            <w:vAlign w:val="bottom"/>
            <w:vMerge w:val="restart"/>
            <w:shd w:val="clear" w:color="auto" w:fill="E5E6E6"/>
          </w:tcPr>
          <w:p>
            <w:pPr>
              <w:jc w:val="center"/>
              <w:spacing w:after="0" w:line="138" w:lineRule="exact"/>
              <w:rPr>
                <w:sz w:val="20"/>
                <w:szCs w:val="20"/>
                <w:color w:val="auto"/>
              </w:rPr>
            </w:pPr>
            <w:r>
              <w:rPr>
                <w:rFonts w:ascii="Arial" w:cs="Arial" w:eastAsia="Arial" w:hAnsi="Arial"/>
                <w:sz w:val="13"/>
                <w:szCs w:val="13"/>
                <w:color w:val="auto"/>
                <w:w w:val="96"/>
              </w:rPr>
              <w:t>Stock Awards:</w:t>
            </w:r>
          </w:p>
        </w:tc>
        <w:tc>
          <w:tcPr>
            <w:tcW w:w="1200" w:type="dxa"/>
            <w:vAlign w:val="bottom"/>
            <w:vMerge w:val="restart"/>
            <w:shd w:val="clear" w:color="auto" w:fill="E5E6E6"/>
          </w:tcPr>
          <w:p>
            <w:pPr>
              <w:jc w:val="center"/>
              <w:spacing w:after="0" w:line="138" w:lineRule="exact"/>
              <w:rPr>
                <w:sz w:val="20"/>
                <w:szCs w:val="20"/>
                <w:color w:val="auto"/>
              </w:rPr>
            </w:pPr>
            <w:r>
              <w:rPr>
                <w:rFonts w:ascii="Arial" w:cs="Arial" w:eastAsia="Arial" w:hAnsi="Arial"/>
                <w:sz w:val="13"/>
                <w:szCs w:val="13"/>
                <w:color w:val="auto"/>
                <w:w w:val="95"/>
              </w:rPr>
              <w:t>Grant Date Fair</w:t>
            </w:r>
          </w:p>
        </w:tc>
        <w:tc>
          <w:tcPr>
            <w:tcW w:w="0" w:type="dxa"/>
            <w:vAlign w:val="bottom"/>
          </w:tcPr>
          <w:p>
            <w:pPr>
              <w:spacing w:after="0"/>
              <w:rPr>
                <w:sz w:val="1"/>
                <w:szCs w:val="1"/>
                <w:color w:val="auto"/>
              </w:rPr>
            </w:pPr>
          </w:p>
        </w:tc>
      </w:tr>
      <w:tr>
        <w:trPr>
          <w:trHeight w:val="79"/>
        </w:trPr>
        <w:tc>
          <w:tcPr>
            <w:tcW w:w="1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shd w:val="clear" w:color="auto" w:fill="E5E6E6"/>
          </w:tcPr>
          <w:p>
            <w:pPr>
              <w:spacing w:after="0"/>
              <w:rPr>
                <w:sz w:val="6"/>
                <w:szCs w:val="6"/>
                <w:color w:val="auto"/>
              </w:rPr>
            </w:pPr>
          </w:p>
        </w:tc>
        <w:tc>
          <w:tcPr>
            <w:tcW w:w="1080" w:type="dxa"/>
            <w:vAlign w:val="bottom"/>
            <w:vMerge w:val="restart"/>
            <w:shd w:val="clear" w:color="auto" w:fill="E5E6E6"/>
          </w:tcPr>
          <w:p>
            <w:pPr>
              <w:jc w:val="right"/>
              <w:ind w:right="117"/>
              <w:spacing w:after="0"/>
              <w:rPr>
                <w:sz w:val="20"/>
                <w:szCs w:val="20"/>
                <w:color w:val="auto"/>
              </w:rPr>
            </w:pPr>
            <w:r>
              <w:rPr>
                <w:rFonts w:ascii="Arial" w:cs="Arial" w:eastAsia="Arial" w:hAnsi="Arial"/>
                <w:sz w:val="13"/>
                <w:szCs w:val="13"/>
                <w:color w:val="auto"/>
              </w:rPr>
              <w:t>Plan Awards</w:t>
            </w:r>
          </w:p>
        </w:tc>
        <w:tc>
          <w:tcPr>
            <w:tcW w:w="1100" w:type="dxa"/>
            <w:vAlign w:val="bottom"/>
            <w:shd w:val="clear" w:color="auto" w:fill="E5E6E6"/>
          </w:tcPr>
          <w:p>
            <w:pPr>
              <w:spacing w:after="0"/>
              <w:rPr>
                <w:sz w:val="6"/>
                <w:szCs w:val="6"/>
                <w:color w:val="auto"/>
              </w:rPr>
            </w:pPr>
          </w:p>
        </w:tc>
        <w:tc>
          <w:tcPr>
            <w:tcW w:w="2840" w:type="dxa"/>
            <w:vAlign w:val="bottom"/>
            <w:gridSpan w:val="3"/>
            <w:vMerge w:val="restart"/>
            <w:shd w:val="clear" w:color="auto" w:fill="E5E6E6"/>
          </w:tcPr>
          <w:p>
            <w:pPr>
              <w:jc w:val="right"/>
              <w:ind w:right="697"/>
              <w:spacing w:after="0" w:line="205" w:lineRule="exact"/>
              <w:rPr>
                <w:sz w:val="20"/>
                <w:szCs w:val="20"/>
                <w:color w:val="auto"/>
              </w:rPr>
            </w:pPr>
            <w:r>
              <w:rPr>
                <w:rFonts w:ascii="Arial" w:cs="Arial" w:eastAsia="Arial" w:hAnsi="Arial"/>
                <w:sz w:val="13"/>
                <w:szCs w:val="13"/>
                <w:color w:val="auto"/>
              </w:rPr>
              <w:t>Incentive Plan Awards</w:t>
            </w:r>
            <w:r>
              <w:rPr>
                <w:rFonts w:ascii="Arial" w:cs="Arial" w:eastAsia="Arial" w:hAnsi="Arial"/>
                <w:sz w:val="20"/>
                <w:szCs w:val="20"/>
                <w:color w:val="auto"/>
                <w:vertAlign w:val="superscript"/>
              </w:rPr>
              <w:t>1</w:t>
            </w:r>
          </w:p>
        </w:tc>
        <w:tc>
          <w:tcPr>
            <w:tcW w:w="1240" w:type="dxa"/>
            <w:vAlign w:val="bottom"/>
            <w:vMerge w:val="continue"/>
            <w:shd w:val="clear" w:color="auto" w:fill="E5E6E6"/>
          </w:tcPr>
          <w:p>
            <w:pPr>
              <w:spacing w:after="0"/>
              <w:rPr>
                <w:sz w:val="6"/>
                <w:szCs w:val="6"/>
                <w:color w:val="auto"/>
              </w:rPr>
            </w:pPr>
          </w:p>
        </w:tc>
        <w:tc>
          <w:tcPr>
            <w:tcW w:w="1200" w:type="dxa"/>
            <w:vAlign w:val="bottom"/>
            <w:vMerge w:val="continue"/>
            <w:shd w:val="clear" w:color="auto" w:fill="E5E6E6"/>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Borders>
              <w:bottom w:val="single" w:sz="8" w:color="E5E6E6"/>
            </w:tcBorders>
            <w:shd w:val="clear" w:color="auto" w:fill="E5E6E6"/>
          </w:tcPr>
          <w:p>
            <w:pPr>
              <w:spacing w:after="0"/>
              <w:rPr>
                <w:sz w:val="12"/>
                <w:szCs w:val="12"/>
                <w:color w:val="auto"/>
              </w:rPr>
            </w:pPr>
          </w:p>
        </w:tc>
        <w:tc>
          <w:tcPr>
            <w:tcW w:w="1080" w:type="dxa"/>
            <w:vAlign w:val="bottom"/>
            <w:tcBorders>
              <w:bottom w:val="single" w:sz="8" w:color="E5E6E6"/>
            </w:tcBorders>
            <w:vMerge w:val="continue"/>
            <w:shd w:val="clear" w:color="auto" w:fill="E5E6E6"/>
          </w:tcPr>
          <w:p>
            <w:pPr>
              <w:spacing w:after="0"/>
              <w:rPr>
                <w:sz w:val="12"/>
                <w:szCs w:val="12"/>
                <w:color w:val="auto"/>
              </w:rPr>
            </w:pPr>
          </w:p>
        </w:tc>
        <w:tc>
          <w:tcPr>
            <w:tcW w:w="1100" w:type="dxa"/>
            <w:vAlign w:val="bottom"/>
            <w:tcBorders>
              <w:bottom w:val="single" w:sz="8" w:color="E5E6E6"/>
            </w:tcBorders>
            <w:shd w:val="clear" w:color="auto" w:fill="E5E6E6"/>
          </w:tcPr>
          <w:p>
            <w:pPr>
              <w:spacing w:after="0"/>
              <w:rPr>
                <w:sz w:val="12"/>
                <w:szCs w:val="12"/>
                <w:color w:val="auto"/>
              </w:rPr>
            </w:pPr>
          </w:p>
        </w:tc>
        <w:tc>
          <w:tcPr>
            <w:tcW w:w="2840" w:type="dxa"/>
            <w:vAlign w:val="bottom"/>
            <w:tcBorders>
              <w:bottom w:val="single" w:sz="8" w:color="E5E6E6"/>
            </w:tcBorders>
            <w:gridSpan w:val="3"/>
            <w:vMerge w:val="continue"/>
            <w:shd w:val="clear" w:color="auto" w:fill="E5E6E6"/>
          </w:tcPr>
          <w:p>
            <w:pPr>
              <w:spacing w:after="0"/>
              <w:rPr>
                <w:sz w:val="12"/>
                <w:szCs w:val="12"/>
                <w:color w:val="auto"/>
              </w:rPr>
            </w:pPr>
          </w:p>
        </w:tc>
        <w:tc>
          <w:tcPr>
            <w:tcW w:w="1240" w:type="dxa"/>
            <w:vAlign w:val="bottom"/>
            <w:tcBorders>
              <w:bottom w:val="single" w:sz="8" w:color="E5E6E6"/>
            </w:tcBorders>
            <w:shd w:val="clear" w:color="auto" w:fill="E5E6E6"/>
          </w:tcPr>
          <w:p>
            <w:pPr>
              <w:jc w:val="center"/>
              <w:spacing w:after="0" w:line="143" w:lineRule="exact"/>
              <w:rPr>
                <w:sz w:val="20"/>
                <w:szCs w:val="20"/>
                <w:color w:val="auto"/>
              </w:rPr>
            </w:pPr>
            <w:r>
              <w:rPr>
                <w:rFonts w:ascii="Arial" w:cs="Arial" w:eastAsia="Arial" w:hAnsi="Arial"/>
                <w:sz w:val="13"/>
                <w:szCs w:val="13"/>
                <w:color w:val="auto"/>
                <w:w w:val="95"/>
              </w:rPr>
              <w:t>Number of</w:t>
            </w:r>
          </w:p>
        </w:tc>
        <w:tc>
          <w:tcPr>
            <w:tcW w:w="1200" w:type="dxa"/>
            <w:vAlign w:val="bottom"/>
            <w:tcBorders>
              <w:bottom w:val="single" w:sz="8" w:color="E5E6E6"/>
            </w:tcBorders>
            <w:shd w:val="clear" w:color="auto" w:fill="E5E6E6"/>
          </w:tcPr>
          <w:p>
            <w:pPr>
              <w:jc w:val="center"/>
              <w:spacing w:after="0" w:line="143" w:lineRule="exact"/>
              <w:rPr>
                <w:sz w:val="20"/>
                <w:szCs w:val="20"/>
                <w:color w:val="auto"/>
              </w:rPr>
            </w:pPr>
            <w:r>
              <w:rPr>
                <w:rFonts w:ascii="Arial" w:cs="Arial" w:eastAsia="Arial" w:hAnsi="Arial"/>
                <w:sz w:val="13"/>
                <w:szCs w:val="13"/>
                <w:color w:val="auto"/>
                <w:w w:val="95"/>
              </w:rPr>
              <w:t>Value of Stock</w:t>
            </w:r>
          </w:p>
        </w:tc>
        <w:tc>
          <w:tcPr>
            <w:tcW w:w="0" w:type="dxa"/>
            <w:vAlign w:val="bottom"/>
          </w:tcPr>
          <w:p>
            <w:pPr>
              <w:spacing w:after="0"/>
              <w:rPr>
                <w:sz w:val="1"/>
                <w:szCs w:val="1"/>
                <w:color w:val="auto"/>
              </w:rPr>
            </w:pPr>
          </w:p>
        </w:tc>
      </w:tr>
      <w:tr>
        <w:trPr>
          <w:trHeight w:val="163"/>
        </w:trPr>
        <w:tc>
          <w:tcPr>
            <w:tcW w:w="1800" w:type="dxa"/>
            <w:vAlign w:val="bottom"/>
            <w:vMerge w:val="restart"/>
            <w:shd w:val="clear" w:color="auto" w:fill="1077A9"/>
          </w:tcPr>
          <w:p>
            <w:pPr>
              <w:ind w:left="80"/>
              <w:spacing w:after="0"/>
              <w:rPr>
                <w:sz w:val="20"/>
                <w:szCs w:val="20"/>
                <w:color w:val="auto"/>
              </w:rPr>
            </w:pPr>
            <w:r>
              <w:rPr>
                <w:rFonts w:ascii="Arial" w:cs="Arial" w:eastAsia="Arial" w:hAnsi="Arial"/>
                <w:sz w:val="13"/>
                <w:szCs w:val="13"/>
                <w:color w:val="FFFFFF"/>
              </w:rPr>
              <w:t>Name</w:t>
            </w:r>
          </w:p>
        </w:tc>
        <w:tc>
          <w:tcPr>
            <w:tcW w:w="900" w:type="dxa"/>
            <w:vAlign w:val="bottom"/>
            <w:vMerge w:val="restart"/>
            <w:shd w:val="clear" w:color="auto" w:fill="1077A9"/>
          </w:tcPr>
          <w:p>
            <w:pPr>
              <w:jc w:val="center"/>
              <w:spacing w:after="0"/>
              <w:rPr>
                <w:sz w:val="20"/>
                <w:szCs w:val="20"/>
                <w:color w:val="auto"/>
              </w:rPr>
            </w:pPr>
            <w:r>
              <w:rPr>
                <w:rFonts w:ascii="Arial" w:cs="Arial" w:eastAsia="Arial" w:hAnsi="Arial"/>
                <w:sz w:val="13"/>
                <w:szCs w:val="13"/>
                <w:color w:val="FFFFFF"/>
                <w:w w:val="94"/>
              </w:rPr>
              <w:t>Grant Date</w:t>
            </w:r>
          </w:p>
        </w:tc>
        <w:tc>
          <w:tcPr>
            <w:tcW w:w="1080" w:type="dxa"/>
            <w:vAlign w:val="bottom"/>
            <w:vMerge w:val="restart"/>
            <w:shd w:val="clear" w:color="auto" w:fill="1077A9"/>
          </w:tcPr>
          <w:p>
            <w:pPr>
              <w:jc w:val="right"/>
              <w:ind w:right="137"/>
              <w:spacing w:after="0"/>
              <w:rPr>
                <w:sz w:val="20"/>
                <w:szCs w:val="20"/>
                <w:color w:val="auto"/>
              </w:rPr>
            </w:pPr>
            <w:r>
              <w:rPr>
                <w:rFonts w:ascii="Arial" w:cs="Arial" w:eastAsia="Arial" w:hAnsi="Arial"/>
                <w:sz w:val="13"/>
                <w:szCs w:val="13"/>
                <w:color w:val="FFFFFF"/>
              </w:rPr>
              <w:t>Threshold ($)</w:t>
            </w:r>
          </w:p>
        </w:tc>
        <w:tc>
          <w:tcPr>
            <w:tcW w:w="1080" w:type="dxa"/>
            <w:vAlign w:val="bottom"/>
            <w:vMerge w:val="restart"/>
            <w:shd w:val="clear" w:color="auto" w:fill="1077A9"/>
          </w:tcPr>
          <w:p>
            <w:pPr>
              <w:jc w:val="right"/>
              <w:ind w:right="237"/>
              <w:spacing w:after="0"/>
              <w:rPr>
                <w:sz w:val="20"/>
                <w:szCs w:val="20"/>
                <w:color w:val="auto"/>
              </w:rPr>
            </w:pPr>
            <w:r>
              <w:rPr>
                <w:rFonts w:ascii="Arial" w:cs="Arial" w:eastAsia="Arial" w:hAnsi="Arial"/>
                <w:sz w:val="13"/>
                <w:szCs w:val="13"/>
                <w:color w:val="FFFFFF"/>
              </w:rPr>
              <w:t>Target ($)</w:t>
            </w:r>
          </w:p>
        </w:tc>
        <w:tc>
          <w:tcPr>
            <w:tcW w:w="1100" w:type="dxa"/>
            <w:vAlign w:val="bottom"/>
            <w:vMerge w:val="restart"/>
            <w:shd w:val="clear" w:color="auto" w:fill="1077A9"/>
          </w:tcPr>
          <w:p>
            <w:pPr>
              <w:jc w:val="right"/>
              <w:ind w:right="117"/>
              <w:spacing w:after="0"/>
              <w:rPr>
                <w:sz w:val="20"/>
                <w:szCs w:val="20"/>
                <w:color w:val="auto"/>
              </w:rPr>
            </w:pPr>
            <w:r>
              <w:rPr>
                <w:rFonts w:ascii="Arial" w:cs="Arial" w:eastAsia="Arial" w:hAnsi="Arial"/>
                <w:sz w:val="13"/>
                <w:szCs w:val="13"/>
                <w:color w:val="FFFFFF"/>
              </w:rPr>
              <w:t>Maximum ($)</w:t>
            </w:r>
          </w:p>
        </w:tc>
        <w:tc>
          <w:tcPr>
            <w:tcW w:w="1060" w:type="dxa"/>
            <w:vAlign w:val="bottom"/>
            <w:vMerge w:val="restart"/>
            <w:shd w:val="clear" w:color="auto" w:fill="1077A9"/>
          </w:tcPr>
          <w:p>
            <w:pPr>
              <w:jc w:val="right"/>
              <w:ind w:right="97"/>
              <w:spacing w:after="0"/>
              <w:rPr>
                <w:sz w:val="20"/>
                <w:szCs w:val="20"/>
                <w:color w:val="auto"/>
              </w:rPr>
            </w:pPr>
            <w:r>
              <w:rPr>
                <w:rFonts w:ascii="Arial" w:cs="Arial" w:eastAsia="Arial" w:hAnsi="Arial"/>
                <w:sz w:val="13"/>
                <w:szCs w:val="13"/>
                <w:color w:val="FFFFFF"/>
              </w:rPr>
              <w:t>Threshold (#)</w:t>
            </w:r>
          </w:p>
        </w:tc>
        <w:tc>
          <w:tcPr>
            <w:tcW w:w="820" w:type="dxa"/>
            <w:vAlign w:val="bottom"/>
            <w:vMerge w:val="restart"/>
            <w:shd w:val="clear" w:color="auto" w:fill="1077A9"/>
          </w:tcPr>
          <w:p>
            <w:pPr>
              <w:jc w:val="right"/>
              <w:ind w:right="77"/>
              <w:spacing w:after="0"/>
              <w:rPr>
                <w:sz w:val="20"/>
                <w:szCs w:val="20"/>
                <w:color w:val="auto"/>
              </w:rPr>
            </w:pPr>
            <w:r>
              <w:rPr>
                <w:rFonts w:ascii="Arial" w:cs="Arial" w:eastAsia="Arial" w:hAnsi="Arial"/>
                <w:sz w:val="13"/>
                <w:szCs w:val="13"/>
                <w:color w:val="FFFFFF"/>
              </w:rPr>
              <w:t>Target (#)</w:t>
            </w:r>
          </w:p>
        </w:tc>
        <w:tc>
          <w:tcPr>
            <w:tcW w:w="960" w:type="dxa"/>
            <w:vAlign w:val="bottom"/>
            <w:vMerge w:val="restart"/>
            <w:shd w:val="clear" w:color="auto" w:fill="1077A9"/>
          </w:tcPr>
          <w:p>
            <w:pPr>
              <w:jc w:val="right"/>
              <w:ind w:right="17"/>
              <w:spacing w:after="0"/>
              <w:rPr>
                <w:sz w:val="20"/>
                <w:szCs w:val="20"/>
                <w:color w:val="auto"/>
              </w:rPr>
            </w:pPr>
            <w:r>
              <w:rPr>
                <w:rFonts w:ascii="Arial" w:cs="Arial" w:eastAsia="Arial" w:hAnsi="Arial"/>
                <w:sz w:val="13"/>
                <w:szCs w:val="13"/>
                <w:color w:val="FFFFFF"/>
              </w:rPr>
              <w:t>Maximum (#)</w:t>
            </w:r>
          </w:p>
        </w:tc>
        <w:tc>
          <w:tcPr>
            <w:tcW w:w="1240" w:type="dxa"/>
            <w:vAlign w:val="bottom"/>
            <w:shd w:val="clear" w:color="auto" w:fill="E5E6E6"/>
          </w:tcPr>
          <w:p>
            <w:pPr>
              <w:jc w:val="right"/>
              <w:ind w:right="137"/>
              <w:spacing w:after="0"/>
              <w:rPr>
                <w:sz w:val="20"/>
                <w:szCs w:val="20"/>
                <w:color w:val="auto"/>
              </w:rPr>
            </w:pPr>
            <w:r>
              <w:rPr>
                <w:rFonts w:ascii="Arial" w:cs="Arial" w:eastAsia="Arial" w:hAnsi="Arial"/>
                <w:sz w:val="13"/>
                <w:szCs w:val="13"/>
                <w:color w:val="auto"/>
              </w:rPr>
              <w:t>Shares of Stock</w:t>
            </w:r>
          </w:p>
        </w:tc>
        <w:tc>
          <w:tcPr>
            <w:tcW w:w="1200" w:type="dxa"/>
            <w:vAlign w:val="bottom"/>
            <w:shd w:val="clear" w:color="auto" w:fill="E5E6E6"/>
          </w:tcPr>
          <w:p>
            <w:pPr>
              <w:jc w:val="center"/>
              <w:spacing w:after="0" w:line="163" w:lineRule="exact"/>
              <w:rPr>
                <w:sz w:val="20"/>
                <w:szCs w:val="20"/>
                <w:color w:val="auto"/>
              </w:rPr>
            </w:pPr>
            <w:r>
              <w:rPr>
                <w:rFonts w:ascii="Arial" w:cs="Arial" w:eastAsia="Arial" w:hAnsi="Arial"/>
                <w:sz w:val="11"/>
                <w:szCs w:val="11"/>
                <w:color w:val="auto"/>
              </w:rPr>
              <w:t>Awards ($)</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90"/>
        </w:trPr>
        <w:tc>
          <w:tcPr>
            <w:tcW w:w="1800" w:type="dxa"/>
            <w:vAlign w:val="bottom"/>
            <w:vMerge w:val="continue"/>
            <w:shd w:val="clear" w:color="auto" w:fill="1077A9"/>
          </w:tcPr>
          <w:p>
            <w:pPr>
              <w:spacing w:after="0"/>
              <w:rPr>
                <w:sz w:val="7"/>
                <w:szCs w:val="7"/>
                <w:color w:val="auto"/>
              </w:rPr>
            </w:pPr>
          </w:p>
        </w:tc>
        <w:tc>
          <w:tcPr>
            <w:tcW w:w="900" w:type="dxa"/>
            <w:vAlign w:val="bottom"/>
            <w:vMerge w:val="continue"/>
            <w:shd w:val="clear" w:color="auto" w:fill="1077A9"/>
          </w:tcPr>
          <w:p>
            <w:pPr>
              <w:spacing w:after="0"/>
              <w:rPr>
                <w:sz w:val="7"/>
                <w:szCs w:val="7"/>
                <w:color w:val="auto"/>
              </w:rPr>
            </w:pPr>
          </w:p>
        </w:tc>
        <w:tc>
          <w:tcPr>
            <w:tcW w:w="1080" w:type="dxa"/>
            <w:vAlign w:val="bottom"/>
            <w:vMerge w:val="continue"/>
            <w:shd w:val="clear" w:color="auto" w:fill="1077A9"/>
          </w:tcPr>
          <w:p>
            <w:pPr>
              <w:spacing w:after="0"/>
              <w:rPr>
                <w:sz w:val="7"/>
                <w:szCs w:val="7"/>
                <w:color w:val="auto"/>
              </w:rPr>
            </w:pPr>
          </w:p>
        </w:tc>
        <w:tc>
          <w:tcPr>
            <w:tcW w:w="1080" w:type="dxa"/>
            <w:vAlign w:val="bottom"/>
            <w:vMerge w:val="continue"/>
            <w:shd w:val="clear" w:color="auto" w:fill="1077A9"/>
          </w:tcPr>
          <w:p>
            <w:pPr>
              <w:spacing w:after="0"/>
              <w:rPr>
                <w:sz w:val="7"/>
                <w:szCs w:val="7"/>
                <w:color w:val="auto"/>
              </w:rPr>
            </w:pPr>
          </w:p>
        </w:tc>
        <w:tc>
          <w:tcPr>
            <w:tcW w:w="1100" w:type="dxa"/>
            <w:vAlign w:val="bottom"/>
            <w:vMerge w:val="continue"/>
            <w:shd w:val="clear" w:color="auto" w:fill="1077A9"/>
          </w:tcPr>
          <w:p>
            <w:pPr>
              <w:spacing w:after="0"/>
              <w:rPr>
                <w:sz w:val="7"/>
                <w:szCs w:val="7"/>
                <w:color w:val="auto"/>
              </w:rPr>
            </w:pPr>
          </w:p>
        </w:tc>
        <w:tc>
          <w:tcPr>
            <w:tcW w:w="1060" w:type="dxa"/>
            <w:vAlign w:val="bottom"/>
            <w:vMerge w:val="continue"/>
            <w:shd w:val="clear" w:color="auto" w:fill="1077A9"/>
          </w:tcPr>
          <w:p>
            <w:pPr>
              <w:spacing w:after="0"/>
              <w:rPr>
                <w:sz w:val="7"/>
                <w:szCs w:val="7"/>
                <w:color w:val="auto"/>
              </w:rPr>
            </w:pPr>
          </w:p>
        </w:tc>
        <w:tc>
          <w:tcPr>
            <w:tcW w:w="820" w:type="dxa"/>
            <w:vAlign w:val="bottom"/>
            <w:vMerge w:val="continue"/>
            <w:shd w:val="clear" w:color="auto" w:fill="1077A9"/>
          </w:tcPr>
          <w:p>
            <w:pPr>
              <w:spacing w:after="0"/>
              <w:rPr>
                <w:sz w:val="7"/>
                <w:szCs w:val="7"/>
                <w:color w:val="auto"/>
              </w:rPr>
            </w:pPr>
          </w:p>
        </w:tc>
        <w:tc>
          <w:tcPr>
            <w:tcW w:w="960" w:type="dxa"/>
            <w:vAlign w:val="bottom"/>
            <w:vMerge w:val="continue"/>
            <w:shd w:val="clear" w:color="auto" w:fill="1077A9"/>
          </w:tcPr>
          <w:p>
            <w:pPr>
              <w:spacing w:after="0"/>
              <w:rPr>
                <w:sz w:val="7"/>
                <w:szCs w:val="7"/>
                <w:color w:val="auto"/>
              </w:rPr>
            </w:pPr>
          </w:p>
        </w:tc>
        <w:tc>
          <w:tcPr>
            <w:tcW w:w="1240" w:type="dxa"/>
            <w:vAlign w:val="bottom"/>
            <w:vMerge w:val="restart"/>
            <w:shd w:val="clear" w:color="auto" w:fill="E5E6E6"/>
          </w:tcPr>
          <w:p>
            <w:pPr>
              <w:jc w:val="center"/>
              <w:spacing w:after="0"/>
              <w:rPr>
                <w:sz w:val="20"/>
                <w:szCs w:val="20"/>
                <w:color w:val="auto"/>
              </w:rPr>
            </w:pPr>
            <w:r>
              <w:rPr>
                <w:rFonts w:ascii="Arial" w:cs="Arial" w:eastAsia="Arial" w:hAnsi="Arial"/>
                <w:sz w:val="13"/>
                <w:szCs w:val="13"/>
                <w:color w:val="auto"/>
                <w:w w:val="94"/>
              </w:rPr>
              <w:t>or Units (#)</w:t>
            </w:r>
            <w:r>
              <w:rPr>
                <w:rFonts w:ascii="Arial" w:cs="Arial" w:eastAsia="Arial" w:hAnsi="Arial"/>
                <w:sz w:val="20"/>
                <w:szCs w:val="20"/>
                <w:color w:val="auto"/>
                <w:w w:val="94"/>
                <w:vertAlign w:val="superscript"/>
              </w:rPr>
              <w:t>2</w:t>
            </w:r>
          </w:p>
        </w:tc>
        <w:tc>
          <w:tcPr>
            <w:tcW w:w="1200" w:type="dxa"/>
            <w:vAlign w:val="bottom"/>
            <w:shd w:val="clear" w:color="auto" w:fill="E5E6E6"/>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1077A9"/>
          </w:tcPr>
          <w:p>
            <w:pPr>
              <w:spacing w:after="0"/>
              <w:rPr>
                <w:sz w:val="12"/>
                <w:szCs w:val="12"/>
                <w:color w:val="auto"/>
              </w:rPr>
            </w:pPr>
          </w:p>
        </w:tc>
        <w:tc>
          <w:tcPr>
            <w:tcW w:w="900" w:type="dxa"/>
            <w:vAlign w:val="bottom"/>
            <w:shd w:val="clear" w:color="auto" w:fill="1077A9"/>
          </w:tcPr>
          <w:p>
            <w:pPr>
              <w:spacing w:after="0"/>
              <w:rPr>
                <w:sz w:val="12"/>
                <w:szCs w:val="12"/>
                <w:color w:val="auto"/>
              </w:rPr>
            </w:pPr>
          </w:p>
        </w:tc>
        <w:tc>
          <w:tcPr>
            <w:tcW w:w="1080" w:type="dxa"/>
            <w:vAlign w:val="bottom"/>
            <w:shd w:val="clear" w:color="auto" w:fill="1077A9"/>
          </w:tcPr>
          <w:p>
            <w:pPr>
              <w:spacing w:after="0"/>
              <w:rPr>
                <w:sz w:val="12"/>
                <w:szCs w:val="12"/>
                <w:color w:val="auto"/>
              </w:rPr>
            </w:pPr>
          </w:p>
        </w:tc>
        <w:tc>
          <w:tcPr>
            <w:tcW w:w="1080" w:type="dxa"/>
            <w:vAlign w:val="bottom"/>
            <w:shd w:val="clear" w:color="auto" w:fill="1077A9"/>
          </w:tcPr>
          <w:p>
            <w:pPr>
              <w:spacing w:after="0"/>
              <w:rPr>
                <w:sz w:val="12"/>
                <w:szCs w:val="12"/>
                <w:color w:val="auto"/>
              </w:rPr>
            </w:pPr>
          </w:p>
        </w:tc>
        <w:tc>
          <w:tcPr>
            <w:tcW w:w="1100" w:type="dxa"/>
            <w:vAlign w:val="bottom"/>
            <w:shd w:val="clear" w:color="auto" w:fill="1077A9"/>
          </w:tcPr>
          <w:p>
            <w:pPr>
              <w:spacing w:after="0"/>
              <w:rPr>
                <w:sz w:val="12"/>
                <w:szCs w:val="12"/>
                <w:color w:val="auto"/>
              </w:rPr>
            </w:pPr>
          </w:p>
        </w:tc>
        <w:tc>
          <w:tcPr>
            <w:tcW w:w="1060" w:type="dxa"/>
            <w:vAlign w:val="bottom"/>
            <w:shd w:val="clear" w:color="auto" w:fill="1077A9"/>
          </w:tcPr>
          <w:p>
            <w:pPr>
              <w:spacing w:after="0"/>
              <w:rPr>
                <w:sz w:val="12"/>
                <w:szCs w:val="12"/>
                <w:color w:val="auto"/>
              </w:rPr>
            </w:pPr>
          </w:p>
        </w:tc>
        <w:tc>
          <w:tcPr>
            <w:tcW w:w="820" w:type="dxa"/>
            <w:vAlign w:val="bottom"/>
            <w:shd w:val="clear" w:color="auto" w:fill="1077A9"/>
          </w:tcPr>
          <w:p>
            <w:pPr>
              <w:spacing w:after="0"/>
              <w:rPr>
                <w:sz w:val="12"/>
                <w:szCs w:val="12"/>
                <w:color w:val="auto"/>
              </w:rPr>
            </w:pPr>
          </w:p>
        </w:tc>
        <w:tc>
          <w:tcPr>
            <w:tcW w:w="960" w:type="dxa"/>
            <w:vAlign w:val="bottom"/>
            <w:shd w:val="clear" w:color="auto" w:fill="1077A9"/>
          </w:tcPr>
          <w:p>
            <w:pPr>
              <w:spacing w:after="0"/>
              <w:rPr>
                <w:sz w:val="12"/>
                <w:szCs w:val="12"/>
                <w:color w:val="auto"/>
              </w:rPr>
            </w:pPr>
          </w:p>
        </w:tc>
        <w:tc>
          <w:tcPr>
            <w:tcW w:w="1240" w:type="dxa"/>
            <w:vAlign w:val="bottom"/>
            <w:vMerge w:val="continue"/>
            <w:shd w:val="clear" w:color="auto" w:fill="E5E6E6"/>
          </w:tcPr>
          <w:p>
            <w:pPr>
              <w:spacing w:after="0"/>
              <w:rPr>
                <w:sz w:val="12"/>
                <w:szCs w:val="12"/>
                <w:color w:val="auto"/>
              </w:rPr>
            </w:pPr>
          </w:p>
        </w:tc>
        <w:tc>
          <w:tcPr>
            <w:tcW w:w="1200" w:type="dxa"/>
            <w:vAlign w:val="bottom"/>
            <w:shd w:val="clear" w:color="auto" w:fill="E5E6E6"/>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800" w:type="dxa"/>
            <w:vAlign w:val="bottom"/>
          </w:tcPr>
          <w:p>
            <w:pPr>
              <w:ind w:left="80"/>
              <w:spacing w:after="0"/>
              <w:rPr>
                <w:sz w:val="20"/>
                <w:szCs w:val="20"/>
                <w:color w:val="auto"/>
              </w:rPr>
            </w:pPr>
            <w:r>
              <w:rPr>
                <w:rFonts w:ascii="Arial" w:cs="Arial" w:eastAsia="Arial" w:hAnsi="Arial"/>
                <w:sz w:val="13"/>
                <w:szCs w:val="13"/>
                <w:color w:val="auto"/>
              </w:rPr>
              <w:t>H. Lynn Harton</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8"/>
              </w:rPr>
              <w:t>1/4/2024</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$ 703,125</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$ 1,406,250</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$ 2,109,375</w:t>
            </w:r>
          </w:p>
        </w:tc>
        <w:tc>
          <w:tcPr>
            <w:tcW w:w="1060" w:type="dxa"/>
            <w:vAlign w:val="bottom"/>
            <w:vMerge w:val="restart"/>
          </w:tcPr>
          <w:p>
            <w:pPr>
              <w:jc w:val="right"/>
              <w:ind w:right="137"/>
              <w:spacing w:after="0"/>
              <w:rPr>
                <w:sz w:val="20"/>
                <w:szCs w:val="20"/>
                <w:color w:val="auto"/>
              </w:rPr>
            </w:pPr>
            <w:r>
              <w:rPr>
                <w:rFonts w:ascii="Arial" w:cs="Arial" w:eastAsia="Arial" w:hAnsi="Arial"/>
                <w:sz w:val="13"/>
                <w:szCs w:val="13"/>
                <w:color w:val="auto"/>
              </w:rPr>
              <w:t>16,875</w:t>
            </w: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45,000</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auto"/>
              </w:rPr>
              <w:t>84,375</w:t>
            </w:r>
          </w:p>
        </w:tc>
        <w:tc>
          <w:tcPr>
            <w:tcW w:w="1240" w:type="dxa"/>
            <w:vAlign w:val="bottom"/>
          </w:tcPr>
          <w:p>
            <w:pPr>
              <w:spacing w:after="0"/>
              <w:rPr>
                <w:sz w:val="18"/>
                <w:szCs w:val="18"/>
                <w:color w:val="auto"/>
              </w:rPr>
            </w:pPr>
          </w:p>
        </w:tc>
        <w:tc>
          <w:tcPr>
            <w:tcW w:w="1200" w:type="dxa"/>
            <w:vAlign w:val="bottom"/>
            <w:vMerge w:val="restart"/>
          </w:tcPr>
          <w:p>
            <w:pPr>
              <w:jc w:val="right"/>
              <w:ind w:right="98"/>
              <w:spacing w:after="0"/>
              <w:rPr>
                <w:sz w:val="20"/>
                <w:szCs w:val="20"/>
                <w:color w:val="auto"/>
              </w:rPr>
            </w:pPr>
            <w:r>
              <w:rPr>
                <w:rFonts w:ascii="Arial" w:cs="Arial" w:eastAsia="Arial" w:hAnsi="Arial"/>
                <w:sz w:val="13"/>
                <w:szCs w:val="13"/>
                <w:color w:val="auto"/>
              </w:rPr>
              <w:t>$ 1,284,750</w:t>
            </w:r>
          </w:p>
        </w:tc>
        <w:tc>
          <w:tcPr>
            <w:tcW w:w="0" w:type="dxa"/>
            <w:vAlign w:val="bottom"/>
          </w:tcPr>
          <w:p>
            <w:pPr>
              <w:spacing w:after="0"/>
              <w:rPr>
                <w:sz w:val="1"/>
                <w:szCs w:val="1"/>
                <w:color w:val="auto"/>
              </w:rPr>
            </w:pPr>
          </w:p>
        </w:tc>
      </w:tr>
      <w:tr>
        <w:trPr>
          <w:trHeight w:val="160"/>
        </w:trPr>
        <w:tc>
          <w:tcPr>
            <w:tcW w:w="18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1/4/2024</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30,305</w:t>
            </w:r>
          </w:p>
        </w:tc>
        <w:tc>
          <w:tcPr>
            <w:tcW w:w="1200" w:type="dxa"/>
            <w:vAlign w:val="bottom"/>
          </w:tcPr>
          <w:p>
            <w:pPr>
              <w:jc w:val="right"/>
              <w:ind w:right="98"/>
              <w:spacing w:after="0"/>
              <w:rPr>
                <w:sz w:val="20"/>
                <w:szCs w:val="20"/>
                <w:color w:val="auto"/>
              </w:rPr>
            </w:pPr>
            <w:r>
              <w:rPr>
                <w:rFonts w:ascii="Arial" w:cs="Arial" w:eastAsia="Arial" w:hAnsi="Arial"/>
                <w:sz w:val="13"/>
                <w:szCs w:val="13"/>
                <w:color w:val="auto"/>
              </w:rPr>
              <w:t>865,208</w:t>
            </w:r>
          </w:p>
        </w:tc>
        <w:tc>
          <w:tcPr>
            <w:tcW w:w="0" w:type="dxa"/>
            <w:vAlign w:val="bottom"/>
          </w:tcPr>
          <w:p>
            <w:pPr>
              <w:spacing w:after="0"/>
              <w:rPr>
                <w:sz w:val="1"/>
                <w:szCs w:val="1"/>
                <w:color w:val="auto"/>
              </w:rPr>
            </w:pPr>
          </w:p>
        </w:tc>
      </w:tr>
      <w:tr>
        <w:trPr>
          <w:trHeight w:val="213"/>
        </w:trPr>
        <w:tc>
          <w:tcPr>
            <w:tcW w:w="1800" w:type="dxa"/>
            <w:vAlign w:val="bottom"/>
            <w:shd w:val="clear" w:color="auto" w:fill="E5E6E6"/>
          </w:tcPr>
          <w:p>
            <w:pPr>
              <w:ind w:left="80"/>
              <w:spacing w:after="0"/>
              <w:rPr>
                <w:sz w:val="20"/>
                <w:szCs w:val="20"/>
                <w:color w:val="auto"/>
              </w:rPr>
            </w:pPr>
            <w:r>
              <w:rPr>
                <w:rFonts w:ascii="Arial" w:cs="Arial" w:eastAsia="Arial" w:hAnsi="Arial"/>
                <w:sz w:val="13"/>
                <w:szCs w:val="13"/>
                <w:color w:val="auto"/>
              </w:rPr>
              <w:t>Jefferson L. Harralson</w:t>
            </w:r>
          </w:p>
        </w:tc>
        <w:tc>
          <w:tcPr>
            <w:tcW w:w="900" w:type="dxa"/>
            <w:vAlign w:val="bottom"/>
            <w:vMerge w:val="restart"/>
            <w:shd w:val="clear" w:color="auto" w:fill="E5E6E6"/>
          </w:tcPr>
          <w:p>
            <w:pPr>
              <w:jc w:val="center"/>
              <w:spacing w:after="0"/>
              <w:rPr>
                <w:sz w:val="20"/>
                <w:szCs w:val="20"/>
                <w:color w:val="auto"/>
              </w:rPr>
            </w:pPr>
            <w:r>
              <w:rPr>
                <w:rFonts w:ascii="Arial" w:cs="Arial" w:eastAsia="Arial" w:hAnsi="Arial"/>
                <w:sz w:val="13"/>
                <w:szCs w:val="13"/>
                <w:color w:val="auto"/>
                <w:w w:val="98"/>
              </w:rPr>
              <w:t>1/4/2024</w:t>
            </w:r>
          </w:p>
        </w:tc>
        <w:tc>
          <w:tcPr>
            <w:tcW w:w="1080" w:type="dxa"/>
            <w:vAlign w:val="bottom"/>
            <w:shd w:val="clear" w:color="auto" w:fill="E5E6E6"/>
          </w:tcPr>
          <w:p>
            <w:pPr>
              <w:jc w:val="right"/>
              <w:ind w:right="177"/>
              <w:spacing w:after="0"/>
              <w:rPr>
                <w:sz w:val="20"/>
                <w:szCs w:val="20"/>
                <w:color w:val="auto"/>
              </w:rPr>
            </w:pPr>
            <w:r>
              <w:rPr>
                <w:rFonts w:ascii="Arial" w:cs="Arial" w:eastAsia="Arial" w:hAnsi="Arial"/>
                <w:sz w:val="13"/>
                <w:szCs w:val="13"/>
                <w:color w:val="auto"/>
              </w:rPr>
              <w:t>220,000</w:t>
            </w:r>
          </w:p>
        </w:tc>
        <w:tc>
          <w:tcPr>
            <w:tcW w:w="1080" w:type="dxa"/>
            <w:vAlign w:val="bottom"/>
            <w:shd w:val="clear" w:color="auto" w:fill="E5E6E6"/>
          </w:tcPr>
          <w:p>
            <w:pPr>
              <w:jc w:val="right"/>
              <w:ind w:right="117"/>
              <w:spacing w:after="0"/>
              <w:rPr>
                <w:sz w:val="20"/>
                <w:szCs w:val="20"/>
                <w:color w:val="auto"/>
              </w:rPr>
            </w:pPr>
            <w:r>
              <w:rPr>
                <w:rFonts w:ascii="Arial" w:cs="Arial" w:eastAsia="Arial" w:hAnsi="Arial"/>
                <w:sz w:val="13"/>
                <w:szCs w:val="13"/>
                <w:color w:val="auto"/>
              </w:rPr>
              <w:t>440,000</w:t>
            </w:r>
          </w:p>
        </w:tc>
        <w:tc>
          <w:tcPr>
            <w:tcW w:w="1100" w:type="dxa"/>
            <w:vAlign w:val="bottom"/>
            <w:shd w:val="clear" w:color="auto" w:fill="E5E6E6"/>
          </w:tcPr>
          <w:p>
            <w:pPr>
              <w:jc w:val="right"/>
              <w:ind w:right="97"/>
              <w:spacing w:after="0"/>
              <w:rPr>
                <w:sz w:val="20"/>
                <w:szCs w:val="20"/>
                <w:color w:val="auto"/>
              </w:rPr>
            </w:pPr>
            <w:r>
              <w:rPr>
                <w:rFonts w:ascii="Arial" w:cs="Arial" w:eastAsia="Arial" w:hAnsi="Arial"/>
                <w:sz w:val="13"/>
                <w:szCs w:val="13"/>
                <w:color w:val="auto"/>
              </w:rPr>
              <w:t>660,000</w:t>
            </w:r>
          </w:p>
        </w:tc>
        <w:tc>
          <w:tcPr>
            <w:tcW w:w="1060" w:type="dxa"/>
            <w:vAlign w:val="bottom"/>
            <w:vMerge w:val="restart"/>
            <w:shd w:val="clear" w:color="auto" w:fill="E5E6E6"/>
          </w:tcPr>
          <w:p>
            <w:pPr>
              <w:jc w:val="right"/>
              <w:ind w:right="137"/>
              <w:spacing w:after="0"/>
              <w:rPr>
                <w:sz w:val="20"/>
                <w:szCs w:val="20"/>
                <w:color w:val="auto"/>
              </w:rPr>
            </w:pPr>
            <w:r>
              <w:rPr>
                <w:rFonts w:ascii="Arial" w:cs="Arial" w:eastAsia="Arial" w:hAnsi="Arial"/>
                <w:sz w:val="13"/>
                <w:szCs w:val="13"/>
                <w:color w:val="auto"/>
              </w:rPr>
              <w:t>4,135</w:t>
            </w:r>
          </w:p>
        </w:tc>
        <w:tc>
          <w:tcPr>
            <w:tcW w:w="820" w:type="dxa"/>
            <w:vAlign w:val="bottom"/>
            <w:vMerge w:val="restart"/>
            <w:shd w:val="clear" w:color="auto" w:fill="E5E6E6"/>
          </w:tcPr>
          <w:p>
            <w:pPr>
              <w:jc w:val="right"/>
              <w:ind w:right="57"/>
              <w:spacing w:after="0"/>
              <w:rPr>
                <w:sz w:val="20"/>
                <w:szCs w:val="20"/>
                <w:color w:val="auto"/>
              </w:rPr>
            </w:pPr>
            <w:r>
              <w:rPr>
                <w:rFonts w:ascii="Arial" w:cs="Arial" w:eastAsia="Arial" w:hAnsi="Arial"/>
                <w:sz w:val="13"/>
                <w:szCs w:val="13"/>
                <w:color w:val="auto"/>
              </w:rPr>
              <w:t>11,026</w:t>
            </w:r>
          </w:p>
        </w:tc>
        <w:tc>
          <w:tcPr>
            <w:tcW w:w="960" w:type="dxa"/>
            <w:vAlign w:val="bottom"/>
            <w:vMerge w:val="restart"/>
            <w:shd w:val="clear" w:color="auto" w:fill="E5E6E6"/>
          </w:tcPr>
          <w:p>
            <w:pPr>
              <w:jc w:val="right"/>
              <w:ind w:right="117"/>
              <w:spacing w:after="0"/>
              <w:rPr>
                <w:sz w:val="20"/>
                <w:szCs w:val="20"/>
                <w:color w:val="auto"/>
              </w:rPr>
            </w:pPr>
            <w:r>
              <w:rPr>
                <w:rFonts w:ascii="Arial" w:cs="Arial" w:eastAsia="Arial" w:hAnsi="Arial"/>
                <w:sz w:val="13"/>
                <w:szCs w:val="13"/>
                <w:color w:val="auto"/>
              </w:rPr>
              <w:t>20,674</w:t>
            </w:r>
          </w:p>
        </w:tc>
        <w:tc>
          <w:tcPr>
            <w:tcW w:w="1240" w:type="dxa"/>
            <w:vAlign w:val="bottom"/>
            <w:shd w:val="clear" w:color="auto" w:fill="E5E6E6"/>
          </w:tcPr>
          <w:p>
            <w:pPr>
              <w:spacing w:after="0"/>
              <w:rPr>
                <w:sz w:val="18"/>
                <w:szCs w:val="18"/>
                <w:color w:val="auto"/>
              </w:rPr>
            </w:pPr>
          </w:p>
        </w:tc>
        <w:tc>
          <w:tcPr>
            <w:tcW w:w="1200" w:type="dxa"/>
            <w:vAlign w:val="bottom"/>
            <w:vMerge w:val="restart"/>
            <w:shd w:val="clear" w:color="auto" w:fill="E5E6E6"/>
          </w:tcPr>
          <w:p>
            <w:pPr>
              <w:jc w:val="right"/>
              <w:ind w:right="98"/>
              <w:spacing w:after="0"/>
              <w:rPr>
                <w:sz w:val="20"/>
                <w:szCs w:val="20"/>
                <w:color w:val="auto"/>
              </w:rPr>
            </w:pPr>
            <w:r>
              <w:rPr>
                <w:rFonts w:ascii="Arial" w:cs="Arial" w:eastAsia="Arial" w:hAnsi="Arial"/>
                <w:sz w:val="13"/>
                <w:szCs w:val="13"/>
                <w:color w:val="auto"/>
              </w:rPr>
              <w:t>314,793</w:t>
            </w:r>
          </w:p>
        </w:tc>
        <w:tc>
          <w:tcPr>
            <w:tcW w:w="0" w:type="dxa"/>
            <w:vAlign w:val="bottom"/>
          </w:tcPr>
          <w:p>
            <w:pPr>
              <w:spacing w:after="0"/>
              <w:rPr>
                <w:sz w:val="1"/>
                <w:szCs w:val="1"/>
                <w:color w:val="auto"/>
              </w:rPr>
            </w:pPr>
          </w:p>
        </w:tc>
      </w:tr>
      <w:tr>
        <w:trPr>
          <w:trHeight w:val="163"/>
        </w:trPr>
        <w:tc>
          <w:tcPr>
            <w:tcW w:w="1800" w:type="dxa"/>
            <w:vAlign w:val="bottom"/>
            <w:shd w:val="clear" w:color="auto" w:fill="E5E6E6"/>
          </w:tcPr>
          <w:p>
            <w:pPr>
              <w:spacing w:after="0"/>
              <w:rPr>
                <w:sz w:val="14"/>
                <w:szCs w:val="14"/>
                <w:color w:val="auto"/>
              </w:rPr>
            </w:pPr>
          </w:p>
        </w:tc>
        <w:tc>
          <w:tcPr>
            <w:tcW w:w="900" w:type="dxa"/>
            <w:vAlign w:val="bottom"/>
            <w:vMerge w:val="continue"/>
            <w:shd w:val="clear" w:color="auto" w:fill="E5E6E6"/>
          </w:tcPr>
          <w:p>
            <w:pPr>
              <w:spacing w:after="0"/>
              <w:rPr>
                <w:sz w:val="14"/>
                <w:szCs w:val="14"/>
                <w:color w:val="auto"/>
              </w:rPr>
            </w:pPr>
          </w:p>
        </w:tc>
        <w:tc>
          <w:tcPr>
            <w:tcW w:w="1080" w:type="dxa"/>
            <w:vAlign w:val="bottom"/>
            <w:shd w:val="clear" w:color="auto" w:fill="E5E6E6"/>
          </w:tcPr>
          <w:p>
            <w:pPr>
              <w:spacing w:after="0"/>
              <w:rPr>
                <w:sz w:val="14"/>
                <w:szCs w:val="14"/>
                <w:color w:val="auto"/>
              </w:rPr>
            </w:pPr>
          </w:p>
        </w:tc>
        <w:tc>
          <w:tcPr>
            <w:tcW w:w="1080" w:type="dxa"/>
            <w:vAlign w:val="bottom"/>
            <w:shd w:val="clear" w:color="auto" w:fill="E5E6E6"/>
          </w:tcPr>
          <w:p>
            <w:pPr>
              <w:spacing w:after="0"/>
              <w:rPr>
                <w:sz w:val="14"/>
                <w:szCs w:val="14"/>
                <w:color w:val="auto"/>
              </w:rPr>
            </w:pPr>
          </w:p>
        </w:tc>
        <w:tc>
          <w:tcPr>
            <w:tcW w:w="1100" w:type="dxa"/>
            <w:vAlign w:val="bottom"/>
            <w:shd w:val="clear" w:color="auto" w:fill="E5E6E6"/>
          </w:tcPr>
          <w:p>
            <w:pPr>
              <w:spacing w:after="0"/>
              <w:rPr>
                <w:sz w:val="14"/>
                <w:szCs w:val="14"/>
                <w:color w:val="auto"/>
              </w:rPr>
            </w:pPr>
          </w:p>
        </w:tc>
        <w:tc>
          <w:tcPr>
            <w:tcW w:w="1060" w:type="dxa"/>
            <w:vAlign w:val="bottom"/>
            <w:vMerge w:val="continue"/>
            <w:shd w:val="clear" w:color="auto" w:fill="E5E6E6"/>
          </w:tcPr>
          <w:p>
            <w:pPr>
              <w:spacing w:after="0"/>
              <w:rPr>
                <w:sz w:val="14"/>
                <w:szCs w:val="14"/>
                <w:color w:val="auto"/>
              </w:rPr>
            </w:pPr>
          </w:p>
        </w:tc>
        <w:tc>
          <w:tcPr>
            <w:tcW w:w="820" w:type="dxa"/>
            <w:vAlign w:val="bottom"/>
            <w:vMerge w:val="continue"/>
            <w:shd w:val="clear" w:color="auto" w:fill="E5E6E6"/>
          </w:tcPr>
          <w:p>
            <w:pPr>
              <w:spacing w:after="0"/>
              <w:rPr>
                <w:sz w:val="14"/>
                <w:szCs w:val="14"/>
                <w:color w:val="auto"/>
              </w:rPr>
            </w:pPr>
          </w:p>
        </w:tc>
        <w:tc>
          <w:tcPr>
            <w:tcW w:w="960" w:type="dxa"/>
            <w:vAlign w:val="bottom"/>
            <w:vMerge w:val="continue"/>
            <w:shd w:val="clear" w:color="auto" w:fill="E5E6E6"/>
          </w:tcPr>
          <w:p>
            <w:pPr>
              <w:spacing w:after="0"/>
              <w:rPr>
                <w:sz w:val="14"/>
                <w:szCs w:val="14"/>
                <w:color w:val="auto"/>
              </w:rPr>
            </w:pPr>
          </w:p>
        </w:tc>
        <w:tc>
          <w:tcPr>
            <w:tcW w:w="1240" w:type="dxa"/>
            <w:vAlign w:val="bottom"/>
            <w:shd w:val="clear" w:color="auto" w:fill="E5E6E6"/>
          </w:tcPr>
          <w:p>
            <w:pPr>
              <w:spacing w:after="0"/>
              <w:rPr>
                <w:sz w:val="14"/>
                <w:szCs w:val="14"/>
                <w:color w:val="auto"/>
              </w:rPr>
            </w:pPr>
          </w:p>
        </w:tc>
        <w:tc>
          <w:tcPr>
            <w:tcW w:w="1200" w:type="dxa"/>
            <w:vAlign w:val="bottom"/>
            <w:vMerge w:val="continue"/>
            <w:shd w:val="clear" w:color="auto" w:fill="E5E6E6"/>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E5E6E6"/>
          </w:tcPr>
          <w:p>
            <w:pPr>
              <w:spacing w:after="0"/>
              <w:rPr>
                <w:sz w:val="14"/>
                <w:szCs w:val="14"/>
                <w:color w:val="auto"/>
              </w:rPr>
            </w:pPr>
          </w:p>
        </w:tc>
        <w:tc>
          <w:tcPr>
            <w:tcW w:w="900" w:type="dxa"/>
            <w:vAlign w:val="bottom"/>
            <w:shd w:val="clear" w:color="auto" w:fill="E5E6E6"/>
          </w:tcPr>
          <w:p>
            <w:pPr>
              <w:jc w:val="center"/>
              <w:spacing w:after="0"/>
              <w:rPr>
                <w:sz w:val="20"/>
                <w:szCs w:val="20"/>
                <w:color w:val="auto"/>
              </w:rPr>
            </w:pPr>
            <w:r>
              <w:rPr>
                <w:rFonts w:ascii="Arial" w:cs="Arial" w:eastAsia="Arial" w:hAnsi="Arial"/>
                <w:sz w:val="13"/>
                <w:szCs w:val="13"/>
                <w:color w:val="auto"/>
                <w:w w:val="98"/>
              </w:rPr>
              <w:t>1/4/2024</w:t>
            </w:r>
          </w:p>
        </w:tc>
        <w:tc>
          <w:tcPr>
            <w:tcW w:w="1080" w:type="dxa"/>
            <w:vAlign w:val="bottom"/>
            <w:shd w:val="clear" w:color="auto" w:fill="E5E6E6"/>
          </w:tcPr>
          <w:p>
            <w:pPr>
              <w:spacing w:after="0"/>
              <w:rPr>
                <w:sz w:val="14"/>
                <w:szCs w:val="14"/>
                <w:color w:val="auto"/>
              </w:rPr>
            </w:pPr>
          </w:p>
        </w:tc>
        <w:tc>
          <w:tcPr>
            <w:tcW w:w="1080" w:type="dxa"/>
            <w:vAlign w:val="bottom"/>
            <w:shd w:val="clear" w:color="auto" w:fill="E5E6E6"/>
          </w:tcPr>
          <w:p>
            <w:pPr>
              <w:spacing w:after="0"/>
              <w:rPr>
                <w:sz w:val="14"/>
                <w:szCs w:val="14"/>
                <w:color w:val="auto"/>
              </w:rPr>
            </w:pPr>
          </w:p>
        </w:tc>
        <w:tc>
          <w:tcPr>
            <w:tcW w:w="1100" w:type="dxa"/>
            <w:vAlign w:val="bottom"/>
            <w:shd w:val="clear" w:color="auto" w:fill="E5E6E6"/>
          </w:tcPr>
          <w:p>
            <w:pPr>
              <w:spacing w:after="0"/>
              <w:rPr>
                <w:sz w:val="14"/>
                <w:szCs w:val="14"/>
                <w:color w:val="auto"/>
              </w:rPr>
            </w:pPr>
          </w:p>
        </w:tc>
        <w:tc>
          <w:tcPr>
            <w:tcW w:w="1060" w:type="dxa"/>
            <w:vAlign w:val="bottom"/>
            <w:shd w:val="clear" w:color="auto" w:fill="E5E6E6"/>
          </w:tcPr>
          <w:p>
            <w:pPr>
              <w:spacing w:after="0"/>
              <w:rPr>
                <w:sz w:val="14"/>
                <w:szCs w:val="14"/>
                <w:color w:val="auto"/>
              </w:rPr>
            </w:pPr>
          </w:p>
        </w:tc>
        <w:tc>
          <w:tcPr>
            <w:tcW w:w="820" w:type="dxa"/>
            <w:vAlign w:val="bottom"/>
            <w:shd w:val="clear" w:color="auto" w:fill="E5E6E6"/>
          </w:tcPr>
          <w:p>
            <w:pPr>
              <w:spacing w:after="0"/>
              <w:rPr>
                <w:sz w:val="14"/>
                <w:szCs w:val="14"/>
                <w:color w:val="auto"/>
              </w:rPr>
            </w:pPr>
          </w:p>
        </w:tc>
        <w:tc>
          <w:tcPr>
            <w:tcW w:w="960" w:type="dxa"/>
            <w:vAlign w:val="bottom"/>
            <w:shd w:val="clear" w:color="auto" w:fill="E5E6E6"/>
          </w:tcPr>
          <w:p>
            <w:pPr>
              <w:spacing w:after="0"/>
              <w:rPr>
                <w:sz w:val="14"/>
                <w:szCs w:val="14"/>
                <w:color w:val="auto"/>
              </w:rPr>
            </w:pPr>
          </w:p>
        </w:tc>
        <w:tc>
          <w:tcPr>
            <w:tcW w:w="1240" w:type="dxa"/>
            <w:vAlign w:val="bottom"/>
            <w:shd w:val="clear" w:color="auto" w:fill="E5E6E6"/>
          </w:tcPr>
          <w:p>
            <w:pPr>
              <w:jc w:val="right"/>
              <w:ind w:right="117"/>
              <w:spacing w:after="0"/>
              <w:rPr>
                <w:sz w:val="20"/>
                <w:szCs w:val="20"/>
                <w:color w:val="auto"/>
              </w:rPr>
            </w:pPr>
            <w:r>
              <w:rPr>
                <w:rFonts w:ascii="Arial" w:cs="Arial" w:eastAsia="Arial" w:hAnsi="Arial"/>
                <w:sz w:val="13"/>
                <w:szCs w:val="13"/>
                <w:color w:val="auto"/>
              </w:rPr>
              <w:t>7,426</w:t>
            </w:r>
          </w:p>
        </w:tc>
        <w:tc>
          <w:tcPr>
            <w:tcW w:w="1200" w:type="dxa"/>
            <w:vAlign w:val="bottom"/>
            <w:shd w:val="clear" w:color="auto" w:fill="E5E6E6"/>
          </w:tcPr>
          <w:p>
            <w:pPr>
              <w:jc w:val="right"/>
              <w:ind w:right="98"/>
              <w:spacing w:after="0"/>
              <w:rPr>
                <w:sz w:val="20"/>
                <w:szCs w:val="20"/>
                <w:color w:val="auto"/>
              </w:rPr>
            </w:pPr>
            <w:r>
              <w:rPr>
                <w:rFonts w:ascii="Arial" w:cs="Arial" w:eastAsia="Arial" w:hAnsi="Arial"/>
                <w:sz w:val="13"/>
                <w:szCs w:val="13"/>
                <w:color w:val="auto"/>
              </w:rPr>
              <w:t>212,012</w:t>
            </w:r>
          </w:p>
        </w:tc>
        <w:tc>
          <w:tcPr>
            <w:tcW w:w="0" w:type="dxa"/>
            <w:vAlign w:val="bottom"/>
          </w:tcPr>
          <w:p>
            <w:pPr>
              <w:spacing w:after="0"/>
              <w:rPr>
                <w:sz w:val="1"/>
                <w:szCs w:val="1"/>
                <w:color w:val="auto"/>
              </w:rPr>
            </w:pPr>
          </w:p>
        </w:tc>
      </w:tr>
      <w:tr>
        <w:trPr>
          <w:trHeight w:val="215"/>
        </w:trPr>
        <w:tc>
          <w:tcPr>
            <w:tcW w:w="1800" w:type="dxa"/>
            <w:vAlign w:val="bottom"/>
          </w:tcPr>
          <w:p>
            <w:pPr>
              <w:ind w:left="80"/>
              <w:spacing w:after="0"/>
              <w:rPr>
                <w:sz w:val="20"/>
                <w:szCs w:val="20"/>
                <w:color w:val="auto"/>
              </w:rPr>
            </w:pPr>
            <w:r>
              <w:rPr>
                <w:rFonts w:ascii="Arial" w:cs="Arial" w:eastAsia="Arial" w:hAnsi="Arial"/>
                <w:sz w:val="13"/>
                <w:szCs w:val="13"/>
                <w:color w:val="auto"/>
              </w:rPr>
              <w:t>Richard W. Bradshaw</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8"/>
              </w:rPr>
              <w:t>1/4/2024</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337,500</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675,000</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1,012,500</w:t>
            </w:r>
          </w:p>
        </w:tc>
        <w:tc>
          <w:tcPr>
            <w:tcW w:w="1060" w:type="dxa"/>
            <w:vAlign w:val="bottom"/>
            <w:vMerge w:val="restart"/>
          </w:tcPr>
          <w:p>
            <w:pPr>
              <w:jc w:val="right"/>
              <w:ind w:right="137"/>
              <w:spacing w:after="0"/>
              <w:rPr>
                <w:sz w:val="20"/>
                <w:szCs w:val="20"/>
                <w:color w:val="auto"/>
              </w:rPr>
            </w:pPr>
            <w:r>
              <w:rPr>
                <w:rFonts w:ascii="Arial" w:cs="Arial" w:eastAsia="Arial" w:hAnsi="Arial"/>
                <w:sz w:val="13"/>
                <w:szCs w:val="13"/>
                <w:color w:val="auto"/>
              </w:rPr>
              <w:t>4,876</w:t>
            </w: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13,003</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auto"/>
              </w:rPr>
              <w:t>24,381</w:t>
            </w:r>
          </w:p>
        </w:tc>
        <w:tc>
          <w:tcPr>
            <w:tcW w:w="1240" w:type="dxa"/>
            <w:vAlign w:val="bottom"/>
          </w:tcPr>
          <w:p>
            <w:pPr>
              <w:spacing w:after="0"/>
              <w:rPr>
                <w:sz w:val="18"/>
                <w:szCs w:val="18"/>
                <w:color w:val="auto"/>
              </w:rPr>
            </w:pPr>
          </w:p>
        </w:tc>
        <w:tc>
          <w:tcPr>
            <w:tcW w:w="1200" w:type="dxa"/>
            <w:vAlign w:val="bottom"/>
            <w:vMerge w:val="restart"/>
          </w:tcPr>
          <w:p>
            <w:pPr>
              <w:jc w:val="right"/>
              <w:ind w:right="98"/>
              <w:spacing w:after="0"/>
              <w:rPr>
                <w:sz w:val="20"/>
                <w:szCs w:val="20"/>
                <w:color w:val="auto"/>
              </w:rPr>
            </w:pPr>
            <w:r>
              <w:rPr>
                <w:rFonts w:ascii="Arial" w:cs="Arial" w:eastAsia="Arial" w:hAnsi="Arial"/>
                <w:sz w:val="13"/>
                <w:szCs w:val="13"/>
                <w:color w:val="auto"/>
              </w:rPr>
              <w:t>371,236</w:t>
            </w:r>
          </w:p>
        </w:tc>
        <w:tc>
          <w:tcPr>
            <w:tcW w:w="0" w:type="dxa"/>
            <w:vAlign w:val="bottom"/>
          </w:tcPr>
          <w:p>
            <w:pPr>
              <w:spacing w:after="0"/>
              <w:rPr>
                <w:sz w:val="1"/>
                <w:szCs w:val="1"/>
                <w:color w:val="auto"/>
              </w:rPr>
            </w:pPr>
          </w:p>
        </w:tc>
      </w:tr>
      <w:tr>
        <w:trPr>
          <w:trHeight w:val="160"/>
        </w:trPr>
        <w:tc>
          <w:tcPr>
            <w:tcW w:w="18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1/4/2024</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8,757</w:t>
            </w:r>
          </w:p>
        </w:tc>
        <w:tc>
          <w:tcPr>
            <w:tcW w:w="1200" w:type="dxa"/>
            <w:vAlign w:val="bottom"/>
          </w:tcPr>
          <w:p>
            <w:pPr>
              <w:jc w:val="right"/>
              <w:ind w:right="98"/>
              <w:spacing w:after="0"/>
              <w:rPr>
                <w:sz w:val="20"/>
                <w:szCs w:val="20"/>
                <w:color w:val="auto"/>
              </w:rPr>
            </w:pPr>
            <w:r>
              <w:rPr>
                <w:rFonts w:ascii="Arial" w:cs="Arial" w:eastAsia="Arial" w:hAnsi="Arial"/>
                <w:sz w:val="13"/>
                <w:szCs w:val="13"/>
                <w:color w:val="auto"/>
              </w:rPr>
              <w:t>250,012</w:t>
            </w:r>
          </w:p>
        </w:tc>
        <w:tc>
          <w:tcPr>
            <w:tcW w:w="0" w:type="dxa"/>
            <w:vAlign w:val="bottom"/>
          </w:tcPr>
          <w:p>
            <w:pPr>
              <w:spacing w:after="0"/>
              <w:rPr>
                <w:sz w:val="1"/>
                <w:szCs w:val="1"/>
                <w:color w:val="auto"/>
              </w:rPr>
            </w:pPr>
          </w:p>
        </w:tc>
      </w:tr>
      <w:tr>
        <w:trPr>
          <w:trHeight w:val="213"/>
        </w:trPr>
        <w:tc>
          <w:tcPr>
            <w:tcW w:w="1800" w:type="dxa"/>
            <w:vAlign w:val="bottom"/>
            <w:shd w:val="clear" w:color="auto" w:fill="E5E6E6"/>
          </w:tcPr>
          <w:p>
            <w:pPr>
              <w:ind w:left="80"/>
              <w:spacing w:after="0"/>
              <w:rPr>
                <w:sz w:val="20"/>
                <w:szCs w:val="20"/>
                <w:color w:val="auto"/>
              </w:rPr>
            </w:pPr>
            <w:r>
              <w:rPr>
                <w:rFonts w:ascii="Arial" w:cs="Arial" w:eastAsia="Arial" w:hAnsi="Arial"/>
                <w:sz w:val="13"/>
                <w:szCs w:val="13"/>
                <w:color w:val="auto"/>
              </w:rPr>
              <w:t>Melinda Davis Lux</w:t>
            </w:r>
          </w:p>
        </w:tc>
        <w:tc>
          <w:tcPr>
            <w:tcW w:w="900" w:type="dxa"/>
            <w:vAlign w:val="bottom"/>
            <w:vMerge w:val="restart"/>
            <w:shd w:val="clear" w:color="auto" w:fill="E5E6E6"/>
          </w:tcPr>
          <w:p>
            <w:pPr>
              <w:jc w:val="center"/>
              <w:spacing w:after="0"/>
              <w:rPr>
                <w:sz w:val="20"/>
                <w:szCs w:val="20"/>
                <w:color w:val="auto"/>
              </w:rPr>
            </w:pPr>
            <w:r>
              <w:rPr>
                <w:rFonts w:ascii="Arial" w:cs="Arial" w:eastAsia="Arial" w:hAnsi="Arial"/>
                <w:sz w:val="13"/>
                <w:szCs w:val="13"/>
                <w:color w:val="auto"/>
                <w:w w:val="98"/>
              </w:rPr>
              <w:t>1/4/2024</w:t>
            </w:r>
          </w:p>
        </w:tc>
        <w:tc>
          <w:tcPr>
            <w:tcW w:w="1080" w:type="dxa"/>
            <w:vAlign w:val="bottom"/>
            <w:shd w:val="clear" w:color="auto" w:fill="E5E6E6"/>
          </w:tcPr>
          <w:p>
            <w:pPr>
              <w:jc w:val="right"/>
              <w:ind w:right="177"/>
              <w:spacing w:after="0"/>
              <w:rPr>
                <w:sz w:val="20"/>
                <w:szCs w:val="20"/>
                <w:color w:val="auto"/>
              </w:rPr>
            </w:pPr>
            <w:r>
              <w:rPr>
                <w:rFonts w:ascii="Arial" w:cs="Arial" w:eastAsia="Arial" w:hAnsi="Arial"/>
                <w:sz w:val="13"/>
                <w:szCs w:val="13"/>
                <w:color w:val="auto"/>
              </w:rPr>
              <w:t>220,000</w:t>
            </w:r>
          </w:p>
        </w:tc>
        <w:tc>
          <w:tcPr>
            <w:tcW w:w="1080" w:type="dxa"/>
            <w:vAlign w:val="bottom"/>
            <w:shd w:val="clear" w:color="auto" w:fill="E5E6E6"/>
          </w:tcPr>
          <w:p>
            <w:pPr>
              <w:jc w:val="right"/>
              <w:ind w:right="117"/>
              <w:spacing w:after="0"/>
              <w:rPr>
                <w:sz w:val="20"/>
                <w:szCs w:val="20"/>
                <w:color w:val="auto"/>
              </w:rPr>
            </w:pPr>
            <w:r>
              <w:rPr>
                <w:rFonts w:ascii="Arial" w:cs="Arial" w:eastAsia="Arial" w:hAnsi="Arial"/>
                <w:sz w:val="13"/>
                <w:szCs w:val="13"/>
                <w:color w:val="auto"/>
              </w:rPr>
              <w:t>440,000</w:t>
            </w:r>
          </w:p>
        </w:tc>
        <w:tc>
          <w:tcPr>
            <w:tcW w:w="1100" w:type="dxa"/>
            <w:vAlign w:val="bottom"/>
            <w:shd w:val="clear" w:color="auto" w:fill="E5E6E6"/>
          </w:tcPr>
          <w:p>
            <w:pPr>
              <w:jc w:val="right"/>
              <w:ind w:right="97"/>
              <w:spacing w:after="0"/>
              <w:rPr>
                <w:sz w:val="20"/>
                <w:szCs w:val="20"/>
                <w:color w:val="auto"/>
              </w:rPr>
            </w:pPr>
            <w:r>
              <w:rPr>
                <w:rFonts w:ascii="Arial" w:cs="Arial" w:eastAsia="Arial" w:hAnsi="Arial"/>
                <w:sz w:val="13"/>
                <w:szCs w:val="13"/>
                <w:color w:val="auto"/>
              </w:rPr>
              <w:t>660,000</w:t>
            </w:r>
          </w:p>
        </w:tc>
        <w:tc>
          <w:tcPr>
            <w:tcW w:w="1060" w:type="dxa"/>
            <w:vAlign w:val="bottom"/>
            <w:vMerge w:val="restart"/>
            <w:shd w:val="clear" w:color="auto" w:fill="E5E6E6"/>
          </w:tcPr>
          <w:p>
            <w:pPr>
              <w:jc w:val="right"/>
              <w:ind w:right="137"/>
              <w:spacing w:after="0"/>
              <w:rPr>
                <w:sz w:val="20"/>
                <w:szCs w:val="20"/>
                <w:color w:val="auto"/>
              </w:rPr>
            </w:pPr>
            <w:r>
              <w:rPr>
                <w:rFonts w:ascii="Arial" w:cs="Arial" w:eastAsia="Arial" w:hAnsi="Arial"/>
                <w:sz w:val="13"/>
                <w:szCs w:val="13"/>
                <w:color w:val="auto"/>
              </w:rPr>
              <w:t>3,706</w:t>
            </w:r>
          </w:p>
        </w:tc>
        <w:tc>
          <w:tcPr>
            <w:tcW w:w="820" w:type="dxa"/>
            <w:vAlign w:val="bottom"/>
            <w:vMerge w:val="restart"/>
            <w:shd w:val="clear" w:color="auto" w:fill="E5E6E6"/>
          </w:tcPr>
          <w:p>
            <w:pPr>
              <w:jc w:val="right"/>
              <w:ind w:right="57"/>
              <w:spacing w:after="0"/>
              <w:rPr>
                <w:sz w:val="20"/>
                <w:szCs w:val="20"/>
                <w:color w:val="auto"/>
              </w:rPr>
            </w:pPr>
            <w:r>
              <w:rPr>
                <w:rFonts w:ascii="Arial" w:cs="Arial" w:eastAsia="Arial" w:hAnsi="Arial"/>
                <w:sz w:val="13"/>
                <w:szCs w:val="13"/>
                <w:color w:val="auto"/>
              </w:rPr>
              <w:t>9,883</w:t>
            </w:r>
          </w:p>
        </w:tc>
        <w:tc>
          <w:tcPr>
            <w:tcW w:w="960" w:type="dxa"/>
            <w:vAlign w:val="bottom"/>
            <w:vMerge w:val="restart"/>
            <w:shd w:val="clear" w:color="auto" w:fill="E5E6E6"/>
          </w:tcPr>
          <w:p>
            <w:pPr>
              <w:jc w:val="right"/>
              <w:ind w:right="117"/>
              <w:spacing w:after="0"/>
              <w:rPr>
                <w:sz w:val="20"/>
                <w:szCs w:val="20"/>
                <w:color w:val="auto"/>
              </w:rPr>
            </w:pPr>
            <w:r>
              <w:rPr>
                <w:rFonts w:ascii="Arial" w:cs="Arial" w:eastAsia="Arial" w:hAnsi="Arial"/>
                <w:sz w:val="13"/>
                <w:szCs w:val="13"/>
                <w:color w:val="auto"/>
              </w:rPr>
              <w:t>18,531</w:t>
            </w:r>
          </w:p>
        </w:tc>
        <w:tc>
          <w:tcPr>
            <w:tcW w:w="1240" w:type="dxa"/>
            <w:vAlign w:val="bottom"/>
            <w:shd w:val="clear" w:color="auto" w:fill="E5E6E6"/>
          </w:tcPr>
          <w:p>
            <w:pPr>
              <w:spacing w:after="0"/>
              <w:rPr>
                <w:sz w:val="18"/>
                <w:szCs w:val="18"/>
                <w:color w:val="auto"/>
              </w:rPr>
            </w:pPr>
          </w:p>
        </w:tc>
        <w:tc>
          <w:tcPr>
            <w:tcW w:w="1200" w:type="dxa"/>
            <w:vAlign w:val="bottom"/>
            <w:vMerge w:val="restart"/>
            <w:shd w:val="clear" w:color="auto" w:fill="E5E6E6"/>
          </w:tcPr>
          <w:p>
            <w:pPr>
              <w:jc w:val="right"/>
              <w:ind w:right="98"/>
              <w:spacing w:after="0"/>
              <w:rPr>
                <w:sz w:val="20"/>
                <w:szCs w:val="20"/>
                <w:color w:val="auto"/>
              </w:rPr>
            </w:pPr>
            <w:r>
              <w:rPr>
                <w:rFonts w:ascii="Arial" w:cs="Arial" w:eastAsia="Arial" w:hAnsi="Arial"/>
                <w:sz w:val="13"/>
                <w:szCs w:val="13"/>
                <w:color w:val="auto"/>
              </w:rPr>
              <w:t>282,160</w:t>
            </w:r>
          </w:p>
        </w:tc>
        <w:tc>
          <w:tcPr>
            <w:tcW w:w="0" w:type="dxa"/>
            <w:vAlign w:val="bottom"/>
          </w:tcPr>
          <w:p>
            <w:pPr>
              <w:spacing w:after="0"/>
              <w:rPr>
                <w:sz w:val="1"/>
                <w:szCs w:val="1"/>
                <w:color w:val="auto"/>
              </w:rPr>
            </w:pPr>
          </w:p>
        </w:tc>
      </w:tr>
      <w:tr>
        <w:trPr>
          <w:trHeight w:val="163"/>
        </w:trPr>
        <w:tc>
          <w:tcPr>
            <w:tcW w:w="1800" w:type="dxa"/>
            <w:vAlign w:val="bottom"/>
            <w:shd w:val="clear" w:color="auto" w:fill="E5E6E6"/>
          </w:tcPr>
          <w:p>
            <w:pPr>
              <w:spacing w:after="0"/>
              <w:rPr>
                <w:sz w:val="14"/>
                <w:szCs w:val="14"/>
                <w:color w:val="auto"/>
              </w:rPr>
            </w:pPr>
          </w:p>
        </w:tc>
        <w:tc>
          <w:tcPr>
            <w:tcW w:w="900" w:type="dxa"/>
            <w:vAlign w:val="bottom"/>
            <w:vMerge w:val="continue"/>
            <w:shd w:val="clear" w:color="auto" w:fill="E5E6E6"/>
          </w:tcPr>
          <w:p>
            <w:pPr>
              <w:spacing w:after="0"/>
              <w:rPr>
                <w:sz w:val="14"/>
                <w:szCs w:val="14"/>
                <w:color w:val="auto"/>
              </w:rPr>
            </w:pPr>
          </w:p>
        </w:tc>
        <w:tc>
          <w:tcPr>
            <w:tcW w:w="1080" w:type="dxa"/>
            <w:vAlign w:val="bottom"/>
            <w:shd w:val="clear" w:color="auto" w:fill="E5E6E6"/>
          </w:tcPr>
          <w:p>
            <w:pPr>
              <w:spacing w:after="0"/>
              <w:rPr>
                <w:sz w:val="14"/>
                <w:szCs w:val="14"/>
                <w:color w:val="auto"/>
              </w:rPr>
            </w:pPr>
          </w:p>
        </w:tc>
        <w:tc>
          <w:tcPr>
            <w:tcW w:w="1080" w:type="dxa"/>
            <w:vAlign w:val="bottom"/>
            <w:shd w:val="clear" w:color="auto" w:fill="E5E6E6"/>
          </w:tcPr>
          <w:p>
            <w:pPr>
              <w:spacing w:after="0"/>
              <w:rPr>
                <w:sz w:val="14"/>
                <w:szCs w:val="14"/>
                <w:color w:val="auto"/>
              </w:rPr>
            </w:pPr>
          </w:p>
        </w:tc>
        <w:tc>
          <w:tcPr>
            <w:tcW w:w="1100" w:type="dxa"/>
            <w:vAlign w:val="bottom"/>
            <w:shd w:val="clear" w:color="auto" w:fill="E5E6E6"/>
          </w:tcPr>
          <w:p>
            <w:pPr>
              <w:spacing w:after="0"/>
              <w:rPr>
                <w:sz w:val="14"/>
                <w:szCs w:val="14"/>
                <w:color w:val="auto"/>
              </w:rPr>
            </w:pPr>
          </w:p>
        </w:tc>
        <w:tc>
          <w:tcPr>
            <w:tcW w:w="1060" w:type="dxa"/>
            <w:vAlign w:val="bottom"/>
            <w:vMerge w:val="continue"/>
            <w:shd w:val="clear" w:color="auto" w:fill="E5E6E6"/>
          </w:tcPr>
          <w:p>
            <w:pPr>
              <w:spacing w:after="0"/>
              <w:rPr>
                <w:sz w:val="14"/>
                <w:szCs w:val="14"/>
                <w:color w:val="auto"/>
              </w:rPr>
            </w:pPr>
          </w:p>
        </w:tc>
        <w:tc>
          <w:tcPr>
            <w:tcW w:w="820" w:type="dxa"/>
            <w:vAlign w:val="bottom"/>
            <w:vMerge w:val="continue"/>
            <w:shd w:val="clear" w:color="auto" w:fill="E5E6E6"/>
          </w:tcPr>
          <w:p>
            <w:pPr>
              <w:spacing w:after="0"/>
              <w:rPr>
                <w:sz w:val="14"/>
                <w:szCs w:val="14"/>
                <w:color w:val="auto"/>
              </w:rPr>
            </w:pPr>
          </w:p>
        </w:tc>
        <w:tc>
          <w:tcPr>
            <w:tcW w:w="960" w:type="dxa"/>
            <w:vAlign w:val="bottom"/>
            <w:vMerge w:val="continue"/>
            <w:shd w:val="clear" w:color="auto" w:fill="E5E6E6"/>
          </w:tcPr>
          <w:p>
            <w:pPr>
              <w:spacing w:after="0"/>
              <w:rPr>
                <w:sz w:val="14"/>
                <w:szCs w:val="14"/>
                <w:color w:val="auto"/>
              </w:rPr>
            </w:pPr>
          </w:p>
        </w:tc>
        <w:tc>
          <w:tcPr>
            <w:tcW w:w="1240" w:type="dxa"/>
            <w:vAlign w:val="bottom"/>
            <w:shd w:val="clear" w:color="auto" w:fill="E5E6E6"/>
          </w:tcPr>
          <w:p>
            <w:pPr>
              <w:spacing w:after="0"/>
              <w:rPr>
                <w:sz w:val="14"/>
                <w:szCs w:val="14"/>
                <w:color w:val="auto"/>
              </w:rPr>
            </w:pPr>
          </w:p>
        </w:tc>
        <w:tc>
          <w:tcPr>
            <w:tcW w:w="1200" w:type="dxa"/>
            <w:vAlign w:val="bottom"/>
            <w:vMerge w:val="continue"/>
            <w:shd w:val="clear" w:color="auto" w:fill="E5E6E6"/>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E5E6E6"/>
          </w:tcPr>
          <w:p>
            <w:pPr>
              <w:spacing w:after="0"/>
              <w:rPr>
                <w:sz w:val="14"/>
                <w:szCs w:val="14"/>
                <w:color w:val="auto"/>
              </w:rPr>
            </w:pPr>
          </w:p>
        </w:tc>
        <w:tc>
          <w:tcPr>
            <w:tcW w:w="900" w:type="dxa"/>
            <w:vAlign w:val="bottom"/>
            <w:shd w:val="clear" w:color="auto" w:fill="E5E6E6"/>
          </w:tcPr>
          <w:p>
            <w:pPr>
              <w:jc w:val="center"/>
              <w:spacing w:after="0"/>
              <w:rPr>
                <w:sz w:val="20"/>
                <w:szCs w:val="20"/>
                <w:color w:val="auto"/>
              </w:rPr>
            </w:pPr>
            <w:r>
              <w:rPr>
                <w:rFonts w:ascii="Arial" w:cs="Arial" w:eastAsia="Arial" w:hAnsi="Arial"/>
                <w:sz w:val="13"/>
                <w:szCs w:val="13"/>
                <w:color w:val="auto"/>
                <w:w w:val="98"/>
              </w:rPr>
              <w:t>1/4/2024</w:t>
            </w:r>
          </w:p>
        </w:tc>
        <w:tc>
          <w:tcPr>
            <w:tcW w:w="1080" w:type="dxa"/>
            <w:vAlign w:val="bottom"/>
            <w:shd w:val="clear" w:color="auto" w:fill="E5E6E6"/>
          </w:tcPr>
          <w:p>
            <w:pPr>
              <w:spacing w:after="0"/>
              <w:rPr>
                <w:sz w:val="14"/>
                <w:szCs w:val="14"/>
                <w:color w:val="auto"/>
              </w:rPr>
            </w:pPr>
          </w:p>
        </w:tc>
        <w:tc>
          <w:tcPr>
            <w:tcW w:w="1080" w:type="dxa"/>
            <w:vAlign w:val="bottom"/>
            <w:shd w:val="clear" w:color="auto" w:fill="E5E6E6"/>
          </w:tcPr>
          <w:p>
            <w:pPr>
              <w:spacing w:after="0"/>
              <w:rPr>
                <w:sz w:val="14"/>
                <w:szCs w:val="14"/>
                <w:color w:val="auto"/>
              </w:rPr>
            </w:pPr>
          </w:p>
        </w:tc>
        <w:tc>
          <w:tcPr>
            <w:tcW w:w="1100" w:type="dxa"/>
            <w:vAlign w:val="bottom"/>
            <w:shd w:val="clear" w:color="auto" w:fill="E5E6E6"/>
          </w:tcPr>
          <w:p>
            <w:pPr>
              <w:spacing w:after="0"/>
              <w:rPr>
                <w:sz w:val="14"/>
                <w:szCs w:val="14"/>
                <w:color w:val="auto"/>
              </w:rPr>
            </w:pPr>
          </w:p>
        </w:tc>
        <w:tc>
          <w:tcPr>
            <w:tcW w:w="1060" w:type="dxa"/>
            <w:vAlign w:val="bottom"/>
            <w:shd w:val="clear" w:color="auto" w:fill="E5E6E6"/>
          </w:tcPr>
          <w:p>
            <w:pPr>
              <w:spacing w:after="0"/>
              <w:rPr>
                <w:sz w:val="14"/>
                <w:szCs w:val="14"/>
                <w:color w:val="auto"/>
              </w:rPr>
            </w:pPr>
          </w:p>
        </w:tc>
        <w:tc>
          <w:tcPr>
            <w:tcW w:w="820" w:type="dxa"/>
            <w:vAlign w:val="bottom"/>
            <w:shd w:val="clear" w:color="auto" w:fill="E5E6E6"/>
          </w:tcPr>
          <w:p>
            <w:pPr>
              <w:spacing w:after="0"/>
              <w:rPr>
                <w:sz w:val="14"/>
                <w:szCs w:val="14"/>
                <w:color w:val="auto"/>
              </w:rPr>
            </w:pPr>
          </w:p>
        </w:tc>
        <w:tc>
          <w:tcPr>
            <w:tcW w:w="960" w:type="dxa"/>
            <w:vAlign w:val="bottom"/>
            <w:shd w:val="clear" w:color="auto" w:fill="E5E6E6"/>
          </w:tcPr>
          <w:p>
            <w:pPr>
              <w:spacing w:after="0"/>
              <w:rPr>
                <w:sz w:val="14"/>
                <w:szCs w:val="14"/>
                <w:color w:val="auto"/>
              </w:rPr>
            </w:pPr>
          </w:p>
        </w:tc>
        <w:tc>
          <w:tcPr>
            <w:tcW w:w="1240" w:type="dxa"/>
            <w:vAlign w:val="bottom"/>
            <w:shd w:val="clear" w:color="auto" w:fill="E5E6E6"/>
          </w:tcPr>
          <w:p>
            <w:pPr>
              <w:jc w:val="right"/>
              <w:ind w:right="117"/>
              <w:spacing w:after="0"/>
              <w:rPr>
                <w:sz w:val="20"/>
                <w:szCs w:val="20"/>
                <w:color w:val="auto"/>
              </w:rPr>
            </w:pPr>
            <w:r>
              <w:rPr>
                <w:rFonts w:ascii="Arial" w:cs="Arial" w:eastAsia="Arial" w:hAnsi="Arial"/>
                <w:sz w:val="13"/>
                <w:szCs w:val="13"/>
                <w:color w:val="auto"/>
              </w:rPr>
              <w:t>6,655</w:t>
            </w:r>
          </w:p>
        </w:tc>
        <w:tc>
          <w:tcPr>
            <w:tcW w:w="1200" w:type="dxa"/>
            <w:vAlign w:val="bottom"/>
            <w:shd w:val="clear" w:color="auto" w:fill="E5E6E6"/>
          </w:tcPr>
          <w:p>
            <w:pPr>
              <w:jc w:val="right"/>
              <w:ind w:right="98"/>
              <w:spacing w:after="0"/>
              <w:rPr>
                <w:sz w:val="20"/>
                <w:szCs w:val="20"/>
                <w:color w:val="auto"/>
              </w:rPr>
            </w:pPr>
            <w:r>
              <w:rPr>
                <w:rFonts w:ascii="Arial" w:cs="Arial" w:eastAsia="Arial" w:hAnsi="Arial"/>
                <w:sz w:val="13"/>
                <w:szCs w:val="13"/>
                <w:color w:val="auto"/>
              </w:rPr>
              <w:t>190,000</w:t>
            </w:r>
          </w:p>
        </w:tc>
        <w:tc>
          <w:tcPr>
            <w:tcW w:w="0" w:type="dxa"/>
            <w:vAlign w:val="bottom"/>
          </w:tcPr>
          <w:p>
            <w:pPr>
              <w:spacing w:after="0"/>
              <w:rPr>
                <w:sz w:val="1"/>
                <w:szCs w:val="1"/>
                <w:color w:val="auto"/>
              </w:rPr>
            </w:pPr>
          </w:p>
        </w:tc>
      </w:tr>
      <w:tr>
        <w:trPr>
          <w:trHeight w:val="215"/>
        </w:trPr>
        <w:tc>
          <w:tcPr>
            <w:tcW w:w="1800" w:type="dxa"/>
            <w:vAlign w:val="bottom"/>
          </w:tcPr>
          <w:p>
            <w:pPr>
              <w:ind w:left="80"/>
              <w:spacing w:after="0"/>
              <w:rPr>
                <w:sz w:val="20"/>
                <w:szCs w:val="20"/>
                <w:color w:val="auto"/>
              </w:rPr>
            </w:pPr>
            <w:r>
              <w:rPr>
                <w:rFonts w:ascii="Arial" w:cs="Arial" w:eastAsia="Arial" w:hAnsi="Arial"/>
                <w:sz w:val="13"/>
                <w:szCs w:val="13"/>
                <w:color w:val="auto"/>
              </w:rPr>
              <w:t>Robert A. Edwards</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8"/>
              </w:rPr>
              <w:t>1/4/2024</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150,000</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300,000</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450,000</w:t>
            </w:r>
          </w:p>
        </w:tc>
        <w:tc>
          <w:tcPr>
            <w:tcW w:w="1060" w:type="dxa"/>
            <w:vAlign w:val="bottom"/>
            <w:vMerge w:val="restart"/>
          </w:tcPr>
          <w:p>
            <w:pPr>
              <w:jc w:val="right"/>
              <w:ind w:right="137"/>
              <w:spacing w:after="0"/>
              <w:rPr>
                <w:sz w:val="20"/>
                <w:szCs w:val="20"/>
                <w:color w:val="auto"/>
              </w:rPr>
            </w:pPr>
            <w:r>
              <w:rPr>
                <w:rFonts w:ascii="Arial" w:cs="Arial" w:eastAsia="Arial" w:hAnsi="Arial"/>
                <w:sz w:val="13"/>
                <w:szCs w:val="13"/>
                <w:color w:val="auto"/>
              </w:rPr>
              <w:t>2,721</w:t>
            </w: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7,256</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auto"/>
              </w:rPr>
              <w:t>13,605</w:t>
            </w:r>
          </w:p>
        </w:tc>
        <w:tc>
          <w:tcPr>
            <w:tcW w:w="1240" w:type="dxa"/>
            <w:vAlign w:val="bottom"/>
          </w:tcPr>
          <w:p>
            <w:pPr>
              <w:spacing w:after="0"/>
              <w:rPr>
                <w:sz w:val="18"/>
                <w:szCs w:val="18"/>
                <w:color w:val="auto"/>
              </w:rPr>
            </w:pPr>
          </w:p>
        </w:tc>
        <w:tc>
          <w:tcPr>
            <w:tcW w:w="1200" w:type="dxa"/>
            <w:vAlign w:val="bottom"/>
            <w:vMerge w:val="restart"/>
          </w:tcPr>
          <w:p>
            <w:pPr>
              <w:jc w:val="right"/>
              <w:ind w:right="98"/>
              <w:spacing w:after="0"/>
              <w:rPr>
                <w:sz w:val="20"/>
                <w:szCs w:val="20"/>
                <w:color w:val="auto"/>
              </w:rPr>
            </w:pPr>
            <w:r>
              <w:rPr>
                <w:rFonts w:ascii="Arial" w:cs="Arial" w:eastAsia="Arial" w:hAnsi="Arial"/>
                <w:sz w:val="13"/>
                <w:szCs w:val="13"/>
                <w:color w:val="auto"/>
              </w:rPr>
              <w:t>207,159</w:t>
            </w:r>
          </w:p>
        </w:tc>
        <w:tc>
          <w:tcPr>
            <w:tcW w:w="0" w:type="dxa"/>
            <w:vAlign w:val="bottom"/>
          </w:tcPr>
          <w:p>
            <w:pPr>
              <w:spacing w:after="0"/>
              <w:rPr>
                <w:sz w:val="1"/>
                <w:szCs w:val="1"/>
                <w:color w:val="auto"/>
              </w:rPr>
            </w:pPr>
          </w:p>
        </w:tc>
      </w:tr>
      <w:tr>
        <w:trPr>
          <w:trHeight w:val="160"/>
        </w:trPr>
        <w:tc>
          <w:tcPr>
            <w:tcW w:w="18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800" w:type="dxa"/>
            <w:vAlign w:val="bottom"/>
            <w:tcBorders>
              <w:bottom w:val="single" w:sz="8" w:color="E5E6E6"/>
            </w:tcBorders>
          </w:tcPr>
          <w:p>
            <w:pPr>
              <w:spacing w:after="0"/>
              <w:rPr>
                <w:sz w:val="14"/>
                <w:szCs w:val="14"/>
                <w:color w:val="auto"/>
              </w:rPr>
            </w:pPr>
          </w:p>
        </w:tc>
        <w:tc>
          <w:tcPr>
            <w:tcW w:w="900" w:type="dxa"/>
            <w:vAlign w:val="bottom"/>
            <w:tcBorders>
              <w:bottom w:val="single" w:sz="8" w:color="E5E6E6"/>
            </w:tcBorders>
          </w:tcPr>
          <w:p>
            <w:pPr>
              <w:jc w:val="center"/>
              <w:spacing w:after="0"/>
              <w:rPr>
                <w:sz w:val="20"/>
                <w:szCs w:val="20"/>
                <w:color w:val="auto"/>
              </w:rPr>
            </w:pPr>
            <w:r>
              <w:rPr>
                <w:rFonts w:ascii="Arial" w:cs="Arial" w:eastAsia="Arial" w:hAnsi="Arial"/>
                <w:sz w:val="13"/>
                <w:szCs w:val="13"/>
                <w:color w:val="auto"/>
                <w:w w:val="98"/>
              </w:rPr>
              <w:t>1/4/2024</w:t>
            </w:r>
          </w:p>
        </w:tc>
        <w:tc>
          <w:tcPr>
            <w:tcW w:w="1080" w:type="dxa"/>
            <w:vAlign w:val="bottom"/>
            <w:tcBorders>
              <w:bottom w:val="single" w:sz="8" w:color="E5E6E6"/>
            </w:tcBorders>
          </w:tcPr>
          <w:p>
            <w:pPr>
              <w:spacing w:after="0"/>
              <w:rPr>
                <w:sz w:val="14"/>
                <w:szCs w:val="14"/>
                <w:color w:val="auto"/>
              </w:rPr>
            </w:pPr>
          </w:p>
        </w:tc>
        <w:tc>
          <w:tcPr>
            <w:tcW w:w="1080" w:type="dxa"/>
            <w:vAlign w:val="bottom"/>
            <w:tcBorders>
              <w:bottom w:val="single" w:sz="8" w:color="E5E6E6"/>
            </w:tcBorders>
          </w:tcPr>
          <w:p>
            <w:pPr>
              <w:spacing w:after="0"/>
              <w:rPr>
                <w:sz w:val="14"/>
                <w:szCs w:val="14"/>
                <w:color w:val="auto"/>
              </w:rPr>
            </w:pPr>
          </w:p>
        </w:tc>
        <w:tc>
          <w:tcPr>
            <w:tcW w:w="1100" w:type="dxa"/>
            <w:vAlign w:val="bottom"/>
            <w:tcBorders>
              <w:bottom w:val="single" w:sz="8" w:color="E5E6E6"/>
            </w:tcBorders>
          </w:tcPr>
          <w:p>
            <w:pPr>
              <w:spacing w:after="0"/>
              <w:rPr>
                <w:sz w:val="14"/>
                <w:szCs w:val="14"/>
                <w:color w:val="auto"/>
              </w:rPr>
            </w:pPr>
          </w:p>
        </w:tc>
        <w:tc>
          <w:tcPr>
            <w:tcW w:w="1060" w:type="dxa"/>
            <w:vAlign w:val="bottom"/>
            <w:tcBorders>
              <w:bottom w:val="single" w:sz="8" w:color="E5E6E6"/>
            </w:tcBorders>
          </w:tcPr>
          <w:p>
            <w:pPr>
              <w:spacing w:after="0"/>
              <w:rPr>
                <w:sz w:val="14"/>
                <w:szCs w:val="14"/>
                <w:color w:val="auto"/>
              </w:rPr>
            </w:pPr>
          </w:p>
        </w:tc>
        <w:tc>
          <w:tcPr>
            <w:tcW w:w="820" w:type="dxa"/>
            <w:vAlign w:val="bottom"/>
            <w:tcBorders>
              <w:bottom w:val="single" w:sz="8" w:color="E5E6E6"/>
            </w:tcBorders>
          </w:tcPr>
          <w:p>
            <w:pPr>
              <w:spacing w:after="0"/>
              <w:rPr>
                <w:sz w:val="14"/>
                <w:szCs w:val="14"/>
                <w:color w:val="auto"/>
              </w:rPr>
            </w:pPr>
          </w:p>
        </w:tc>
        <w:tc>
          <w:tcPr>
            <w:tcW w:w="960" w:type="dxa"/>
            <w:vAlign w:val="bottom"/>
            <w:tcBorders>
              <w:bottom w:val="single" w:sz="8" w:color="E5E6E6"/>
            </w:tcBorders>
          </w:tcPr>
          <w:p>
            <w:pPr>
              <w:spacing w:after="0"/>
              <w:rPr>
                <w:sz w:val="14"/>
                <w:szCs w:val="14"/>
                <w:color w:val="auto"/>
              </w:rPr>
            </w:pPr>
          </w:p>
        </w:tc>
        <w:tc>
          <w:tcPr>
            <w:tcW w:w="1240" w:type="dxa"/>
            <w:vAlign w:val="bottom"/>
            <w:tcBorders>
              <w:bottom w:val="single" w:sz="8" w:color="E5E6E6"/>
            </w:tcBorders>
          </w:tcPr>
          <w:p>
            <w:pPr>
              <w:jc w:val="right"/>
              <w:ind w:right="117"/>
              <w:spacing w:after="0"/>
              <w:rPr>
                <w:sz w:val="20"/>
                <w:szCs w:val="20"/>
                <w:color w:val="auto"/>
              </w:rPr>
            </w:pPr>
            <w:r>
              <w:rPr>
                <w:rFonts w:ascii="Arial" w:cs="Arial" w:eastAsia="Arial" w:hAnsi="Arial"/>
                <w:sz w:val="13"/>
                <w:szCs w:val="13"/>
                <w:color w:val="auto"/>
              </w:rPr>
              <w:t>4,886</w:t>
            </w:r>
          </w:p>
        </w:tc>
        <w:tc>
          <w:tcPr>
            <w:tcW w:w="1200" w:type="dxa"/>
            <w:vAlign w:val="bottom"/>
            <w:tcBorders>
              <w:bottom w:val="single" w:sz="8" w:color="E5E6E6"/>
            </w:tcBorders>
          </w:tcPr>
          <w:p>
            <w:pPr>
              <w:jc w:val="right"/>
              <w:ind w:right="98"/>
              <w:spacing w:after="0"/>
              <w:rPr>
                <w:sz w:val="20"/>
                <w:szCs w:val="20"/>
                <w:color w:val="auto"/>
              </w:rPr>
            </w:pPr>
            <w:r>
              <w:rPr>
                <w:rFonts w:ascii="Arial" w:cs="Arial" w:eastAsia="Arial" w:hAnsi="Arial"/>
                <w:sz w:val="13"/>
                <w:szCs w:val="13"/>
                <w:color w:val="auto"/>
              </w:rPr>
              <w:t>139,495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-1969770</wp:posOffset>
            </wp:positionV>
            <wp:extent cx="8255" cy="2540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254000"/>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-1969770</wp:posOffset>
            </wp:positionV>
            <wp:extent cx="8255" cy="2540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254000"/>
                    </a:xfrm>
                    <a:prstGeom prst="rect">
                      <a:avLst/>
                    </a:prstGeom>
                    <a:noFill/>
                  </pic:spPr>
                </pic:pic>
              </a:graphicData>
            </a:graphic>
          </wp:anchor>
        </w:drawing>
        <w:drawing>
          <wp:anchor simplePos="0" relativeHeight="251657728" behindDoc="1" locked="0" layoutInCell="0" allowOverlap="1">
            <wp:simplePos x="0" y="0"/>
            <wp:positionH relativeFrom="column">
              <wp:posOffset>3074670</wp:posOffset>
            </wp:positionH>
            <wp:positionV relativeFrom="paragraph">
              <wp:posOffset>-1969770</wp:posOffset>
            </wp:positionV>
            <wp:extent cx="8255" cy="2540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254000"/>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-1969770</wp:posOffset>
            </wp:positionV>
            <wp:extent cx="8255" cy="2540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254000"/>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-1969770</wp:posOffset>
            </wp:positionV>
            <wp:extent cx="8255" cy="2540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254000"/>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-1969770</wp:posOffset>
            </wp:positionV>
            <wp:extent cx="8255" cy="2540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254000"/>
                    </a:xfrm>
                    <a:prstGeom prst="rect">
                      <a:avLst/>
                    </a:prstGeom>
                    <a:noFill/>
                  </pic:spPr>
                </pic:pic>
              </a:graphicData>
            </a:graphic>
          </wp:anchor>
        </w:drawing>
      </w:r>
    </w:p>
    <w:p>
      <w:pPr>
        <w:spacing w:after="0" w:line="148" w:lineRule="exact"/>
        <w:rPr>
          <w:sz w:val="20"/>
          <w:szCs w:val="20"/>
          <w:color w:val="auto"/>
        </w:rPr>
      </w:pPr>
    </w:p>
    <w:p>
      <w:pPr>
        <w:ind w:left="320" w:right="340" w:hanging="287"/>
        <w:spacing w:after="0" w:line="183" w:lineRule="auto"/>
        <w:tabs>
          <w:tab w:leader="none" w:pos="320" w:val="left"/>
        </w:tabs>
        <w:numPr>
          <w:ilvl w:val="0"/>
          <w:numId w:val="44"/>
        </w:numPr>
        <w:rPr>
          <w:rFonts w:ascii="Arial" w:cs="Arial" w:eastAsia="Arial" w:hAnsi="Arial"/>
          <w:sz w:val="22"/>
          <w:szCs w:val="22"/>
          <w:color w:val="474C55"/>
          <w:vertAlign w:val="superscript"/>
        </w:rPr>
      </w:pPr>
      <w:r>
        <w:rPr>
          <w:rFonts w:ascii="Arial" w:cs="Arial" w:eastAsia="Arial" w:hAnsi="Arial"/>
          <w:sz w:val="13"/>
          <w:szCs w:val="13"/>
          <w:color w:val="474C55"/>
        </w:rPr>
        <w:t>Represents the awards of PRSUs that are subject to the achievement of performance conditions in four equal installments with 25% vesting on February 15 of each of the following years: 2025, 2026, 2027 and 2028 based on achievement of the prior year’s performance.</w:t>
      </w:r>
    </w:p>
    <w:p>
      <w:pPr>
        <w:spacing w:after="0" w:line="1" w:lineRule="exact"/>
        <w:rPr>
          <w:sz w:val="20"/>
          <w:szCs w:val="20"/>
          <w:color w:val="auto"/>
        </w:rPr>
      </w:pPr>
    </w:p>
    <w:p>
      <w:pPr>
        <w:ind w:left="320" w:right="320" w:hanging="287"/>
        <w:spacing w:after="0" w:line="184" w:lineRule="auto"/>
        <w:tabs>
          <w:tab w:leader="none" w:pos="320" w:val="left"/>
        </w:tabs>
        <w:numPr>
          <w:ilvl w:val="0"/>
          <w:numId w:val="45"/>
        </w:numPr>
        <w:rPr>
          <w:rFonts w:ascii="Arial" w:cs="Arial" w:eastAsia="Arial" w:hAnsi="Arial"/>
          <w:sz w:val="21"/>
          <w:szCs w:val="21"/>
          <w:color w:val="474C55"/>
          <w:vertAlign w:val="superscript"/>
        </w:rPr>
      </w:pPr>
      <w:r>
        <w:rPr>
          <w:rFonts w:ascii="Arial" w:cs="Arial" w:eastAsia="Arial" w:hAnsi="Arial"/>
          <w:sz w:val="13"/>
          <w:szCs w:val="13"/>
          <w:color w:val="474C55"/>
        </w:rPr>
        <w:t>Represents the number of TRSUs that will vest in four equal installments with 25% vesting on February 15 of each of the following years: 2025, 2026, 2027 and 2028, assuming the executives remain employed with us, subject to certain exceptions.</w:t>
      </w:r>
    </w:p>
    <w:p>
      <w:pPr>
        <w:spacing w:after="0" w:line="1" w:lineRule="exact"/>
        <w:rPr>
          <w:sz w:val="20"/>
          <w:szCs w:val="20"/>
          <w:color w:val="auto"/>
        </w:rPr>
      </w:pPr>
    </w:p>
    <w:p>
      <w:pPr>
        <w:jc w:val="both"/>
        <w:ind w:left="320" w:right="140" w:hanging="287"/>
        <w:spacing w:after="0" w:line="203" w:lineRule="auto"/>
        <w:tabs>
          <w:tab w:leader="none" w:pos="320" w:val="left"/>
        </w:tabs>
        <w:numPr>
          <w:ilvl w:val="0"/>
          <w:numId w:val="46"/>
        </w:numPr>
        <w:rPr>
          <w:rFonts w:ascii="Arial" w:cs="Arial" w:eastAsia="Arial" w:hAnsi="Arial"/>
          <w:sz w:val="22"/>
          <w:szCs w:val="22"/>
          <w:color w:val="474C55"/>
          <w:vertAlign w:val="superscript"/>
        </w:rPr>
      </w:pPr>
      <w:r>
        <w:rPr>
          <w:rFonts w:ascii="Arial" w:cs="Arial" w:eastAsia="Arial" w:hAnsi="Arial"/>
          <w:sz w:val="13"/>
          <w:szCs w:val="13"/>
          <w:color w:val="474C55"/>
        </w:rPr>
        <w:t>This amount represents the aggregate grant date fair value of each equity award computed in accordance with FASB ASC Topic 718. The grant date fair value of the PRSUs that were issued on January 4, 2024 was estimated at the target performance level. See Note 16 of our annual consolidated financial statements included in our Annual Report on Form 10-K for the year ended December 31, 2024, filed with the SEC on February 27, 2025, for a discussion of valuation assumptions.</w:t>
      </w:r>
    </w:p>
    <w:p>
      <w:pPr>
        <w:spacing w:after="0" w:line="38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24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3" w:name="page54"/>
    <w:bookmarkEnd w:id="53"/>
    <w:p>
      <w:pPr>
        <w:spacing w:after="0"/>
        <w:rPr>
          <w:sz w:val="20"/>
          <w:szCs w:val="20"/>
          <w:color w:val="auto"/>
        </w:rPr>
      </w:pPr>
      <w:r>
        <w:rPr>
          <w:rFonts w:ascii="Arial" w:cs="Arial" w:eastAsia="Arial" w:hAnsi="Arial"/>
          <w:sz w:val="23"/>
          <w:szCs w:val="23"/>
          <w:b w:val="1"/>
          <w:bCs w:val="1"/>
          <w:color w:val="017AB5"/>
        </w:rPr>
        <w:t>Outstanding Equity Awards at Fiscal Year-End</w:t>
      </w:r>
    </w:p>
    <w:p>
      <w:pPr>
        <w:spacing w:after="0" w:line="204" w:lineRule="exact"/>
        <w:rPr>
          <w:sz w:val="20"/>
          <w:szCs w:val="20"/>
          <w:color w:val="auto"/>
        </w:rPr>
      </w:pPr>
    </w:p>
    <w:p>
      <w:pPr>
        <w:ind w:right="60"/>
        <w:spacing w:after="0"/>
        <w:rPr>
          <w:sz w:val="20"/>
          <w:szCs w:val="20"/>
          <w:color w:val="auto"/>
        </w:rPr>
      </w:pPr>
      <w:r>
        <w:rPr>
          <w:rFonts w:ascii="Arial" w:cs="Arial" w:eastAsia="Arial" w:hAnsi="Arial"/>
          <w:sz w:val="17"/>
          <w:szCs w:val="17"/>
          <w:color w:val="474C55"/>
        </w:rPr>
        <w:t>The following table sets forth, for each NEO, the number and value of unvested restricted stock unit awards as of December 31, 2024. No NEOs had any stock options exercisable or unexercisable as of December 31, 2024. See Compensation Discussion and Analysis: 2024 Executive Compensation Components: Long-Term Equity Incentive Awards for additional information regarding our equity awards. Certain columns specified for this table by Item 402(f) of Regulation S-K have been omitted because they were not applicable.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60" w:type="dxa"/>
            <w:vAlign w:val="bottom"/>
            <w:tcBorders>
              <w:bottom w:val="single" w:sz="8" w:color="E5E6E6"/>
            </w:tcBorders>
            <w:shd w:val="clear" w:color="auto" w:fill="E5E6E6"/>
          </w:tcPr>
          <w:p>
            <w:pPr>
              <w:spacing w:after="0"/>
              <w:rPr>
                <w:sz w:val="20"/>
                <w:szCs w:val="20"/>
                <w:color w:val="auto"/>
              </w:rPr>
            </w:pPr>
          </w:p>
        </w:tc>
        <w:tc>
          <w:tcPr>
            <w:tcW w:w="220" w:type="dxa"/>
            <w:vAlign w:val="bottom"/>
            <w:tcBorders>
              <w:bottom w:val="single" w:sz="8" w:color="E5E6E6"/>
            </w:tcBorders>
            <w:shd w:val="clear" w:color="auto" w:fill="E5E6E6"/>
          </w:tcPr>
          <w:p>
            <w:pPr>
              <w:spacing w:after="0"/>
              <w:rPr>
                <w:sz w:val="20"/>
                <w:szCs w:val="20"/>
                <w:color w:val="auto"/>
              </w:rPr>
            </w:pPr>
          </w:p>
        </w:tc>
        <w:tc>
          <w:tcPr>
            <w:tcW w:w="4000" w:type="dxa"/>
            <w:vAlign w:val="bottom"/>
            <w:tcBorders>
              <w:bottom w:val="single" w:sz="8" w:color="E5E6E6"/>
            </w:tcBorders>
            <w:gridSpan w:val="2"/>
            <w:shd w:val="clear" w:color="auto" w:fill="E5E6E6"/>
          </w:tcPr>
          <w:p>
            <w:pPr>
              <w:jc w:val="right"/>
              <w:ind w:right="1713"/>
              <w:spacing w:after="0"/>
              <w:rPr>
                <w:sz w:val="20"/>
                <w:szCs w:val="20"/>
                <w:color w:val="auto"/>
              </w:rPr>
            </w:pPr>
            <w:r>
              <w:rPr>
                <w:rFonts w:ascii="Arial" w:cs="Arial" w:eastAsia="Arial" w:hAnsi="Arial"/>
                <w:sz w:val="13"/>
                <w:szCs w:val="13"/>
                <w:color w:val="auto"/>
              </w:rPr>
              <w:t>Stock Awards</w:t>
            </w:r>
          </w:p>
        </w:tc>
        <w:tc>
          <w:tcPr>
            <w:tcW w:w="240" w:type="dxa"/>
            <w:vAlign w:val="bottom"/>
            <w:tcBorders>
              <w:bottom w:val="single" w:sz="8" w:color="E5E6E6"/>
            </w:tcBorders>
            <w:shd w:val="clear" w:color="auto" w:fill="E5E6E6"/>
          </w:tcPr>
          <w:p>
            <w:pPr>
              <w:spacing w:after="0"/>
              <w:rPr>
                <w:sz w:val="20"/>
                <w:szCs w:val="20"/>
                <w:color w:val="auto"/>
              </w:rPr>
            </w:pPr>
          </w:p>
        </w:tc>
        <w:tc>
          <w:tcPr>
            <w:tcW w:w="1860" w:type="dxa"/>
            <w:vAlign w:val="bottom"/>
            <w:tcBorders>
              <w:bottom w:val="single" w:sz="8" w:color="E5E6E6"/>
            </w:tcBorders>
            <w:shd w:val="clear" w:color="auto" w:fill="E5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180" w:type="dxa"/>
            <w:vAlign w:val="bottom"/>
            <w:tcBorders>
              <w:bottom w:val="single" w:sz="8" w:color="E5E6E6"/>
            </w:tcBorders>
            <w:gridSpan w:val="3"/>
            <w:shd w:val="clear" w:color="auto" w:fill="E5E6E6"/>
          </w:tcPr>
          <w:p>
            <w:pPr>
              <w:jc w:val="right"/>
              <w:ind w:right="1153"/>
              <w:spacing w:after="0"/>
              <w:rPr>
                <w:sz w:val="20"/>
                <w:szCs w:val="20"/>
                <w:color w:val="auto"/>
              </w:rPr>
            </w:pPr>
            <w:r>
              <w:rPr>
                <w:rFonts w:ascii="Arial" w:cs="Arial" w:eastAsia="Arial" w:hAnsi="Arial"/>
                <w:sz w:val="13"/>
                <w:szCs w:val="13"/>
                <w:color w:val="auto"/>
              </w:rPr>
              <w:t>Equity Incentive Plan Awards</w:t>
            </w:r>
          </w:p>
        </w:tc>
        <w:tc>
          <w:tcPr>
            <w:tcW w:w="0" w:type="dxa"/>
            <w:vAlign w:val="bottom"/>
          </w:tcPr>
          <w:p>
            <w:pPr>
              <w:spacing w:after="0"/>
              <w:rPr>
                <w:sz w:val="1"/>
                <w:szCs w:val="1"/>
                <w:color w:val="auto"/>
              </w:rPr>
            </w:pPr>
          </w:p>
        </w:tc>
      </w:tr>
      <w:tr>
        <w:trPr>
          <w:trHeight w:val="193"/>
        </w:trPr>
        <w:tc>
          <w:tcPr>
            <w:tcW w:w="1660" w:type="dxa"/>
            <w:vAlign w:val="bottom"/>
            <w:shd w:val="clear" w:color="auto" w:fill="1077A9"/>
          </w:tcPr>
          <w:p>
            <w:pPr>
              <w:spacing w:after="0"/>
              <w:rPr>
                <w:sz w:val="16"/>
                <w:szCs w:val="16"/>
                <w:color w:val="auto"/>
              </w:rPr>
            </w:pPr>
          </w:p>
        </w:tc>
        <w:tc>
          <w:tcPr>
            <w:tcW w:w="1000" w:type="dxa"/>
            <w:vAlign w:val="bottom"/>
            <w:shd w:val="clear" w:color="auto" w:fill="1077A9"/>
          </w:tcPr>
          <w:p>
            <w:pPr>
              <w:spacing w:after="0"/>
              <w:rPr>
                <w:sz w:val="16"/>
                <w:szCs w:val="16"/>
                <w:color w:val="auto"/>
              </w:rPr>
            </w:pPr>
          </w:p>
        </w:tc>
        <w:tc>
          <w:tcPr>
            <w:tcW w:w="2260" w:type="dxa"/>
            <w:vAlign w:val="bottom"/>
            <w:vMerge w:val="restart"/>
            <w:shd w:val="clear" w:color="auto" w:fill="1077A9"/>
          </w:tcPr>
          <w:p>
            <w:pPr>
              <w:jc w:val="center"/>
              <w:spacing w:after="0"/>
              <w:rPr>
                <w:sz w:val="20"/>
                <w:szCs w:val="20"/>
                <w:color w:val="auto"/>
              </w:rPr>
            </w:pPr>
            <w:r>
              <w:rPr>
                <w:rFonts w:ascii="Arial" w:cs="Arial" w:eastAsia="Arial" w:hAnsi="Arial"/>
                <w:sz w:val="13"/>
                <w:szCs w:val="13"/>
                <w:color w:val="FFFFFF"/>
              </w:rPr>
              <w:t>Number of Shares or Units</w:t>
            </w:r>
          </w:p>
        </w:tc>
        <w:tc>
          <w:tcPr>
            <w:tcW w:w="220" w:type="dxa"/>
            <w:vAlign w:val="bottom"/>
            <w:shd w:val="clear" w:color="auto" w:fill="1077A9"/>
          </w:tcPr>
          <w:p>
            <w:pPr>
              <w:spacing w:after="0"/>
              <w:rPr>
                <w:sz w:val="16"/>
                <w:szCs w:val="16"/>
                <w:color w:val="auto"/>
              </w:rPr>
            </w:pPr>
          </w:p>
        </w:tc>
        <w:tc>
          <w:tcPr>
            <w:tcW w:w="1920" w:type="dxa"/>
            <w:vAlign w:val="bottom"/>
            <w:vMerge w:val="restart"/>
            <w:shd w:val="clear" w:color="auto" w:fill="1077A9"/>
          </w:tcPr>
          <w:p>
            <w:pPr>
              <w:jc w:val="center"/>
              <w:spacing w:after="0"/>
              <w:rPr>
                <w:sz w:val="20"/>
                <w:szCs w:val="20"/>
                <w:color w:val="auto"/>
              </w:rPr>
            </w:pPr>
            <w:r>
              <w:rPr>
                <w:rFonts w:ascii="Arial" w:cs="Arial" w:eastAsia="Arial" w:hAnsi="Arial"/>
                <w:sz w:val="13"/>
                <w:szCs w:val="13"/>
                <w:color w:val="FFFFFF"/>
              </w:rPr>
              <w:t>Market Value of Shares or</w:t>
            </w:r>
          </w:p>
        </w:tc>
        <w:tc>
          <w:tcPr>
            <w:tcW w:w="2080" w:type="dxa"/>
            <w:vAlign w:val="bottom"/>
            <w:vMerge w:val="restart"/>
            <w:shd w:val="clear" w:color="auto" w:fill="1077A9"/>
          </w:tcPr>
          <w:p>
            <w:pPr>
              <w:jc w:val="center"/>
              <w:spacing w:after="0"/>
              <w:rPr>
                <w:sz w:val="20"/>
                <w:szCs w:val="20"/>
                <w:color w:val="auto"/>
              </w:rPr>
            </w:pPr>
            <w:r>
              <w:rPr>
                <w:rFonts w:ascii="Arial" w:cs="Arial" w:eastAsia="Arial" w:hAnsi="Arial"/>
                <w:sz w:val="13"/>
                <w:szCs w:val="13"/>
                <w:color w:val="FFFFFF"/>
              </w:rPr>
              <w:t>Number of Unearned Shares,</w:t>
            </w:r>
          </w:p>
        </w:tc>
        <w:tc>
          <w:tcPr>
            <w:tcW w:w="240" w:type="dxa"/>
            <w:vAlign w:val="bottom"/>
            <w:shd w:val="clear" w:color="auto" w:fill="1077A9"/>
          </w:tcPr>
          <w:p>
            <w:pPr>
              <w:spacing w:after="0"/>
              <w:rPr>
                <w:sz w:val="16"/>
                <w:szCs w:val="16"/>
                <w:color w:val="auto"/>
              </w:rPr>
            </w:pPr>
          </w:p>
        </w:tc>
        <w:tc>
          <w:tcPr>
            <w:tcW w:w="1860" w:type="dxa"/>
            <w:vAlign w:val="bottom"/>
            <w:shd w:val="clear" w:color="auto" w:fill="1077A9"/>
          </w:tcPr>
          <w:p>
            <w:pPr>
              <w:jc w:val="center"/>
              <w:spacing w:after="0"/>
              <w:rPr>
                <w:sz w:val="20"/>
                <w:szCs w:val="20"/>
                <w:color w:val="auto"/>
              </w:rPr>
            </w:pPr>
            <w:r>
              <w:rPr>
                <w:rFonts w:ascii="Arial" w:cs="Arial" w:eastAsia="Arial" w:hAnsi="Arial"/>
                <w:sz w:val="13"/>
                <w:szCs w:val="13"/>
                <w:color w:val="FFFFFF"/>
              </w:rPr>
              <w:t>Market or Payout Value of</w:t>
            </w:r>
          </w:p>
        </w:tc>
        <w:tc>
          <w:tcPr>
            <w:tcW w:w="0" w:type="dxa"/>
            <w:vAlign w:val="bottom"/>
          </w:tcPr>
          <w:p>
            <w:pPr>
              <w:spacing w:after="0"/>
              <w:rPr>
                <w:sz w:val="1"/>
                <w:szCs w:val="1"/>
                <w:color w:val="auto"/>
              </w:rPr>
            </w:pPr>
          </w:p>
        </w:tc>
      </w:tr>
      <w:tr>
        <w:trPr>
          <w:trHeight w:val="75"/>
        </w:trPr>
        <w:tc>
          <w:tcPr>
            <w:tcW w:w="1660" w:type="dxa"/>
            <w:vAlign w:val="bottom"/>
            <w:shd w:val="clear" w:color="auto" w:fill="1077A9"/>
          </w:tcPr>
          <w:p>
            <w:pPr>
              <w:spacing w:after="0"/>
              <w:rPr>
                <w:sz w:val="6"/>
                <w:szCs w:val="6"/>
                <w:color w:val="auto"/>
              </w:rPr>
            </w:pPr>
          </w:p>
        </w:tc>
        <w:tc>
          <w:tcPr>
            <w:tcW w:w="1000" w:type="dxa"/>
            <w:vAlign w:val="bottom"/>
            <w:shd w:val="clear" w:color="auto" w:fill="1077A9"/>
          </w:tcPr>
          <w:p>
            <w:pPr>
              <w:spacing w:after="0"/>
              <w:rPr>
                <w:sz w:val="6"/>
                <w:szCs w:val="6"/>
                <w:color w:val="auto"/>
              </w:rPr>
            </w:pPr>
          </w:p>
        </w:tc>
        <w:tc>
          <w:tcPr>
            <w:tcW w:w="2260" w:type="dxa"/>
            <w:vAlign w:val="bottom"/>
            <w:vMerge w:val="continue"/>
            <w:shd w:val="clear" w:color="auto" w:fill="1077A9"/>
          </w:tcPr>
          <w:p>
            <w:pPr>
              <w:spacing w:after="0"/>
              <w:rPr>
                <w:sz w:val="6"/>
                <w:szCs w:val="6"/>
                <w:color w:val="auto"/>
              </w:rPr>
            </w:pPr>
          </w:p>
        </w:tc>
        <w:tc>
          <w:tcPr>
            <w:tcW w:w="220" w:type="dxa"/>
            <w:vAlign w:val="bottom"/>
            <w:shd w:val="clear" w:color="auto" w:fill="1077A9"/>
          </w:tcPr>
          <w:p>
            <w:pPr>
              <w:spacing w:after="0"/>
              <w:rPr>
                <w:sz w:val="6"/>
                <w:szCs w:val="6"/>
                <w:color w:val="auto"/>
              </w:rPr>
            </w:pPr>
          </w:p>
        </w:tc>
        <w:tc>
          <w:tcPr>
            <w:tcW w:w="1920" w:type="dxa"/>
            <w:vAlign w:val="bottom"/>
            <w:vMerge w:val="continue"/>
            <w:shd w:val="clear" w:color="auto" w:fill="1077A9"/>
          </w:tcPr>
          <w:p>
            <w:pPr>
              <w:spacing w:after="0"/>
              <w:rPr>
                <w:sz w:val="6"/>
                <w:szCs w:val="6"/>
                <w:color w:val="auto"/>
              </w:rPr>
            </w:pPr>
          </w:p>
        </w:tc>
        <w:tc>
          <w:tcPr>
            <w:tcW w:w="2080" w:type="dxa"/>
            <w:vAlign w:val="bottom"/>
            <w:vMerge w:val="continue"/>
            <w:shd w:val="clear" w:color="auto" w:fill="1077A9"/>
          </w:tcPr>
          <w:p>
            <w:pPr>
              <w:spacing w:after="0"/>
              <w:rPr>
                <w:sz w:val="6"/>
                <w:szCs w:val="6"/>
                <w:color w:val="auto"/>
              </w:rPr>
            </w:pPr>
          </w:p>
        </w:tc>
        <w:tc>
          <w:tcPr>
            <w:tcW w:w="240" w:type="dxa"/>
            <w:vAlign w:val="bottom"/>
            <w:shd w:val="clear" w:color="auto" w:fill="1077A9"/>
          </w:tcPr>
          <w:p>
            <w:pPr>
              <w:spacing w:after="0"/>
              <w:rPr>
                <w:sz w:val="6"/>
                <w:szCs w:val="6"/>
                <w:color w:val="auto"/>
              </w:rPr>
            </w:pPr>
          </w:p>
        </w:tc>
        <w:tc>
          <w:tcPr>
            <w:tcW w:w="1860" w:type="dxa"/>
            <w:vAlign w:val="bottom"/>
            <w:vMerge w:val="restart"/>
            <w:shd w:val="clear" w:color="auto" w:fill="1077A9"/>
          </w:tcPr>
          <w:p>
            <w:pPr>
              <w:jc w:val="center"/>
              <w:spacing w:after="0"/>
              <w:rPr>
                <w:sz w:val="20"/>
                <w:szCs w:val="20"/>
                <w:color w:val="auto"/>
              </w:rPr>
            </w:pPr>
            <w:r>
              <w:rPr>
                <w:rFonts w:ascii="Arial" w:cs="Arial" w:eastAsia="Arial" w:hAnsi="Arial"/>
                <w:sz w:val="13"/>
                <w:szCs w:val="13"/>
                <w:color w:val="FFFFFF"/>
              </w:rPr>
              <w:t>Unearned Shares, Units or</w:t>
            </w:r>
          </w:p>
        </w:tc>
        <w:tc>
          <w:tcPr>
            <w:tcW w:w="0" w:type="dxa"/>
            <w:vAlign w:val="bottom"/>
          </w:tcPr>
          <w:p>
            <w:pPr>
              <w:spacing w:after="0"/>
              <w:rPr>
                <w:sz w:val="1"/>
                <w:szCs w:val="1"/>
                <w:color w:val="auto"/>
              </w:rPr>
            </w:pPr>
          </w:p>
        </w:tc>
      </w:tr>
      <w:tr>
        <w:trPr>
          <w:trHeight w:val="75"/>
        </w:trPr>
        <w:tc>
          <w:tcPr>
            <w:tcW w:w="1660" w:type="dxa"/>
            <w:vAlign w:val="bottom"/>
            <w:vMerge w:val="restart"/>
            <w:shd w:val="clear" w:color="auto" w:fill="1077A9"/>
          </w:tcPr>
          <w:p>
            <w:pPr>
              <w:ind w:left="80"/>
              <w:spacing w:after="0" w:line="138" w:lineRule="exact"/>
              <w:rPr>
                <w:sz w:val="20"/>
                <w:szCs w:val="20"/>
                <w:color w:val="auto"/>
              </w:rPr>
            </w:pPr>
            <w:r>
              <w:rPr>
                <w:rFonts w:ascii="Arial" w:cs="Arial" w:eastAsia="Arial" w:hAnsi="Arial"/>
                <w:sz w:val="13"/>
                <w:szCs w:val="13"/>
                <w:color w:val="FFFFFF"/>
              </w:rPr>
              <w:t>Name</w:t>
            </w:r>
          </w:p>
        </w:tc>
        <w:tc>
          <w:tcPr>
            <w:tcW w:w="1000" w:type="dxa"/>
            <w:vAlign w:val="bottom"/>
            <w:vMerge w:val="restart"/>
            <w:shd w:val="clear" w:color="auto" w:fill="1077A9"/>
          </w:tcPr>
          <w:p>
            <w:pPr>
              <w:jc w:val="right"/>
              <w:ind w:right="93"/>
              <w:spacing w:after="0" w:line="138" w:lineRule="exact"/>
              <w:rPr>
                <w:sz w:val="20"/>
                <w:szCs w:val="20"/>
                <w:color w:val="auto"/>
              </w:rPr>
            </w:pPr>
            <w:r>
              <w:rPr>
                <w:rFonts w:ascii="Arial" w:cs="Arial" w:eastAsia="Arial" w:hAnsi="Arial"/>
                <w:sz w:val="13"/>
                <w:szCs w:val="13"/>
                <w:color w:val="FFFFFF"/>
              </w:rPr>
              <w:t>Grant Date</w:t>
            </w:r>
          </w:p>
        </w:tc>
        <w:tc>
          <w:tcPr>
            <w:tcW w:w="2260" w:type="dxa"/>
            <w:vAlign w:val="bottom"/>
            <w:vMerge w:val="restart"/>
            <w:shd w:val="clear" w:color="auto" w:fill="1077A9"/>
          </w:tcPr>
          <w:p>
            <w:pPr>
              <w:jc w:val="center"/>
              <w:spacing w:after="0" w:line="138" w:lineRule="exact"/>
              <w:rPr>
                <w:sz w:val="20"/>
                <w:szCs w:val="20"/>
                <w:color w:val="auto"/>
              </w:rPr>
            </w:pPr>
            <w:r>
              <w:rPr>
                <w:rFonts w:ascii="Arial" w:cs="Arial" w:eastAsia="Arial" w:hAnsi="Arial"/>
                <w:sz w:val="13"/>
                <w:szCs w:val="13"/>
                <w:color w:val="FFFFFF"/>
              </w:rPr>
              <w:t>of Stock that have not Vested</w:t>
            </w:r>
          </w:p>
        </w:tc>
        <w:tc>
          <w:tcPr>
            <w:tcW w:w="220" w:type="dxa"/>
            <w:vAlign w:val="bottom"/>
            <w:shd w:val="clear" w:color="auto" w:fill="1077A9"/>
          </w:tcPr>
          <w:p>
            <w:pPr>
              <w:spacing w:after="0"/>
              <w:rPr>
                <w:sz w:val="6"/>
                <w:szCs w:val="6"/>
                <w:color w:val="auto"/>
              </w:rPr>
            </w:pPr>
          </w:p>
        </w:tc>
        <w:tc>
          <w:tcPr>
            <w:tcW w:w="1920" w:type="dxa"/>
            <w:vAlign w:val="bottom"/>
            <w:vMerge w:val="restart"/>
            <w:shd w:val="clear" w:color="auto" w:fill="1077A9"/>
          </w:tcPr>
          <w:p>
            <w:pPr>
              <w:jc w:val="center"/>
              <w:spacing w:after="0" w:line="138" w:lineRule="exact"/>
              <w:rPr>
                <w:sz w:val="20"/>
                <w:szCs w:val="20"/>
                <w:color w:val="auto"/>
              </w:rPr>
            </w:pPr>
            <w:r>
              <w:rPr>
                <w:rFonts w:ascii="Arial" w:cs="Arial" w:eastAsia="Arial" w:hAnsi="Arial"/>
                <w:sz w:val="13"/>
                <w:szCs w:val="13"/>
                <w:color w:val="FFFFFF"/>
              </w:rPr>
              <w:t>Units of Stock that have not</w:t>
            </w:r>
          </w:p>
        </w:tc>
        <w:tc>
          <w:tcPr>
            <w:tcW w:w="2080" w:type="dxa"/>
            <w:vAlign w:val="bottom"/>
            <w:vMerge w:val="restart"/>
            <w:shd w:val="clear" w:color="auto" w:fill="1077A9"/>
          </w:tcPr>
          <w:p>
            <w:pPr>
              <w:jc w:val="center"/>
              <w:spacing w:after="0" w:line="138" w:lineRule="exact"/>
              <w:rPr>
                <w:sz w:val="20"/>
                <w:szCs w:val="20"/>
                <w:color w:val="auto"/>
              </w:rPr>
            </w:pPr>
            <w:r>
              <w:rPr>
                <w:rFonts w:ascii="Arial" w:cs="Arial" w:eastAsia="Arial" w:hAnsi="Arial"/>
                <w:sz w:val="13"/>
                <w:szCs w:val="13"/>
                <w:color w:val="FFFFFF"/>
              </w:rPr>
              <w:t>Units or Other Rights that</w:t>
            </w:r>
          </w:p>
        </w:tc>
        <w:tc>
          <w:tcPr>
            <w:tcW w:w="240" w:type="dxa"/>
            <w:vAlign w:val="bottom"/>
            <w:shd w:val="clear" w:color="auto" w:fill="1077A9"/>
          </w:tcPr>
          <w:p>
            <w:pPr>
              <w:spacing w:after="0"/>
              <w:rPr>
                <w:sz w:val="6"/>
                <w:szCs w:val="6"/>
                <w:color w:val="auto"/>
              </w:rPr>
            </w:pPr>
          </w:p>
        </w:tc>
        <w:tc>
          <w:tcPr>
            <w:tcW w:w="1860" w:type="dxa"/>
            <w:vAlign w:val="bottom"/>
            <w:vMerge w:val="continue"/>
            <w:shd w:val="clear" w:color="auto" w:fill="1077A9"/>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60" w:type="dxa"/>
            <w:vAlign w:val="bottom"/>
            <w:vMerge w:val="continue"/>
            <w:shd w:val="clear" w:color="auto" w:fill="1077A9"/>
          </w:tcPr>
          <w:p>
            <w:pPr>
              <w:spacing w:after="0"/>
              <w:rPr>
                <w:sz w:val="5"/>
                <w:szCs w:val="5"/>
                <w:color w:val="auto"/>
              </w:rPr>
            </w:pPr>
          </w:p>
        </w:tc>
        <w:tc>
          <w:tcPr>
            <w:tcW w:w="1000" w:type="dxa"/>
            <w:vAlign w:val="bottom"/>
            <w:vMerge w:val="continue"/>
            <w:shd w:val="clear" w:color="auto" w:fill="1077A9"/>
          </w:tcPr>
          <w:p>
            <w:pPr>
              <w:spacing w:after="0"/>
              <w:rPr>
                <w:sz w:val="5"/>
                <w:szCs w:val="5"/>
                <w:color w:val="auto"/>
              </w:rPr>
            </w:pPr>
          </w:p>
        </w:tc>
        <w:tc>
          <w:tcPr>
            <w:tcW w:w="2260" w:type="dxa"/>
            <w:vAlign w:val="bottom"/>
            <w:vMerge w:val="continue"/>
            <w:shd w:val="clear" w:color="auto" w:fill="1077A9"/>
          </w:tcPr>
          <w:p>
            <w:pPr>
              <w:spacing w:after="0"/>
              <w:rPr>
                <w:sz w:val="5"/>
                <w:szCs w:val="5"/>
                <w:color w:val="auto"/>
              </w:rPr>
            </w:pPr>
          </w:p>
        </w:tc>
        <w:tc>
          <w:tcPr>
            <w:tcW w:w="220" w:type="dxa"/>
            <w:vAlign w:val="bottom"/>
            <w:shd w:val="clear" w:color="auto" w:fill="1077A9"/>
          </w:tcPr>
          <w:p>
            <w:pPr>
              <w:spacing w:after="0"/>
              <w:rPr>
                <w:sz w:val="5"/>
                <w:szCs w:val="5"/>
                <w:color w:val="auto"/>
              </w:rPr>
            </w:pPr>
          </w:p>
        </w:tc>
        <w:tc>
          <w:tcPr>
            <w:tcW w:w="1920" w:type="dxa"/>
            <w:vAlign w:val="bottom"/>
            <w:vMerge w:val="continue"/>
            <w:shd w:val="clear" w:color="auto" w:fill="1077A9"/>
          </w:tcPr>
          <w:p>
            <w:pPr>
              <w:spacing w:after="0"/>
              <w:rPr>
                <w:sz w:val="5"/>
                <w:szCs w:val="5"/>
                <w:color w:val="auto"/>
              </w:rPr>
            </w:pPr>
          </w:p>
        </w:tc>
        <w:tc>
          <w:tcPr>
            <w:tcW w:w="2080" w:type="dxa"/>
            <w:vAlign w:val="bottom"/>
            <w:vMerge w:val="continue"/>
            <w:shd w:val="clear" w:color="auto" w:fill="1077A9"/>
          </w:tcPr>
          <w:p>
            <w:pPr>
              <w:spacing w:after="0"/>
              <w:rPr>
                <w:sz w:val="5"/>
                <w:szCs w:val="5"/>
                <w:color w:val="auto"/>
              </w:rPr>
            </w:pPr>
          </w:p>
        </w:tc>
        <w:tc>
          <w:tcPr>
            <w:tcW w:w="240" w:type="dxa"/>
            <w:vAlign w:val="bottom"/>
            <w:shd w:val="clear" w:color="auto" w:fill="1077A9"/>
          </w:tcPr>
          <w:p>
            <w:pPr>
              <w:spacing w:after="0"/>
              <w:rPr>
                <w:sz w:val="5"/>
                <w:szCs w:val="5"/>
                <w:color w:val="auto"/>
              </w:rPr>
            </w:pPr>
          </w:p>
        </w:tc>
        <w:tc>
          <w:tcPr>
            <w:tcW w:w="1860" w:type="dxa"/>
            <w:vAlign w:val="bottom"/>
            <w:vMerge w:val="restart"/>
            <w:shd w:val="clear" w:color="auto" w:fill="1077A9"/>
          </w:tcPr>
          <w:p>
            <w:pPr>
              <w:jc w:val="center"/>
              <w:spacing w:after="0" w:line="138" w:lineRule="exact"/>
              <w:rPr>
                <w:sz w:val="20"/>
                <w:szCs w:val="20"/>
                <w:color w:val="auto"/>
              </w:rPr>
            </w:pPr>
            <w:r>
              <w:rPr>
                <w:rFonts w:ascii="Arial" w:cs="Arial" w:eastAsia="Arial" w:hAnsi="Arial"/>
                <w:sz w:val="13"/>
                <w:szCs w:val="13"/>
                <w:color w:val="FFFFFF"/>
              </w:rPr>
              <w:t>Other Rights that have not</w:t>
            </w:r>
          </w:p>
        </w:tc>
        <w:tc>
          <w:tcPr>
            <w:tcW w:w="0" w:type="dxa"/>
            <w:vAlign w:val="bottom"/>
          </w:tcPr>
          <w:p>
            <w:pPr>
              <w:spacing w:after="0"/>
              <w:rPr>
                <w:sz w:val="1"/>
                <w:szCs w:val="1"/>
                <w:color w:val="auto"/>
              </w:rPr>
            </w:pPr>
          </w:p>
        </w:tc>
      </w:tr>
      <w:tr>
        <w:trPr>
          <w:trHeight w:val="75"/>
        </w:trPr>
        <w:tc>
          <w:tcPr>
            <w:tcW w:w="1660" w:type="dxa"/>
            <w:vAlign w:val="bottom"/>
            <w:shd w:val="clear" w:color="auto" w:fill="1077A9"/>
          </w:tcPr>
          <w:p>
            <w:pPr>
              <w:spacing w:after="0"/>
              <w:rPr>
                <w:sz w:val="6"/>
                <w:szCs w:val="6"/>
                <w:color w:val="auto"/>
              </w:rPr>
            </w:pPr>
          </w:p>
        </w:tc>
        <w:tc>
          <w:tcPr>
            <w:tcW w:w="1000" w:type="dxa"/>
            <w:vAlign w:val="bottom"/>
            <w:shd w:val="clear" w:color="auto" w:fill="1077A9"/>
          </w:tcPr>
          <w:p>
            <w:pPr>
              <w:spacing w:after="0"/>
              <w:rPr>
                <w:sz w:val="6"/>
                <w:szCs w:val="6"/>
                <w:color w:val="auto"/>
              </w:rPr>
            </w:pPr>
          </w:p>
        </w:tc>
        <w:tc>
          <w:tcPr>
            <w:tcW w:w="2260" w:type="dxa"/>
            <w:vAlign w:val="bottom"/>
            <w:vMerge w:val="restart"/>
            <w:shd w:val="clear" w:color="auto" w:fill="1077A9"/>
          </w:tcPr>
          <w:p>
            <w:pPr>
              <w:jc w:val="center"/>
              <w:spacing w:after="0"/>
              <w:rPr>
                <w:sz w:val="20"/>
                <w:szCs w:val="20"/>
                <w:color w:val="auto"/>
              </w:rPr>
            </w:pPr>
            <w:r>
              <w:rPr>
                <w:rFonts w:ascii="Arial" w:cs="Arial" w:eastAsia="Arial" w:hAnsi="Arial"/>
                <w:sz w:val="13"/>
                <w:szCs w:val="13"/>
                <w:color w:val="FFFFFF"/>
              </w:rPr>
              <w:t>(#)</w:t>
            </w:r>
          </w:p>
        </w:tc>
        <w:tc>
          <w:tcPr>
            <w:tcW w:w="220" w:type="dxa"/>
            <w:vAlign w:val="bottom"/>
            <w:shd w:val="clear" w:color="auto" w:fill="1077A9"/>
          </w:tcPr>
          <w:p>
            <w:pPr>
              <w:spacing w:after="0"/>
              <w:rPr>
                <w:sz w:val="6"/>
                <w:szCs w:val="6"/>
                <w:color w:val="auto"/>
              </w:rPr>
            </w:pPr>
          </w:p>
        </w:tc>
        <w:tc>
          <w:tcPr>
            <w:tcW w:w="1920" w:type="dxa"/>
            <w:vAlign w:val="bottom"/>
            <w:vMerge w:val="restart"/>
            <w:shd w:val="clear" w:color="auto" w:fill="1077A9"/>
          </w:tcPr>
          <w:p>
            <w:pPr>
              <w:jc w:val="center"/>
              <w:spacing w:after="0"/>
              <w:rPr>
                <w:sz w:val="20"/>
                <w:szCs w:val="20"/>
                <w:color w:val="auto"/>
              </w:rPr>
            </w:pPr>
            <w:r>
              <w:rPr>
                <w:rFonts w:ascii="Arial" w:cs="Arial" w:eastAsia="Arial" w:hAnsi="Arial"/>
                <w:sz w:val="13"/>
                <w:szCs w:val="13"/>
                <w:color w:val="FFFFFF"/>
              </w:rPr>
              <w:t>Vested ($)1</w:t>
            </w:r>
          </w:p>
        </w:tc>
        <w:tc>
          <w:tcPr>
            <w:tcW w:w="2080" w:type="dxa"/>
            <w:vAlign w:val="bottom"/>
            <w:vMerge w:val="restart"/>
            <w:shd w:val="clear" w:color="auto" w:fill="1077A9"/>
          </w:tcPr>
          <w:p>
            <w:pPr>
              <w:jc w:val="center"/>
              <w:spacing w:after="0"/>
              <w:rPr>
                <w:sz w:val="20"/>
                <w:szCs w:val="20"/>
                <w:color w:val="auto"/>
              </w:rPr>
            </w:pPr>
            <w:r>
              <w:rPr>
                <w:rFonts w:ascii="Arial" w:cs="Arial" w:eastAsia="Arial" w:hAnsi="Arial"/>
                <w:sz w:val="13"/>
                <w:szCs w:val="13"/>
                <w:color w:val="FFFFFF"/>
              </w:rPr>
              <w:t>have not Vested (#)2</w:t>
            </w:r>
          </w:p>
        </w:tc>
        <w:tc>
          <w:tcPr>
            <w:tcW w:w="240" w:type="dxa"/>
            <w:vAlign w:val="bottom"/>
            <w:shd w:val="clear" w:color="auto" w:fill="1077A9"/>
          </w:tcPr>
          <w:p>
            <w:pPr>
              <w:spacing w:after="0"/>
              <w:rPr>
                <w:sz w:val="6"/>
                <w:szCs w:val="6"/>
                <w:color w:val="auto"/>
              </w:rPr>
            </w:pPr>
          </w:p>
        </w:tc>
        <w:tc>
          <w:tcPr>
            <w:tcW w:w="1860" w:type="dxa"/>
            <w:vAlign w:val="bottom"/>
            <w:vMerge w:val="continue"/>
            <w:shd w:val="clear" w:color="auto" w:fill="1077A9"/>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660" w:type="dxa"/>
            <w:vAlign w:val="bottom"/>
            <w:shd w:val="clear" w:color="auto" w:fill="1077A9"/>
          </w:tcPr>
          <w:p>
            <w:pPr>
              <w:spacing w:after="0"/>
              <w:rPr>
                <w:sz w:val="9"/>
                <w:szCs w:val="9"/>
                <w:color w:val="auto"/>
              </w:rPr>
            </w:pPr>
          </w:p>
        </w:tc>
        <w:tc>
          <w:tcPr>
            <w:tcW w:w="1000" w:type="dxa"/>
            <w:vAlign w:val="bottom"/>
            <w:shd w:val="clear" w:color="auto" w:fill="1077A9"/>
          </w:tcPr>
          <w:p>
            <w:pPr>
              <w:spacing w:after="0"/>
              <w:rPr>
                <w:sz w:val="9"/>
                <w:szCs w:val="9"/>
                <w:color w:val="auto"/>
              </w:rPr>
            </w:pPr>
          </w:p>
        </w:tc>
        <w:tc>
          <w:tcPr>
            <w:tcW w:w="2260" w:type="dxa"/>
            <w:vAlign w:val="bottom"/>
            <w:vMerge w:val="continue"/>
            <w:shd w:val="clear" w:color="auto" w:fill="1077A9"/>
          </w:tcPr>
          <w:p>
            <w:pPr>
              <w:spacing w:after="0"/>
              <w:rPr>
                <w:sz w:val="9"/>
                <w:szCs w:val="9"/>
                <w:color w:val="auto"/>
              </w:rPr>
            </w:pPr>
          </w:p>
        </w:tc>
        <w:tc>
          <w:tcPr>
            <w:tcW w:w="220" w:type="dxa"/>
            <w:vAlign w:val="bottom"/>
            <w:shd w:val="clear" w:color="auto" w:fill="1077A9"/>
          </w:tcPr>
          <w:p>
            <w:pPr>
              <w:spacing w:after="0"/>
              <w:rPr>
                <w:sz w:val="9"/>
                <w:szCs w:val="9"/>
                <w:color w:val="auto"/>
              </w:rPr>
            </w:pPr>
          </w:p>
        </w:tc>
        <w:tc>
          <w:tcPr>
            <w:tcW w:w="1920" w:type="dxa"/>
            <w:vAlign w:val="bottom"/>
            <w:vMerge w:val="continue"/>
            <w:shd w:val="clear" w:color="auto" w:fill="1077A9"/>
          </w:tcPr>
          <w:p>
            <w:pPr>
              <w:spacing w:after="0"/>
              <w:rPr>
                <w:sz w:val="9"/>
                <w:szCs w:val="9"/>
                <w:color w:val="auto"/>
              </w:rPr>
            </w:pPr>
          </w:p>
        </w:tc>
        <w:tc>
          <w:tcPr>
            <w:tcW w:w="2080" w:type="dxa"/>
            <w:vAlign w:val="bottom"/>
            <w:vMerge w:val="continue"/>
            <w:shd w:val="clear" w:color="auto" w:fill="1077A9"/>
          </w:tcPr>
          <w:p>
            <w:pPr>
              <w:spacing w:after="0"/>
              <w:rPr>
                <w:sz w:val="9"/>
                <w:szCs w:val="9"/>
                <w:color w:val="auto"/>
              </w:rPr>
            </w:pPr>
          </w:p>
        </w:tc>
        <w:tc>
          <w:tcPr>
            <w:tcW w:w="240" w:type="dxa"/>
            <w:vAlign w:val="bottom"/>
            <w:shd w:val="clear" w:color="auto" w:fill="1077A9"/>
          </w:tcPr>
          <w:p>
            <w:pPr>
              <w:spacing w:after="0"/>
              <w:rPr>
                <w:sz w:val="9"/>
                <w:szCs w:val="9"/>
                <w:color w:val="auto"/>
              </w:rPr>
            </w:pPr>
          </w:p>
        </w:tc>
        <w:tc>
          <w:tcPr>
            <w:tcW w:w="1860" w:type="dxa"/>
            <w:vAlign w:val="bottom"/>
            <w:vMerge w:val="restart"/>
            <w:shd w:val="clear" w:color="auto" w:fill="1077A9"/>
          </w:tcPr>
          <w:p>
            <w:pPr>
              <w:jc w:val="center"/>
              <w:spacing w:after="0"/>
              <w:rPr>
                <w:sz w:val="20"/>
                <w:szCs w:val="20"/>
                <w:color w:val="auto"/>
              </w:rPr>
            </w:pPr>
            <w:r>
              <w:rPr>
                <w:rFonts w:ascii="Arial" w:cs="Arial" w:eastAsia="Arial" w:hAnsi="Arial"/>
                <w:sz w:val="13"/>
                <w:szCs w:val="13"/>
                <w:color w:val="FFFFFF"/>
              </w:rPr>
              <w:t>Vested ($)1</w:t>
            </w:r>
          </w:p>
        </w:tc>
        <w:tc>
          <w:tcPr>
            <w:tcW w:w="0" w:type="dxa"/>
            <w:vAlign w:val="bottom"/>
          </w:tcPr>
          <w:p>
            <w:pPr>
              <w:spacing w:after="0"/>
              <w:rPr>
                <w:sz w:val="1"/>
                <w:szCs w:val="1"/>
                <w:color w:val="auto"/>
              </w:rPr>
            </w:pPr>
          </w:p>
        </w:tc>
      </w:tr>
      <w:tr>
        <w:trPr>
          <w:trHeight w:val="88"/>
        </w:trPr>
        <w:tc>
          <w:tcPr>
            <w:tcW w:w="1660" w:type="dxa"/>
            <w:vAlign w:val="bottom"/>
            <w:tcBorders>
              <w:bottom w:val="single" w:sz="8" w:color="1077A9"/>
            </w:tcBorders>
            <w:shd w:val="clear" w:color="auto" w:fill="1077A9"/>
          </w:tcPr>
          <w:p>
            <w:pPr>
              <w:spacing w:after="0"/>
              <w:rPr>
                <w:sz w:val="7"/>
                <w:szCs w:val="7"/>
                <w:color w:val="auto"/>
              </w:rPr>
            </w:pPr>
          </w:p>
        </w:tc>
        <w:tc>
          <w:tcPr>
            <w:tcW w:w="1000" w:type="dxa"/>
            <w:vAlign w:val="bottom"/>
            <w:tcBorders>
              <w:bottom w:val="single" w:sz="8" w:color="1077A9"/>
            </w:tcBorders>
            <w:shd w:val="clear" w:color="auto" w:fill="1077A9"/>
          </w:tcPr>
          <w:p>
            <w:pPr>
              <w:spacing w:after="0"/>
              <w:rPr>
                <w:sz w:val="7"/>
                <w:szCs w:val="7"/>
                <w:color w:val="auto"/>
              </w:rPr>
            </w:pPr>
          </w:p>
        </w:tc>
        <w:tc>
          <w:tcPr>
            <w:tcW w:w="2260" w:type="dxa"/>
            <w:vAlign w:val="bottom"/>
            <w:tcBorders>
              <w:bottom w:val="single" w:sz="8" w:color="1077A9"/>
            </w:tcBorders>
            <w:shd w:val="clear" w:color="auto" w:fill="1077A9"/>
          </w:tcPr>
          <w:p>
            <w:pPr>
              <w:spacing w:after="0"/>
              <w:rPr>
                <w:sz w:val="7"/>
                <w:szCs w:val="7"/>
                <w:color w:val="auto"/>
              </w:rPr>
            </w:pPr>
          </w:p>
        </w:tc>
        <w:tc>
          <w:tcPr>
            <w:tcW w:w="220" w:type="dxa"/>
            <w:vAlign w:val="bottom"/>
            <w:tcBorders>
              <w:bottom w:val="single" w:sz="8" w:color="1077A9"/>
            </w:tcBorders>
            <w:shd w:val="clear" w:color="auto" w:fill="1077A9"/>
          </w:tcPr>
          <w:p>
            <w:pPr>
              <w:spacing w:after="0"/>
              <w:rPr>
                <w:sz w:val="7"/>
                <w:szCs w:val="7"/>
                <w:color w:val="auto"/>
              </w:rPr>
            </w:pPr>
          </w:p>
        </w:tc>
        <w:tc>
          <w:tcPr>
            <w:tcW w:w="1920" w:type="dxa"/>
            <w:vAlign w:val="bottom"/>
            <w:tcBorders>
              <w:bottom w:val="single" w:sz="8" w:color="1077A9"/>
            </w:tcBorders>
            <w:shd w:val="clear" w:color="auto" w:fill="1077A9"/>
          </w:tcPr>
          <w:p>
            <w:pPr>
              <w:spacing w:after="0"/>
              <w:rPr>
                <w:sz w:val="7"/>
                <w:szCs w:val="7"/>
                <w:color w:val="auto"/>
              </w:rPr>
            </w:pPr>
          </w:p>
        </w:tc>
        <w:tc>
          <w:tcPr>
            <w:tcW w:w="2080" w:type="dxa"/>
            <w:vAlign w:val="bottom"/>
            <w:tcBorders>
              <w:bottom w:val="single" w:sz="8" w:color="1077A9"/>
            </w:tcBorders>
            <w:shd w:val="clear" w:color="auto" w:fill="1077A9"/>
          </w:tcPr>
          <w:p>
            <w:pPr>
              <w:spacing w:after="0"/>
              <w:rPr>
                <w:sz w:val="7"/>
                <w:szCs w:val="7"/>
                <w:color w:val="auto"/>
              </w:rPr>
            </w:pPr>
          </w:p>
        </w:tc>
        <w:tc>
          <w:tcPr>
            <w:tcW w:w="240" w:type="dxa"/>
            <w:vAlign w:val="bottom"/>
            <w:tcBorders>
              <w:bottom w:val="single" w:sz="8" w:color="1077A9"/>
            </w:tcBorders>
            <w:shd w:val="clear" w:color="auto" w:fill="1077A9"/>
          </w:tcPr>
          <w:p>
            <w:pPr>
              <w:spacing w:after="0"/>
              <w:rPr>
                <w:sz w:val="7"/>
                <w:szCs w:val="7"/>
                <w:color w:val="auto"/>
              </w:rPr>
            </w:pPr>
          </w:p>
        </w:tc>
        <w:tc>
          <w:tcPr>
            <w:tcW w:w="1860" w:type="dxa"/>
            <w:vAlign w:val="bottom"/>
            <w:tcBorders>
              <w:bottom w:val="single" w:sz="8" w:color="1077A9"/>
            </w:tcBorders>
            <w:vMerge w:val="continue"/>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660" w:type="dxa"/>
            <w:vAlign w:val="bottom"/>
          </w:tcPr>
          <w:p>
            <w:pPr>
              <w:ind w:left="80"/>
              <w:spacing w:after="0"/>
              <w:rPr>
                <w:sz w:val="20"/>
                <w:szCs w:val="20"/>
                <w:color w:val="auto"/>
              </w:rPr>
            </w:pPr>
            <w:r>
              <w:rPr>
                <w:rFonts w:ascii="Arial" w:cs="Arial" w:eastAsia="Arial" w:hAnsi="Arial"/>
                <w:sz w:val="13"/>
                <w:szCs w:val="13"/>
                <w:color w:val="474C55"/>
              </w:rPr>
              <w:t>H. Lynn Harton</w:t>
            </w:r>
          </w:p>
        </w:tc>
        <w:tc>
          <w:tcPr>
            <w:tcW w:w="1000" w:type="dxa"/>
            <w:vAlign w:val="bottom"/>
          </w:tcPr>
          <w:p>
            <w:pPr>
              <w:jc w:val="right"/>
              <w:ind w:right="113"/>
              <w:spacing w:after="0"/>
              <w:rPr>
                <w:sz w:val="20"/>
                <w:szCs w:val="20"/>
                <w:color w:val="auto"/>
              </w:rPr>
            </w:pPr>
            <w:r>
              <w:rPr>
                <w:rFonts w:ascii="Arial" w:cs="Arial" w:eastAsia="Arial" w:hAnsi="Arial"/>
                <w:sz w:val="13"/>
                <w:szCs w:val="13"/>
                <w:color w:val="474C55"/>
              </w:rPr>
              <w:t>9/1/2020</w:t>
            </w:r>
          </w:p>
        </w:tc>
        <w:tc>
          <w:tcPr>
            <w:tcW w:w="2260" w:type="dxa"/>
            <w:vAlign w:val="bottom"/>
          </w:tcPr>
          <w:p>
            <w:pPr>
              <w:jc w:val="right"/>
              <w:spacing w:after="0"/>
              <w:rPr>
                <w:sz w:val="20"/>
                <w:szCs w:val="20"/>
                <w:color w:val="auto"/>
              </w:rPr>
            </w:pPr>
            <w:r>
              <w:rPr>
                <w:rFonts w:ascii="Arial" w:cs="Arial" w:eastAsia="Arial" w:hAnsi="Arial"/>
                <w:sz w:val="13"/>
                <w:szCs w:val="13"/>
                <w:color w:val="auto"/>
              </w:rPr>
              <w:t>4,626</w:t>
            </w:r>
          </w:p>
        </w:tc>
        <w:tc>
          <w:tcPr>
            <w:tcW w:w="220" w:type="dxa"/>
            <w:vAlign w:val="bottom"/>
          </w:tcPr>
          <w:p>
            <w:pPr>
              <w:jc w:val="right"/>
              <w:ind w:right="110"/>
              <w:spacing w:after="0"/>
              <w:rPr>
                <w:sz w:val="20"/>
                <w:szCs w:val="20"/>
                <w:color w:val="auto"/>
              </w:rPr>
            </w:pPr>
            <w:r>
              <w:rPr>
                <w:rFonts w:ascii="Arial" w:cs="Arial" w:eastAsia="Arial" w:hAnsi="Arial"/>
                <w:sz w:val="10"/>
                <w:szCs w:val="10"/>
                <w:color w:val="333333"/>
                <w:w w:val="71"/>
              </w:rPr>
              <w:t>3</w:t>
            </w:r>
          </w:p>
        </w:tc>
        <w:tc>
          <w:tcPr>
            <w:tcW w:w="1920" w:type="dxa"/>
            <w:vAlign w:val="bottom"/>
          </w:tcPr>
          <w:p>
            <w:pPr>
              <w:jc w:val="right"/>
              <w:ind w:right="113"/>
              <w:spacing w:after="0"/>
              <w:rPr>
                <w:sz w:val="20"/>
                <w:szCs w:val="20"/>
                <w:color w:val="auto"/>
              </w:rPr>
            </w:pPr>
            <w:r>
              <w:rPr>
                <w:rFonts w:ascii="Arial" w:cs="Arial" w:eastAsia="Arial" w:hAnsi="Arial"/>
                <w:sz w:val="13"/>
                <w:szCs w:val="13"/>
                <w:color w:val="auto"/>
              </w:rPr>
              <w:t>$ 149,466</w:t>
            </w:r>
          </w:p>
        </w:tc>
        <w:tc>
          <w:tcPr>
            <w:tcW w:w="20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860" w:type="dxa"/>
            <w:vAlign w:val="bottom"/>
          </w:tcPr>
          <w:p>
            <w:pPr>
              <w:jc w:val="right"/>
              <w:ind w:right="93"/>
              <w:spacing w:after="0"/>
              <w:rPr>
                <w:sz w:val="20"/>
                <w:szCs w:val="20"/>
                <w:color w:val="auto"/>
              </w:rPr>
            </w:pPr>
            <w:r>
              <w:rPr>
                <w:rFonts w:ascii="Arial" w:cs="Arial" w:eastAsia="Arial" w:hAnsi="Arial"/>
                <w:sz w:val="13"/>
                <w:szCs w:val="13"/>
                <w:color w:val="474C55"/>
              </w:rPr>
              <w:t>$ -</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3"/>
                <w:szCs w:val="13"/>
                <w:color w:val="474C55"/>
              </w:rPr>
              <w:t>9/1/2021</w:t>
            </w:r>
          </w:p>
        </w:tc>
        <w:tc>
          <w:tcPr>
            <w:tcW w:w="2260" w:type="dxa"/>
            <w:vAlign w:val="bottom"/>
          </w:tcPr>
          <w:p>
            <w:pPr>
              <w:jc w:val="right"/>
              <w:spacing w:after="0"/>
              <w:rPr>
                <w:sz w:val="20"/>
                <w:szCs w:val="20"/>
                <w:color w:val="auto"/>
              </w:rPr>
            </w:pPr>
            <w:r>
              <w:rPr>
                <w:rFonts w:ascii="Arial" w:cs="Arial" w:eastAsia="Arial" w:hAnsi="Arial"/>
                <w:sz w:val="13"/>
                <w:szCs w:val="13"/>
                <w:color w:val="auto"/>
              </w:rPr>
              <w:t>5,243</w:t>
            </w:r>
          </w:p>
        </w:tc>
        <w:tc>
          <w:tcPr>
            <w:tcW w:w="220" w:type="dxa"/>
            <w:vAlign w:val="bottom"/>
          </w:tcPr>
          <w:p>
            <w:pPr>
              <w:jc w:val="right"/>
              <w:ind w:right="110"/>
              <w:spacing w:after="0"/>
              <w:rPr>
                <w:sz w:val="20"/>
                <w:szCs w:val="20"/>
                <w:color w:val="auto"/>
              </w:rPr>
            </w:pPr>
            <w:r>
              <w:rPr>
                <w:rFonts w:ascii="Arial" w:cs="Arial" w:eastAsia="Arial" w:hAnsi="Arial"/>
                <w:sz w:val="10"/>
                <w:szCs w:val="10"/>
                <w:color w:val="333333"/>
                <w:w w:val="71"/>
              </w:rPr>
              <w:t>4</w:t>
            </w:r>
          </w:p>
        </w:tc>
        <w:tc>
          <w:tcPr>
            <w:tcW w:w="1920" w:type="dxa"/>
            <w:vAlign w:val="bottom"/>
          </w:tcPr>
          <w:p>
            <w:pPr>
              <w:jc w:val="right"/>
              <w:ind w:right="113"/>
              <w:spacing w:after="0"/>
              <w:rPr>
                <w:sz w:val="20"/>
                <w:szCs w:val="20"/>
                <w:color w:val="auto"/>
              </w:rPr>
            </w:pPr>
            <w:r>
              <w:rPr>
                <w:rFonts w:ascii="Arial" w:cs="Arial" w:eastAsia="Arial" w:hAnsi="Arial"/>
                <w:sz w:val="13"/>
                <w:szCs w:val="13"/>
                <w:color w:val="auto"/>
              </w:rPr>
              <w:t>169,401</w:t>
            </w:r>
          </w:p>
        </w:tc>
        <w:tc>
          <w:tcPr>
            <w:tcW w:w="2080" w:type="dxa"/>
            <w:vAlign w:val="bottom"/>
          </w:tcPr>
          <w:p>
            <w:pPr>
              <w:jc w:val="right"/>
              <w:spacing w:after="0"/>
              <w:rPr>
                <w:sz w:val="20"/>
                <w:szCs w:val="20"/>
                <w:color w:val="auto"/>
              </w:rPr>
            </w:pPr>
            <w:r>
              <w:rPr>
                <w:rFonts w:ascii="Arial" w:cs="Arial" w:eastAsia="Arial" w:hAnsi="Arial"/>
                <w:sz w:val="13"/>
                <w:szCs w:val="13"/>
                <w:color w:val="auto"/>
              </w:rPr>
              <w:t>5,308</w:t>
            </w:r>
          </w:p>
        </w:tc>
        <w:tc>
          <w:tcPr>
            <w:tcW w:w="240" w:type="dxa"/>
            <w:vAlign w:val="bottom"/>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tcPr>
          <w:p>
            <w:pPr>
              <w:jc w:val="right"/>
              <w:ind w:right="93"/>
              <w:spacing w:after="0"/>
              <w:rPr>
                <w:sz w:val="20"/>
                <w:szCs w:val="20"/>
                <w:color w:val="auto"/>
              </w:rPr>
            </w:pPr>
            <w:r>
              <w:rPr>
                <w:rFonts w:ascii="Arial" w:cs="Arial" w:eastAsia="Arial" w:hAnsi="Arial"/>
                <w:sz w:val="13"/>
                <w:szCs w:val="13"/>
                <w:color w:val="474C55"/>
              </w:rPr>
              <w:t>171,501</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3"/>
                <w:szCs w:val="13"/>
                <w:color w:val="474C55"/>
              </w:rPr>
              <w:t>1/5/2023</w:t>
            </w:r>
          </w:p>
        </w:tc>
        <w:tc>
          <w:tcPr>
            <w:tcW w:w="2260" w:type="dxa"/>
            <w:vAlign w:val="bottom"/>
          </w:tcPr>
          <w:p>
            <w:pPr>
              <w:jc w:val="right"/>
              <w:spacing w:after="0"/>
              <w:rPr>
                <w:sz w:val="20"/>
                <w:szCs w:val="20"/>
                <w:color w:val="auto"/>
              </w:rPr>
            </w:pPr>
            <w:r>
              <w:rPr>
                <w:rFonts w:ascii="Arial" w:cs="Arial" w:eastAsia="Arial" w:hAnsi="Arial"/>
                <w:sz w:val="13"/>
                <w:szCs w:val="13"/>
                <w:color w:val="auto"/>
              </w:rPr>
              <w:t>20,090</w:t>
            </w:r>
          </w:p>
        </w:tc>
        <w:tc>
          <w:tcPr>
            <w:tcW w:w="220" w:type="dxa"/>
            <w:vAlign w:val="bottom"/>
          </w:tcPr>
          <w:p>
            <w:pPr>
              <w:jc w:val="right"/>
              <w:ind w:right="110"/>
              <w:spacing w:after="0"/>
              <w:rPr>
                <w:sz w:val="20"/>
                <w:szCs w:val="20"/>
                <w:color w:val="auto"/>
              </w:rPr>
            </w:pPr>
            <w:r>
              <w:rPr>
                <w:rFonts w:ascii="Arial" w:cs="Arial" w:eastAsia="Arial" w:hAnsi="Arial"/>
                <w:sz w:val="10"/>
                <w:szCs w:val="10"/>
                <w:color w:val="333333"/>
                <w:w w:val="71"/>
              </w:rPr>
              <w:t>5</w:t>
            </w:r>
          </w:p>
        </w:tc>
        <w:tc>
          <w:tcPr>
            <w:tcW w:w="1920" w:type="dxa"/>
            <w:vAlign w:val="bottom"/>
          </w:tcPr>
          <w:p>
            <w:pPr>
              <w:jc w:val="right"/>
              <w:ind w:right="113"/>
              <w:spacing w:after="0"/>
              <w:rPr>
                <w:sz w:val="20"/>
                <w:szCs w:val="20"/>
                <w:color w:val="auto"/>
              </w:rPr>
            </w:pPr>
            <w:r>
              <w:rPr>
                <w:rFonts w:ascii="Arial" w:cs="Arial" w:eastAsia="Arial" w:hAnsi="Arial"/>
                <w:sz w:val="13"/>
                <w:szCs w:val="13"/>
                <w:color w:val="auto"/>
              </w:rPr>
              <w:t>649,108</w:t>
            </w:r>
          </w:p>
        </w:tc>
        <w:tc>
          <w:tcPr>
            <w:tcW w:w="2080" w:type="dxa"/>
            <w:vAlign w:val="bottom"/>
          </w:tcPr>
          <w:p>
            <w:pPr>
              <w:jc w:val="right"/>
              <w:spacing w:after="0"/>
              <w:rPr>
                <w:sz w:val="20"/>
                <w:szCs w:val="20"/>
                <w:color w:val="auto"/>
              </w:rPr>
            </w:pPr>
            <w:r>
              <w:rPr>
                <w:rFonts w:ascii="Arial" w:cs="Arial" w:eastAsia="Arial" w:hAnsi="Arial"/>
                <w:sz w:val="13"/>
                <w:szCs w:val="13"/>
                <w:color w:val="auto"/>
              </w:rPr>
              <w:t>21,900</w:t>
            </w:r>
          </w:p>
        </w:tc>
        <w:tc>
          <w:tcPr>
            <w:tcW w:w="240" w:type="dxa"/>
            <w:vAlign w:val="bottom"/>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tcPr>
          <w:p>
            <w:pPr>
              <w:jc w:val="right"/>
              <w:ind w:right="93"/>
              <w:spacing w:after="0"/>
              <w:rPr>
                <w:sz w:val="20"/>
                <w:szCs w:val="20"/>
                <w:color w:val="auto"/>
              </w:rPr>
            </w:pPr>
            <w:r>
              <w:rPr>
                <w:rFonts w:ascii="Arial" w:cs="Arial" w:eastAsia="Arial" w:hAnsi="Arial"/>
                <w:sz w:val="13"/>
                <w:szCs w:val="13"/>
                <w:color w:val="auto"/>
              </w:rPr>
              <w:t>707,589</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3"/>
                <w:szCs w:val="13"/>
                <w:color w:val="474C55"/>
              </w:rPr>
              <w:t>1/4/2024</w:t>
            </w:r>
          </w:p>
        </w:tc>
        <w:tc>
          <w:tcPr>
            <w:tcW w:w="2260" w:type="dxa"/>
            <w:vAlign w:val="bottom"/>
          </w:tcPr>
          <w:p>
            <w:pPr>
              <w:jc w:val="right"/>
              <w:spacing w:after="0"/>
              <w:rPr>
                <w:sz w:val="20"/>
                <w:szCs w:val="20"/>
                <w:color w:val="auto"/>
              </w:rPr>
            </w:pPr>
            <w:r>
              <w:rPr>
                <w:rFonts w:ascii="Arial" w:cs="Arial" w:eastAsia="Arial" w:hAnsi="Arial"/>
                <w:sz w:val="13"/>
                <w:szCs w:val="13"/>
                <w:color w:val="auto"/>
              </w:rPr>
              <w:t>36,397</w:t>
            </w:r>
          </w:p>
        </w:tc>
        <w:tc>
          <w:tcPr>
            <w:tcW w:w="220" w:type="dxa"/>
            <w:vAlign w:val="bottom"/>
          </w:tcPr>
          <w:p>
            <w:pPr>
              <w:jc w:val="right"/>
              <w:ind w:right="110"/>
              <w:spacing w:after="0"/>
              <w:rPr>
                <w:sz w:val="20"/>
                <w:szCs w:val="20"/>
                <w:color w:val="auto"/>
              </w:rPr>
            </w:pPr>
            <w:r>
              <w:rPr>
                <w:rFonts w:ascii="Arial" w:cs="Arial" w:eastAsia="Arial" w:hAnsi="Arial"/>
                <w:sz w:val="10"/>
                <w:szCs w:val="10"/>
                <w:color w:val="333333"/>
                <w:w w:val="71"/>
              </w:rPr>
              <w:t>5</w:t>
            </w:r>
          </w:p>
        </w:tc>
        <w:tc>
          <w:tcPr>
            <w:tcW w:w="1920" w:type="dxa"/>
            <w:vAlign w:val="bottom"/>
          </w:tcPr>
          <w:p>
            <w:pPr>
              <w:jc w:val="right"/>
              <w:ind w:right="113"/>
              <w:spacing w:after="0"/>
              <w:rPr>
                <w:sz w:val="20"/>
                <w:szCs w:val="20"/>
                <w:color w:val="auto"/>
              </w:rPr>
            </w:pPr>
            <w:r>
              <w:rPr>
                <w:rFonts w:ascii="Arial" w:cs="Arial" w:eastAsia="Arial" w:hAnsi="Arial"/>
                <w:sz w:val="13"/>
                <w:szCs w:val="13"/>
                <w:color w:val="auto"/>
              </w:rPr>
              <w:t>1,175,987</w:t>
            </w:r>
          </w:p>
        </w:tc>
        <w:tc>
          <w:tcPr>
            <w:tcW w:w="2080" w:type="dxa"/>
            <w:vAlign w:val="bottom"/>
          </w:tcPr>
          <w:p>
            <w:pPr>
              <w:jc w:val="right"/>
              <w:spacing w:after="0"/>
              <w:rPr>
                <w:sz w:val="20"/>
                <w:szCs w:val="20"/>
                <w:color w:val="auto"/>
              </w:rPr>
            </w:pPr>
            <w:r>
              <w:rPr>
                <w:rFonts w:ascii="Arial" w:cs="Arial" w:eastAsia="Arial" w:hAnsi="Arial"/>
                <w:sz w:val="13"/>
                <w:szCs w:val="13"/>
                <w:color w:val="auto"/>
              </w:rPr>
              <w:t>33,750</w:t>
            </w:r>
          </w:p>
        </w:tc>
        <w:tc>
          <w:tcPr>
            <w:tcW w:w="240" w:type="dxa"/>
            <w:vAlign w:val="bottom"/>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tcPr>
          <w:p>
            <w:pPr>
              <w:jc w:val="right"/>
              <w:ind w:right="93"/>
              <w:spacing w:after="0"/>
              <w:rPr>
                <w:sz w:val="20"/>
                <w:szCs w:val="20"/>
                <w:color w:val="auto"/>
              </w:rPr>
            </w:pPr>
            <w:r>
              <w:rPr>
                <w:rFonts w:ascii="Arial" w:cs="Arial" w:eastAsia="Arial" w:hAnsi="Arial"/>
                <w:sz w:val="13"/>
                <w:szCs w:val="13"/>
                <w:color w:val="474C55"/>
              </w:rPr>
              <w:t>1,090,463</w:t>
            </w: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660" w:type="dxa"/>
            <w:vAlign w:val="bottom"/>
            <w:shd w:val="clear" w:color="auto" w:fill="E5E6E6"/>
          </w:tcPr>
          <w:p>
            <w:pPr>
              <w:ind w:left="80"/>
              <w:spacing w:after="0"/>
              <w:rPr>
                <w:sz w:val="20"/>
                <w:szCs w:val="20"/>
                <w:color w:val="auto"/>
              </w:rPr>
            </w:pPr>
            <w:r>
              <w:rPr>
                <w:rFonts w:ascii="Arial" w:cs="Arial" w:eastAsia="Arial" w:hAnsi="Arial"/>
                <w:sz w:val="13"/>
                <w:szCs w:val="13"/>
                <w:color w:val="474C55"/>
              </w:rPr>
              <w:t>Jefferson L. Harralson</w:t>
            </w:r>
          </w:p>
        </w:tc>
        <w:tc>
          <w:tcPr>
            <w:tcW w:w="100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474C55"/>
              </w:rPr>
              <w:t>9/1/2020</w:t>
            </w:r>
          </w:p>
        </w:tc>
        <w:tc>
          <w:tcPr>
            <w:tcW w:w="2260" w:type="dxa"/>
            <w:vAlign w:val="bottom"/>
            <w:shd w:val="clear" w:color="auto" w:fill="E5E6E6"/>
          </w:tcPr>
          <w:p>
            <w:pPr>
              <w:jc w:val="right"/>
              <w:spacing w:after="0"/>
              <w:rPr>
                <w:sz w:val="20"/>
                <w:szCs w:val="20"/>
                <w:color w:val="auto"/>
              </w:rPr>
            </w:pPr>
            <w:r>
              <w:rPr>
                <w:rFonts w:ascii="Arial" w:cs="Arial" w:eastAsia="Arial" w:hAnsi="Arial"/>
                <w:sz w:val="13"/>
                <w:szCs w:val="13"/>
                <w:color w:val="auto"/>
              </w:rPr>
              <w:t>1,755</w:t>
            </w:r>
          </w:p>
        </w:tc>
        <w:tc>
          <w:tcPr>
            <w:tcW w:w="220" w:type="dxa"/>
            <w:vAlign w:val="bottom"/>
            <w:shd w:val="clear" w:color="auto" w:fill="E5E6E6"/>
          </w:tcPr>
          <w:p>
            <w:pPr>
              <w:jc w:val="right"/>
              <w:ind w:right="110"/>
              <w:spacing w:after="0"/>
              <w:rPr>
                <w:sz w:val="20"/>
                <w:szCs w:val="20"/>
                <w:color w:val="auto"/>
              </w:rPr>
            </w:pPr>
            <w:r>
              <w:rPr>
                <w:rFonts w:ascii="Arial" w:cs="Arial" w:eastAsia="Arial" w:hAnsi="Arial"/>
                <w:sz w:val="10"/>
                <w:szCs w:val="10"/>
                <w:color w:val="333333"/>
                <w:w w:val="71"/>
              </w:rPr>
              <w:t>3</w:t>
            </w:r>
          </w:p>
        </w:tc>
        <w:tc>
          <w:tcPr>
            <w:tcW w:w="1920" w:type="dxa"/>
            <w:vAlign w:val="bottom"/>
            <w:shd w:val="clear" w:color="auto" w:fill="E5E6E6"/>
          </w:tcPr>
          <w:p>
            <w:pPr>
              <w:jc w:val="right"/>
              <w:ind w:right="93"/>
              <w:spacing w:after="0"/>
              <w:rPr>
                <w:sz w:val="20"/>
                <w:szCs w:val="20"/>
                <w:color w:val="auto"/>
              </w:rPr>
            </w:pPr>
            <w:r>
              <w:rPr>
                <w:rFonts w:ascii="Arial" w:cs="Arial" w:eastAsia="Arial" w:hAnsi="Arial"/>
                <w:sz w:val="13"/>
                <w:szCs w:val="13"/>
                <w:color w:val="auto"/>
              </w:rPr>
              <w:t>56,704</w:t>
            </w:r>
          </w:p>
        </w:tc>
        <w:tc>
          <w:tcPr>
            <w:tcW w:w="2080" w:type="dxa"/>
            <w:vAlign w:val="bottom"/>
            <w:shd w:val="clear" w:color="auto" w:fill="E5E6E6"/>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5E6E6"/>
          </w:tcPr>
          <w:p>
            <w:pPr>
              <w:spacing w:after="0"/>
              <w:rPr>
                <w:sz w:val="18"/>
                <w:szCs w:val="18"/>
                <w:color w:val="auto"/>
              </w:rPr>
            </w:pPr>
          </w:p>
        </w:tc>
        <w:tc>
          <w:tcPr>
            <w:tcW w:w="1860" w:type="dxa"/>
            <w:vAlign w:val="bottom"/>
            <w:shd w:val="clear" w:color="auto" w:fill="E5E6E6"/>
          </w:tcPr>
          <w:p>
            <w:pPr>
              <w:jc w:val="right"/>
              <w:ind w:right="93"/>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250"/>
        </w:trPr>
        <w:tc>
          <w:tcPr>
            <w:tcW w:w="1660" w:type="dxa"/>
            <w:vAlign w:val="bottom"/>
            <w:shd w:val="clear" w:color="auto" w:fill="E5E6E6"/>
          </w:tcPr>
          <w:p>
            <w:pPr>
              <w:spacing w:after="0"/>
              <w:rPr>
                <w:sz w:val="21"/>
                <w:szCs w:val="21"/>
                <w:color w:val="auto"/>
              </w:rPr>
            </w:pPr>
          </w:p>
        </w:tc>
        <w:tc>
          <w:tcPr>
            <w:tcW w:w="100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474C55"/>
              </w:rPr>
              <w:t>9/1/2021</w:t>
            </w:r>
          </w:p>
        </w:tc>
        <w:tc>
          <w:tcPr>
            <w:tcW w:w="2260" w:type="dxa"/>
            <w:vAlign w:val="bottom"/>
            <w:shd w:val="clear" w:color="auto" w:fill="E5E6E6"/>
          </w:tcPr>
          <w:p>
            <w:pPr>
              <w:jc w:val="right"/>
              <w:spacing w:after="0"/>
              <w:rPr>
                <w:sz w:val="20"/>
                <w:szCs w:val="20"/>
                <w:color w:val="auto"/>
              </w:rPr>
            </w:pPr>
            <w:r>
              <w:rPr>
                <w:rFonts w:ascii="Arial" w:cs="Arial" w:eastAsia="Arial" w:hAnsi="Arial"/>
                <w:sz w:val="13"/>
                <w:szCs w:val="13"/>
                <w:color w:val="auto"/>
              </w:rPr>
              <w:t>1,706</w:t>
            </w:r>
          </w:p>
        </w:tc>
        <w:tc>
          <w:tcPr>
            <w:tcW w:w="220" w:type="dxa"/>
            <w:vAlign w:val="bottom"/>
            <w:shd w:val="clear" w:color="auto" w:fill="E5E6E6"/>
          </w:tcPr>
          <w:p>
            <w:pPr>
              <w:jc w:val="right"/>
              <w:ind w:right="110"/>
              <w:spacing w:after="0"/>
              <w:rPr>
                <w:sz w:val="20"/>
                <w:szCs w:val="20"/>
                <w:color w:val="auto"/>
              </w:rPr>
            </w:pPr>
            <w:r>
              <w:rPr>
                <w:rFonts w:ascii="Arial" w:cs="Arial" w:eastAsia="Arial" w:hAnsi="Arial"/>
                <w:sz w:val="10"/>
                <w:szCs w:val="10"/>
                <w:color w:val="333333"/>
                <w:w w:val="71"/>
              </w:rPr>
              <w:t>4</w:t>
            </w:r>
          </w:p>
        </w:tc>
        <w:tc>
          <w:tcPr>
            <w:tcW w:w="1920" w:type="dxa"/>
            <w:vAlign w:val="bottom"/>
            <w:shd w:val="clear" w:color="auto" w:fill="E5E6E6"/>
          </w:tcPr>
          <w:p>
            <w:pPr>
              <w:jc w:val="right"/>
              <w:ind w:right="93"/>
              <w:spacing w:after="0"/>
              <w:rPr>
                <w:sz w:val="20"/>
                <w:szCs w:val="20"/>
                <w:color w:val="auto"/>
              </w:rPr>
            </w:pPr>
            <w:r>
              <w:rPr>
                <w:rFonts w:ascii="Arial" w:cs="Arial" w:eastAsia="Arial" w:hAnsi="Arial"/>
                <w:sz w:val="13"/>
                <w:szCs w:val="13"/>
                <w:color w:val="auto"/>
              </w:rPr>
              <w:t>55,121</w:t>
            </w:r>
          </w:p>
        </w:tc>
        <w:tc>
          <w:tcPr>
            <w:tcW w:w="2080" w:type="dxa"/>
            <w:vAlign w:val="bottom"/>
            <w:shd w:val="clear" w:color="auto" w:fill="E5E6E6"/>
          </w:tcPr>
          <w:p>
            <w:pPr>
              <w:jc w:val="right"/>
              <w:spacing w:after="0"/>
              <w:rPr>
                <w:sz w:val="20"/>
                <w:szCs w:val="20"/>
                <w:color w:val="auto"/>
              </w:rPr>
            </w:pPr>
            <w:r>
              <w:rPr>
                <w:rFonts w:ascii="Arial" w:cs="Arial" w:eastAsia="Arial" w:hAnsi="Arial"/>
                <w:sz w:val="13"/>
                <w:szCs w:val="13"/>
                <w:color w:val="auto"/>
              </w:rPr>
              <w:t>1,727</w:t>
            </w:r>
          </w:p>
        </w:tc>
        <w:tc>
          <w:tcPr>
            <w:tcW w:w="240" w:type="dxa"/>
            <w:vAlign w:val="bottom"/>
            <w:shd w:val="clear" w:color="auto" w:fill="E5E6E6"/>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shd w:val="clear" w:color="auto" w:fill="E5E6E6"/>
          </w:tcPr>
          <w:p>
            <w:pPr>
              <w:jc w:val="right"/>
              <w:ind w:right="93"/>
              <w:spacing w:after="0"/>
              <w:rPr>
                <w:sz w:val="20"/>
                <w:szCs w:val="20"/>
                <w:color w:val="auto"/>
              </w:rPr>
            </w:pPr>
            <w:r>
              <w:rPr>
                <w:rFonts w:ascii="Arial" w:cs="Arial" w:eastAsia="Arial" w:hAnsi="Arial"/>
                <w:sz w:val="13"/>
                <w:szCs w:val="13"/>
                <w:color w:val="474C55"/>
              </w:rPr>
              <w:t>55,799</w:t>
            </w:r>
          </w:p>
        </w:tc>
        <w:tc>
          <w:tcPr>
            <w:tcW w:w="0" w:type="dxa"/>
            <w:vAlign w:val="bottom"/>
          </w:tcPr>
          <w:p>
            <w:pPr>
              <w:spacing w:after="0"/>
              <w:rPr>
                <w:sz w:val="1"/>
                <w:szCs w:val="1"/>
                <w:color w:val="auto"/>
              </w:rPr>
            </w:pPr>
          </w:p>
        </w:tc>
      </w:tr>
      <w:tr>
        <w:trPr>
          <w:trHeight w:val="250"/>
        </w:trPr>
        <w:tc>
          <w:tcPr>
            <w:tcW w:w="1660" w:type="dxa"/>
            <w:vAlign w:val="bottom"/>
            <w:shd w:val="clear" w:color="auto" w:fill="E5E6E6"/>
          </w:tcPr>
          <w:p>
            <w:pPr>
              <w:spacing w:after="0"/>
              <w:rPr>
                <w:sz w:val="21"/>
                <w:szCs w:val="21"/>
                <w:color w:val="auto"/>
              </w:rPr>
            </w:pPr>
          </w:p>
        </w:tc>
        <w:tc>
          <w:tcPr>
            <w:tcW w:w="100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474C55"/>
              </w:rPr>
              <w:t>1/5/2023</w:t>
            </w:r>
          </w:p>
        </w:tc>
        <w:tc>
          <w:tcPr>
            <w:tcW w:w="2260" w:type="dxa"/>
            <w:vAlign w:val="bottom"/>
            <w:shd w:val="clear" w:color="auto" w:fill="E5E6E6"/>
          </w:tcPr>
          <w:p>
            <w:pPr>
              <w:jc w:val="right"/>
              <w:spacing w:after="0"/>
              <w:rPr>
                <w:sz w:val="20"/>
                <w:szCs w:val="20"/>
                <w:color w:val="auto"/>
              </w:rPr>
            </w:pPr>
            <w:r>
              <w:rPr>
                <w:rFonts w:ascii="Arial" w:cs="Arial" w:eastAsia="Arial" w:hAnsi="Arial"/>
                <w:sz w:val="13"/>
                <w:szCs w:val="13"/>
                <w:color w:val="auto"/>
              </w:rPr>
              <w:t>4,926</w:t>
            </w:r>
          </w:p>
        </w:tc>
        <w:tc>
          <w:tcPr>
            <w:tcW w:w="220" w:type="dxa"/>
            <w:vAlign w:val="bottom"/>
            <w:shd w:val="clear" w:color="auto" w:fill="E5E6E6"/>
          </w:tcPr>
          <w:p>
            <w:pPr>
              <w:jc w:val="right"/>
              <w:ind w:right="110"/>
              <w:spacing w:after="0"/>
              <w:rPr>
                <w:sz w:val="20"/>
                <w:szCs w:val="20"/>
                <w:color w:val="auto"/>
              </w:rPr>
            </w:pPr>
            <w:r>
              <w:rPr>
                <w:rFonts w:ascii="Arial" w:cs="Arial" w:eastAsia="Arial" w:hAnsi="Arial"/>
                <w:sz w:val="10"/>
                <w:szCs w:val="10"/>
                <w:color w:val="333333"/>
                <w:w w:val="71"/>
              </w:rPr>
              <w:t>5</w:t>
            </w:r>
          </w:p>
        </w:tc>
        <w:tc>
          <w:tcPr>
            <w:tcW w:w="192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auto"/>
              </w:rPr>
              <w:t>159,159</w:t>
            </w:r>
          </w:p>
        </w:tc>
        <w:tc>
          <w:tcPr>
            <w:tcW w:w="2080" w:type="dxa"/>
            <w:vAlign w:val="bottom"/>
            <w:shd w:val="clear" w:color="auto" w:fill="E5E6E6"/>
          </w:tcPr>
          <w:p>
            <w:pPr>
              <w:jc w:val="right"/>
              <w:spacing w:after="0"/>
              <w:rPr>
                <w:sz w:val="20"/>
                <w:szCs w:val="20"/>
                <w:color w:val="auto"/>
              </w:rPr>
            </w:pPr>
            <w:r>
              <w:rPr>
                <w:rFonts w:ascii="Arial" w:cs="Arial" w:eastAsia="Arial" w:hAnsi="Arial"/>
                <w:sz w:val="13"/>
                <w:szCs w:val="13"/>
                <w:color w:val="auto"/>
              </w:rPr>
              <w:t>5,370</w:t>
            </w:r>
          </w:p>
        </w:tc>
        <w:tc>
          <w:tcPr>
            <w:tcW w:w="240" w:type="dxa"/>
            <w:vAlign w:val="bottom"/>
            <w:shd w:val="clear" w:color="auto" w:fill="E5E6E6"/>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shd w:val="clear" w:color="auto" w:fill="E5E6E6"/>
          </w:tcPr>
          <w:p>
            <w:pPr>
              <w:jc w:val="right"/>
              <w:ind w:right="93"/>
              <w:spacing w:after="0"/>
              <w:rPr>
                <w:sz w:val="20"/>
                <w:szCs w:val="20"/>
                <w:color w:val="auto"/>
              </w:rPr>
            </w:pPr>
            <w:r>
              <w:rPr>
                <w:rFonts w:ascii="Arial" w:cs="Arial" w:eastAsia="Arial" w:hAnsi="Arial"/>
                <w:sz w:val="13"/>
                <w:szCs w:val="13"/>
                <w:color w:val="474C55"/>
              </w:rPr>
              <w:t>173,505</w:t>
            </w:r>
          </w:p>
        </w:tc>
        <w:tc>
          <w:tcPr>
            <w:tcW w:w="0" w:type="dxa"/>
            <w:vAlign w:val="bottom"/>
          </w:tcPr>
          <w:p>
            <w:pPr>
              <w:spacing w:after="0"/>
              <w:rPr>
                <w:sz w:val="1"/>
                <w:szCs w:val="1"/>
                <w:color w:val="auto"/>
              </w:rPr>
            </w:pPr>
          </w:p>
        </w:tc>
      </w:tr>
      <w:tr>
        <w:trPr>
          <w:trHeight w:val="263"/>
        </w:trPr>
        <w:tc>
          <w:tcPr>
            <w:tcW w:w="1660" w:type="dxa"/>
            <w:vAlign w:val="bottom"/>
            <w:tcBorders>
              <w:bottom w:val="single" w:sz="8" w:color="E5E6E6"/>
            </w:tcBorders>
            <w:shd w:val="clear" w:color="auto" w:fill="E5E6E6"/>
          </w:tcPr>
          <w:p>
            <w:pPr>
              <w:spacing w:after="0"/>
              <w:rPr>
                <w:sz w:val="22"/>
                <w:szCs w:val="22"/>
                <w:color w:val="auto"/>
              </w:rPr>
            </w:pPr>
          </w:p>
        </w:tc>
        <w:tc>
          <w:tcPr>
            <w:tcW w:w="1000" w:type="dxa"/>
            <w:vAlign w:val="bottom"/>
            <w:tcBorders>
              <w:bottom w:val="single" w:sz="8" w:color="E5E6E6"/>
            </w:tcBorders>
            <w:shd w:val="clear" w:color="auto" w:fill="E5E6E6"/>
          </w:tcPr>
          <w:p>
            <w:pPr>
              <w:jc w:val="right"/>
              <w:ind w:right="113"/>
              <w:spacing w:after="0"/>
              <w:rPr>
                <w:sz w:val="20"/>
                <w:szCs w:val="20"/>
                <w:color w:val="auto"/>
              </w:rPr>
            </w:pPr>
            <w:r>
              <w:rPr>
                <w:rFonts w:ascii="Arial" w:cs="Arial" w:eastAsia="Arial" w:hAnsi="Arial"/>
                <w:sz w:val="13"/>
                <w:szCs w:val="13"/>
                <w:color w:val="474C55"/>
              </w:rPr>
              <w:t>1/4/2024</w:t>
            </w:r>
          </w:p>
        </w:tc>
        <w:tc>
          <w:tcPr>
            <w:tcW w:w="226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auto"/>
              </w:rPr>
              <w:t>8,919</w:t>
            </w:r>
          </w:p>
        </w:tc>
        <w:tc>
          <w:tcPr>
            <w:tcW w:w="220" w:type="dxa"/>
            <w:vAlign w:val="bottom"/>
            <w:tcBorders>
              <w:bottom w:val="single" w:sz="8" w:color="E5E6E6"/>
            </w:tcBorders>
            <w:shd w:val="clear" w:color="auto" w:fill="E5E6E6"/>
          </w:tcPr>
          <w:p>
            <w:pPr>
              <w:jc w:val="right"/>
              <w:ind w:right="110"/>
              <w:spacing w:after="0"/>
              <w:rPr>
                <w:sz w:val="20"/>
                <w:szCs w:val="20"/>
                <w:color w:val="auto"/>
              </w:rPr>
            </w:pPr>
            <w:r>
              <w:rPr>
                <w:rFonts w:ascii="Arial" w:cs="Arial" w:eastAsia="Arial" w:hAnsi="Arial"/>
                <w:sz w:val="10"/>
                <w:szCs w:val="10"/>
                <w:color w:val="333333"/>
                <w:w w:val="71"/>
              </w:rPr>
              <w:t>5</w:t>
            </w:r>
          </w:p>
        </w:tc>
        <w:tc>
          <w:tcPr>
            <w:tcW w:w="1920" w:type="dxa"/>
            <w:vAlign w:val="bottom"/>
            <w:tcBorders>
              <w:bottom w:val="single" w:sz="8" w:color="E5E6E6"/>
            </w:tcBorders>
            <w:shd w:val="clear" w:color="auto" w:fill="E5E6E6"/>
          </w:tcPr>
          <w:p>
            <w:pPr>
              <w:jc w:val="right"/>
              <w:ind w:right="113"/>
              <w:spacing w:after="0"/>
              <w:rPr>
                <w:sz w:val="20"/>
                <w:szCs w:val="20"/>
                <w:color w:val="auto"/>
              </w:rPr>
            </w:pPr>
            <w:r>
              <w:rPr>
                <w:rFonts w:ascii="Arial" w:cs="Arial" w:eastAsia="Arial" w:hAnsi="Arial"/>
                <w:sz w:val="13"/>
                <w:szCs w:val="13"/>
                <w:color w:val="auto"/>
              </w:rPr>
              <w:t>288,173</w:t>
            </w:r>
          </w:p>
        </w:tc>
        <w:tc>
          <w:tcPr>
            <w:tcW w:w="208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auto"/>
              </w:rPr>
              <w:t>8,269</w:t>
            </w:r>
          </w:p>
        </w:tc>
        <w:tc>
          <w:tcPr>
            <w:tcW w:w="240" w:type="dxa"/>
            <w:vAlign w:val="bottom"/>
            <w:tcBorders>
              <w:bottom w:val="single" w:sz="8" w:color="E5E6E6"/>
            </w:tcBorders>
            <w:shd w:val="clear" w:color="auto" w:fill="E5E6E6"/>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tcBorders>
              <w:bottom w:val="single" w:sz="8" w:color="E5E6E6"/>
            </w:tcBorders>
            <w:shd w:val="clear" w:color="auto" w:fill="E5E6E6"/>
          </w:tcPr>
          <w:p>
            <w:pPr>
              <w:jc w:val="right"/>
              <w:ind w:right="93"/>
              <w:spacing w:after="0"/>
              <w:rPr>
                <w:sz w:val="20"/>
                <w:szCs w:val="20"/>
                <w:color w:val="auto"/>
              </w:rPr>
            </w:pPr>
            <w:r>
              <w:rPr>
                <w:rFonts w:ascii="Arial" w:cs="Arial" w:eastAsia="Arial" w:hAnsi="Arial"/>
                <w:sz w:val="13"/>
                <w:szCs w:val="13"/>
                <w:color w:val="474C55"/>
              </w:rPr>
              <w:t>267,171</w:t>
            </w:r>
          </w:p>
        </w:tc>
        <w:tc>
          <w:tcPr>
            <w:tcW w:w="0" w:type="dxa"/>
            <w:vAlign w:val="bottom"/>
          </w:tcPr>
          <w:p>
            <w:pPr>
              <w:spacing w:after="0"/>
              <w:rPr>
                <w:sz w:val="1"/>
                <w:szCs w:val="1"/>
                <w:color w:val="auto"/>
              </w:rPr>
            </w:pPr>
          </w:p>
        </w:tc>
      </w:tr>
      <w:tr>
        <w:trPr>
          <w:trHeight w:val="217"/>
        </w:trPr>
        <w:tc>
          <w:tcPr>
            <w:tcW w:w="1660" w:type="dxa"/>
            <w:vAlign w:val="bottom"/>
          </w:tcPr>
          <w:p>
            <w:pPr>
              <w:ind w:left="80"/>
              <w:spacing w:after="0"/>
              <w:rPr>
                <w:sz w:val="20"/>
                <w:szCs w:val="20"/>
                <w:color w:val="auto"/>
              </w:rPr>
            </w:pPr>
            <w:r>
              <w:rPr>
                <w:rFonts w:ascii="Arial" w:cs="Arial" w:eastAsia="Arial" w:hAnsi="Arial"/>
                <w:sz w:val="13"/>
                <w:szCs w:val="13"/>
                <w:color w:val="474C55"/>
              </w:rPr>
              <w:t>Richard W. Bradshaw</w:t>
            </w:r>
          </w:p>
        </w:tc>
        <w:tc>
          <w:tcPr>
            <w:tcW w:w="1000" w:type="dxa"/>
            <w:vAlign w:val="bottom"/>
          </w:tcPr>
          <w:p>
            <w:pPr>
              <w:jc w:val="right"/>
              <w:ind w:right="113"/>
              <w:spacing w:after="0"/>
              <w:rPr>
                <w:sz w:val="20"/>
                <w:szCs w:val="20"/>
                <w:color w:val="auto"/>
              </w:rPr>
            </w:pPr>
            <w:r>
              <w:rPr>
                <w:rFonts w:ascii="Arial" w:cs="Arial" w:eastAsia="Arial" w:hAnsi="Arial"/>
                <w:sz w:val="13"/>
                <w:szCs w:val="13"/>
                <w:color w:val="474C55"/>
              </w:rPr>
              <w:t>9/1/2020</w:t>
            </w:r>
          </w:p>
        </w:tc>
        <w:tc>
          <w:tcPr>
            <w:tcW w:w="2260" w:type="dxa"/>
            <w:vAlign w:val="bottom"/>
          </w:tcPr>
          <w:p>
            <w:pPr>
              <w:jc w:val="right"/>
              <w:spacing w:after="0"/>
              <w:rPr>
                <w:sz w:val="20"/>
                <w:szCs w:val="20"/>
                <w:color w:val="auto"/>
              </w:rPr>
            </w:pPr>
            <w:r>
              <w:rPr>
                <w:rFonts w:ascii="Arial" w:cs="Arial" w:eastAsia="Arial" w:hAnsi="Arial"/>
                <w:sz w:val="13"/>
                <w:szCs w:val="13"/>
                <w:color w:val="auto"/>
              </w:rPr>
              <w:t>1,379</w:t>
            </w:r>
          </w:p>
        </w:tc>
        <w:tc>
          <w:tcPr>
            <w:tcW w:w="220" w:type="dxa"/>
            <w:vAlign w:val="bottom"/>
          </w:tcPr>
          <w:p>
            <w:pPr>
              <w:jc w:val="right"/>
              <w:ind w:right="110"/>
              <w:spacing w:after="0"/>
              <w:rPr>
                <w:sz w:val="20"/>
                <w:szCs w:val="20"/>
                <w:color w:val="auto"/>
              </w:rPr>
            </w:pPr>
            <w:r>
              <w:rPr>
                <w:rFonts w:ascii="Arial" w:cs="Arial" w:eastAsia="Arial" w:hAnsi="Arial"/>
                <w:sz w:val="10"/>
                <w:szCs w:val="10"/>
                <w:color w:val="333333"/>
                <w:w w:val="71"/>
              </w:rPr>
              <w:t>3</w:t>
            </w:r>
          </w:p>
        </w:tc>
        <w:tc>
          <w:tcPr>
            <w:tcW w:w="1920" w:type="dxa"/>
            <w:vAlign w:val="bottom"/>
          </w:tcPr>
          <w:p>
            <w:pPr>
              <w:jc w:val="right"/>
              <w:ind w:right="93"/>
              <w:spacing w:after="0"/>
              <w:rPr>
                <w:sz w:val="20"/>
                <w:szCs w:val="20"/>
                <w:color w:val="auto"/>
              </w:rPr>
            </w:pPr>
            <w:r>
              <w:rPr>
                <w:rFonts w:ascii="Arial" w:cs="Arial" w:eastAsia="Arial" w:hAnsi="Arial"/>
                <w:sz w:val="13"/>
                <w:szCs w:val="13"/>
                <w:color w:val="auto"/>
              </w:rPr>
              <w:t>44,555</w:t>
            </w:r>
          </w:p>
        </w:tc>
        <w:tc>
          <w:tcPr>
            <w:tcW w:w="20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860" w:type="dxa"/>
            <w:vAlign w:val="bottom"/>
          </w:tcPr>
          <w:p>
            <w:pPr>
              <w:jc w:val="right"/>
              <w:ind w:right="93"/>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3"/>
                <w:szCs w:val="13"/>
                <w:color w:val="474C55"/>
              </w:rPr>
              <w:t>9/1/2021</w:t>
            </w:r>
          </w:p>
        </w:tc>
        <w:tc>
          <w:tcPr>
            <w:tcW w:w="2260" w:type="dxa"/>
            <w:vAlign w:val="bottom"/>
          </w:tcPr>
          <w:p>
            <w:pPr>
              <w:jc w:val="right"/>
              <w:spacing w:after="0"/>
              <w:rPr>
                <w:sz w:val="20"/>
                <w:szCs w:val="20"/>
                <w:color w:val="auto"/>
              </w:rPr>
            </w:pPr>
            <w:r>
              <w:rPr>
                <w:rFonts w:ascii="Arial" w:cs="Arial" w:eastAsia="Arial" w:hAnsi="Arial"/>
                <w:sz w:val="13"/>
                <w:szCs w:val="13"/>
                <w:color w:val="auto"/>
              </w:rPr>
              <w:t>1,706</w:t>
            </w:r>
          </w:p>
        </w:tc>
        <w:tc>
          <w:tcPr>
            <w:tcW w:w="220" w:type="dxa"/>
            <w:vAlign w:val="bottom"/>
          </w:tcPr>
          <w:p>
            <w:pPr>
              <w:jc w:val="right"/>
              <w:ind w:right="110"/>
              <w:spacing w:after="0"/>
              <w:rPr>
                <w:sz w:val="20"/>
                <w:szCs w:val="20"/>
                <w:color w:val="auto"/>
              </w:rPr>
            </w:pPr>
            <w:r>
              <w:rPr>
                <w:rFonts w:ascii="Arial" w:cs="Arial" w:eastAsia="Arial" w:hAnsi="Arial"/>
                <w:sz w:val="10"/>
                <w:szCs w:val="10"/>
                <w:color w:val="333333"/>
                <w:w w:val="71"/>
              </w:rPr>
              <w:t>4</w:t>
            </w:r>
          </w:p>
        </w:tc>
        <w:tc>
          <w:tcPr>
            <w:tcW w:w="1920" w:type="dxa"/>
            <w:vAlign w:val="bottom"/>
          </w:tcPr>
          <w:p>
            <w:pPr>
              <w:jc w:val="right"/>
              <w:ind w:right="93"/>
              <w:spacing w:after="0"/>
              <w:rPr>
                <w:sz w:val="20"/>
                <w:szCs w:val="20"/>
                <w:color w:val="auto"/>
              </w:rPr>
            </w:pPr>
            <w:r>
              <w:rPr>
                <w:rFonts w:ascii="Arial" w:cs="Arial" w:eastAsia="Arial" w:hAnsi="Arial"/>
                <w:sz w:val="13"/>
                <w:szCs w:val="13"/>
                <w:color w:val="auto"/>
              </w:rPr>
              <w:t>55,121</w:t>
            </w:r>
          </w:p>
        </w:tc>
        <w:tc>
          <w:tcPr>
            <w:tcW w:w="2080" w:type="dxa"/>
            <w:vAlign w:val="bottom"/>
          </w:tcPr>
          <w:p>
            <w:pPr>
              <w:jc w:val="right"/>
              <w:spacing w:after="0"/>
              <w:rPr>
                <w:sz w:val="20"/>
                <w:szCs w:val="20"/>
                <w:color w:val="auto"/>
              </w:rPr>
            </w:pPr>
            <w:r>
              <w:rPr>
                <w:rFonts w:ascii="Arial" w:cs="Arial" w:eastAsia="Arial" w:hAnsi="Arial"/>
                <w:sz w:val="13"/>
                <w:szCs w:val="13"/>
                <w:color w:val="auto"/>
              </w:rPr>
              <w:t>1,727</w:t>
            </w:r>
          </w:p>
        </w:tc>
        <w:tc>
          <w:tcPr>
            <w:tcW w:w="240" w:type="dxa"/>
            <w:vAlign w:val="bottom"/>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tcPr>
          <w:p>
            <w:pPr>
              <w:jc w:val="right"/>
              <w:ind w:right="93"/>
              <w:spacing w:after="0"/>
              <w:rPr>
                <w:sz w:val="20"/>
                <w:szCs w:val="20"/>
                <w:color w:val="auto"/>
              </w:rPr>
            </w:pPr>
            <w:r>
              <w:rPr>
                <w:rFonts w:ascii="Arial" w:cs="Arial" w:eastAsia="Arial" w:hAnsi="Arial"/>
                <w:sz w:val="13"/>
                <w:szCs w:val="13"/>
                <w:color w:val="474C55"/>
              </w:rPr>
              <w:t>55,799</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3"/>
                <w:szCs w:val="13"/>
                <w:color w:val="474C55"/>
              </w:rPr>
              <w:t>1/5/2023</w:t>
            </w:r>
          </w:p>
        </w:tc>
        <w:tc>
          <w:tcPr>
            <w:tcW w:w="2260" w:type="dxa"/>
            <w:vAlign w:val="bottom"/>
          </w:tcPr>
          <w:p>
            <w:pPr>
              <w:jc w:val="right"/>
              <w:spacing w:after="0"/>
              <w:rPr>
                <w:sz w:val="20"/>
                <w:szCs w:val="20"/>
                <w:color w:val="auto"/>
              </w:rPr>
            </w:pPr>
            <w:r>
              <w:rPr>
                <w:rFonts w:ascii="Arial" w:cs="Arial" w:eastAsia="Arial" w:hAnsi="Arial"/>
                <w:sz w:val="13"/>
                <w:szCs w:val="13"/>
                <w:color w:val="auto"/>
              </w:rPr>
              <w:t>5,740</w:t>
            </w:r>
          </w:p>
        </w:tc>
        <w:tc>
          <w:tcPr>
            <w:tcW w:w="220" w:type="dxa"/>
            <w:vAlign w:val="bottom"/>
          </w:tcPr>
          <w:p>
            <w:pPr>
              <w:jc w:val="right"/>
              <w:ind w:right="110"/>
              <w:spacing w:after="0"/>
              <w:rPr>
                <w:sz w:val="20"/>
                <w:szCs w:val="20"/>
                <w:color w:val="auto"/>
              </w:rPr>
            </w:pPr>
            <w:r>
              <w:rPr>
                <w:rFonts w:ascii="Arial" w:cs="Arial" w:eastAsia="Arial" w:hAnsi="Arial"/>
                <w:sz w:val="10"/>
                <w:szCs w:val="10"/>
                <w:color w:val="333333"/>
                <w:w w:val="71"/>
              </w:rPr>
              <w:t>5</w:t>
            </w:r>
          </w:p>
        </w:tc>
        <w:tc>
          <w:tcPr>
            <w:tcW w:w="1920" w:type="dxa"/>
            <w:vAlign w:val="bottom"/>
          </w:tcPr>
          <w:p>
            <w:pPr>
              <w:jc w:val="right"/>
              <w:ind w:right="113"/>
              <w:spacing w:after="0"/>
              <w:rPr>
                <w:sz w:val="20"/>
                <w:szCs w:val="20"/>
                <w:color w:val="auto"/>
              </w:rPr>
            </w:pPr>
            <w:r>
              <w:rPr>
                <w:rFonts w:ascii="Arial" w:cs="Arial" w:eastAsia="Arial" w:hAnsi="Arial"/>
                <w:sz w:val="13"/>
                <w:szCs w:val="13"/>
                <w:color w:val="auto"/>
              </w:rPr>
              <w:t>185,459</w:t>
            </w:r>
          </w:p>
        </w:tc>
        <w:tc>
          <w:tcPr>
            <w:tcW w:w="2080" w:type="dxa"/>
            <w:vAlign w:val="bottom"/>
          </w:tcPr>
          <w:p>
            <w:pPr>
              <w:jc w:val="right"/>
              <w:spacing w:after="0"/>
              <w:rPr>
                <w:sz w:val="20"/>
                <w:szCs w:val="20"/>
                <w:color w:val="auto"/>
              </w:rPr>
            </w:pPr>
            <w:r>
              <w:rPr>
                <w:rFonts w:ascii="Arial" w:cs="Arial" w:eastAsia="Arial" w:hAnsi="Arial"/>
                <w:sz w:val="13"/>
                <w:szCs w:val="13"/>
                <w:color w:val="auto"/>
              </w:rPr>
              <w:t>6,257</w:t>
            </w:r>
          </w:p>
        </w:tc>
        <w:tc>
          <w:tcPr>
            <w:tcW w:w="240" w:type="dxa"/>
            <w:vAlign w:val="bottom"/>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tcPr>
          <w:p>
            <w:pPr>
              <w:jc w:val="right"/>
              <w:ind w:right="93"/>
              <w:spacing w:after="0"/>
              <w:rPr>
                <w:sz w:val="20"/>
                <w:szCs w:val="20"/>
                <w:color w:val="auto"/>
              </w:rPr>
            </w:pPr>
            <w:r>
              <w:rPr>
                <w:rFonts w:ascii="Arial" w:cs="Arial" w:eastAsia="Arial" w:hAnsi="Arial"/>
                <w:sz w:val="13"/>
                <w:szCs w:val="13"/>
                <w:color w:val="474C55"/>
              </w:rPr>
              <w:t>202,164</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3"/>
                <w:szCs w:val="13"/>
                <w:color w:val="474C55"/>
              </w:rPr>
              <w:t>1/4/2024</w:t>
            </w:r>
          </w:p>
        </w:tc>
        <w:tc>
          <w:tcPr>
            <w:tcW w:w="2260" w:type="dxa"/>
            <w:vAlign w:val="bottom"/>
          </w:tcPr>
          <w:p>
            <w:pPr>
              <w:jc w:val="right"/>
              <w:spacing w:after="0"/>
              <w:rPr>
                <w:sz w:val="20"/>
                <w:szCs w:val="20"/>
                <w:color w:val="auto"/>
              </w:rPr>
            </w:pPr>
            <w:r>
              <w:rPr>
                <w:rFonts w:ascii="Arial" w:cs="Arial" w:eastAsia="Arial" w:hAnsi="Arial"/>
                <w:sz w:val="13"/>
                <w:szCs w:val="13"/>
                <w:color w:val="auto"/>
              </w:rPr>
              <w:t>10,517</w:t>
            </w:r>
          </w:p>
        </w:tc>
        <w:tc>
          <w:tcPr>
            <w:tcW w:w="220" w:type="dxa"/>
            <w:vAlign w:val="bottom"/>
          </w:tcPr>
          <w:p>
            <w:pPr>
              <w:jc w:val="right"/>
              <w:ind w:right="110"/>
              <w:spacing w:after="0"/>
              <w:rPr>
                <w:sz w:val="20"/>
                <w:szCs w:val="20"/>
                <w:color w:val="auto"/>
              </w:rPr>
            </w:pPr>
            <w:r>
              <w:rPr>
                <w:rFonts w:ascii="Arial" w:cs="Arial" w:eastAsia="Arial" w:hAnsi="Arial"/>
                <w:sz w:val="10"/>
                <w:szCs w:val="10"/>
                <w:color w:val="333333"/>
                <w:w w:val="71"/>
              </w:rPr>
              <w:t>5</w:t>
            </w:r>
          </w:p>
        </w:tc>
        <w:tc>
          <w:tcPr>
            <w:tcW w:w="1920" w:type="dxa"/>
            <w:vAlign w:val="bottom"/>
          </w:tcPr>
          <w:p>
            <w:pPr>
              <w:jc w:val="right"/>
              <w:ind w:right="113"/>
              <w:spacing w:after="0"/>
              <w:rPr>
                <w:sz w:val="20"/>
                <w:szCs w:val="20"/>
                <w:color w:val="auto"/>
              </w:rPr>
            </w:pPr>
            <w:r>
              <w:rPr>
                <w:rFonts w:ascii="Arial" w:cs="Arial" w:eastAsia="Arial" w:hAnsi="Arial"/>
                <w:sz w:val="13"/>
                <w:szCs w:val="13"/>
                <w:color w:val="auto"/>
              </w:rPr>
              <w:t>339,804</w:t>
            </w:r>
          </w:p>
        </w:tc>
        <w:tc>
          <w:tcPr>
            <w:tcW w:w="2080" w:type="dxa"/>
            <w:vAlign w:val="bottom"/>
          </w:tcPr>
          <w:p>
            <w:pPr>
              <w:jc w:val="right"/>
              <w:spacing w:after="0"/>
              <w:rPr>
                <w:sz w:val="20"/>
                <w:szCs w:val="20"/>
                <w:color w:val="auto"/>
              </w:rPr>
            </w:pPr>
            <w:r>
              <w:rPr>
                <w:rFonts w:ascii="Arial" w:cs="Arial" w:eastAsia="Arial" w:hAnsi="Arial"/>
                <w:sz w:val="13"/>
                <w:szCs w:val="13"/>
                <w:color w:val="auto"/>
              </w:rPr>
              <w:t>9,752</w:t>
            </w:r>
          </w:p>
        </w:tc>
        <w:tc>
          <w:tcPr>
            <w:tcW w:w="240" w:type="dxa"/>
            <w:vAlign w:val="bottom"/>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tcPr>
          <w:p>
            <w:pPr>
              <w:jc w:val="right"/>
              <w:ind w:right="93"/>
              <w:spacing w:after="0"/>
              <w:rPr>
                <w:sz w:val="20"/>
                <w:szCs w:val="20"/>
                <w:color w:val="auto"/>
              </w:rPr>
            </w:pPr>
            <w:r>
              <w:rPr>
                <w:rFonts w:ascii="Arial" w:cs="Arial" w:eastAsia="Arial" w:hAnsi="Arial"/>
                <w:sz w:val="13"/>
                <w:szCs w:val="13"/>
                <w:color w:val="474C55"/>
              </w:rPr>
              <w:t>315,087</w:t>
            </w: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660" w:type="dxa"/>
            <w:vAlign w:val="bottom"/>
            <w:shd w:val="clear" w:color="auto" w:fill="E5E6E6"/>
          </w:tcPr>
          <w:p>
            <w:pPr>
              <w:ind w:left="80"/>
              <w:spacing w:after="0"/>
              <w:rPr>
                <w:sz w:val="20"/>
                <w:szCs w:val="20"/>
                <w:color w:val="auto"/>
              </w:rPr>
            </w:pPr>
            <w:r>
              <w:rPr>
                <w:rFonts w:ascii="Arial" w:cs="Arial" w:eastAsia="Arial" w:hAnsi="Arial"/>
                <w:sz w:val="13"/>
                <w:szCs w:val="13"/>
                <w:color w:val="474C55"/>
              </w:rPr>
              <w:t>Melinda Davis Lux</w:t>
            </w:r>
          </w:p>
        </w:tc>
        <w:tc>
          <w:tcPr>
            <w:tcW w:w="100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474C55"/>
              </w:rPr>
              <w:t>9/1/2020</w:t>
            </w:r>
          </w:p>
        </w:tc>
        <w:tc>
          <w:tcPr>
            <w:tcW w:w="2260" w:type="dxa"/>
            <w:vAlign w:val="bottom"/>
            <w:shd w:val="clear" w:color="auto" w:fill="E5E6E6"/>
          </w:tcPr>
          <w:p>
            <w:pPr>
              <w:jc w:val="right"/>
              <w:spacing w:after="0"/>
              <w:rPr>
                <w:sz w:val="20"/>
                <w:szCs w:val="20"/>
                <w:color w:val="auto"/>
              </w:rPr>
            </w:pPr>
            <w:r>
              <w:rPr>
                <w:rFonts w:ascii="Arial" w:cs="Arial" w:eastAsia="Arial" w:hAnsi="Arial"/>
                <w:sz w:val="13"/>
                <w:szCs w:val="13"/>
                <w:color w:val="auto"/>
              </w:rPr>
              <w:t>1,164</w:t>
            </w:r>
          </w:p>
        </w:tc>
        <w:tc>
          <w:tcPr>
            <w:tcW w:w="220" w:type="dxa"/>
            <w:vAlign w:val="bottom"/>
            <w:shd w:val="clear" w:color="auto" w:fill="E5E6E6"/>
          </w:tcPr>
          <w:p>
            <w:pPr>
              <w:jc w:val="right"/>
              <w:ind w:right="110"/>
              <w:spacing w:after="0"/>
              <w:rPr>
                <w:sz w:val="20"/>
                <w:szCs w:val="20"/>
                <w:color w:val="auto"/>
              </w:rPr>
            </w:pPr>
            <w:r>
              <w:rPr>
                <w:rFonts w:ascii="Arial" w:cs="Arial" w:eastAsia="Arial" w:hAnsi="Arial"/>
                <w:sz w:val="10"/>
                <w:szCs w:val="10"/>
                <w:color w:val="333333"/>
                <w:w w:val="71"/>
              </w:rPr>
              <w:t>3</w:t>
            </w:r>
          </w:p>
        </w:tc>
        <w:tc>
          <w:tcPr>
            <w:tcW w:w="1920" w:type="dxa"/>
            <w:vAlign w:val="bottom"/>
            <w:shd w:val="clear" w:color="auto" w:fill="E5E6E6"/>
          </w:tcPr>
          <w:p>
            <w:pPr>
              <w:jc w:val="right"/>
              <w:ind w:right="93"/>
              <w:spacing w:after="0"/>
              <w:rPr>
                <w:sz w:val="20"/>
                <w:szCs w:val="20"/>
                <w:color w:val="auto"/>
              </w:rPr>
            </w:pPr>
            <w:r>
              <w:rPr>
                <w:rFonts w:ascii="Arial" w:cs="Arial" w:eastAsia="Arial" w:hAnsi="Arial"/>
                <w:sz w:val="13"/>
                <w:szCs w:val="13"/>
                <w:color w:val="auto"/>
              </w:rPr>
              <w:t>37,609</w:t>
            </w:r>
          </w:p>
        </w:tc>
        <w:tc>
          <w:tcPr>
            <w:tcW w:w="2080" w:type="dxa"/>
            <w:vAlign w:val="bottom"/>
            <w:shd w:val="clear" w:color="auto" w:fill="E5E6E6"/>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5E6E6"/>
          </w:tcPr>
          <w:p>
            <w:pPr>
              <w:spacing w:after="0"/>
              <w:rPr>
                <w:sz w:val="18"/>
                <w:szCs w:val="18"/>
                <w:color w:val="auto"/>
              </w:rPr>
            </w:pPr>
          </w:p>
        </w:tc>
        <w:tc>
          <w:tcPr>
            <w:tcW w:w="1860" w:type="dxa"/>
            <w:vAlign w:val="bottom"/>
            <w:shd w:val="clear" w:color="auto" w:fill="E5E6E6"/>
          </w:tcPr>
          <w:p>
            <w:pPr>
              <w:jc w:val="right"/>
              <w:ind w:right="93"/>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250"/>
        </w:trPr>
        <w:tc>
          <w:tcPr>
            <w:tcW w:w="1660" w:type="dxa"/>
            <w:vAlign w:val="bottom"/>
            <w:shd w:val="clear" w:color="auto" w:fill="E5E6E6"/>
          </w:tcPr>
          <w:p>
            <w:pPr>
              <w:spacing w:after="0"/>
              <w:rPr>
                <w:sz w:val="21"/>
                <w:szCs w:val="21"/>
                <w:color w:val="auto"/>
              </w:rPr>
            </w:pPr>
          </w:p>
        </w:tc>
        <w:tc>
          <w:tcPr>
            <w:tcW w:w="100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474C55"/>
              </w:rPr>
              <w:t>9/1/2021</w:t>
            </w:r>
          </w:p>
        </w:tc>
        <w:tc>
          <w:tcPr>
            <w:tcW w:w="2260" w:type="dxa"/>
            <w:vAlign w:val="bottom"/>
            <w:shd w:val="clear" w:color="auto" w:fill="E5E6E6"/>
          </w:tcPr>
          <w:p>
            <w:pPr>
              <w:jc w:val="right"/>
              <w:spacing w:after="0"/>
              <w:rPr>
                <w:sz w:val="20"/>
                <w:szCs w:val="20"/>
                <w:color w:val="auto"/>
              </w:rPr>
            </w:pPr>
            <w:r>
              <w:rPr>
                <w:rFonts w:ascii="Arial" w:cs="Arial" w:eastAsia="Arial" w:hAnsi="Arial"/>
                <w:sz w:val="13"/>
                <w:szCs w:val="13"/>
                <w:color w:val="auto"/>
              </w:rPr>
              <w:t>1,405</w:t>
            </w:r>
          </w:p>
        </w:tc>
        <w:tc>
          <w:tcPr>
            <w:tcW w:w="220" w:type="dxa"/>
            <w:vAlign w:val="bottom"/>
            <w:shd w:val="clear" w:color="auto" w:fill="E5E6E6"/>
          </w:tcPr>
          <w:p>
            <w:pPr>
              <w:jc w:val="right"/>
              <w:ind w:right="110"/>
              <w:spacing w:after="0"/>
              <w:rPr>
                <w:sz w:val="20"/>
                <w:szCs w:val="20"/>
                <w:color w:val="auto"/>
              </w:rPr>
            </w:pPr>
            <w:r>
              <w:rPr>
                <w:rFonts w:ascii="Arial" w:cs="Arial" w:eastAsia="Arial" w:hAnsi="Arial"/>
                <w:sz w:val="10"/>
                <w:szCs w:val="10"/>
                <w:color w:val="333333"/>
                <w:w w:val="71"/>
              </w:rPr>
              <w:t>4</w:t>
            </w:r>
          </w:p>
        </w:tc>
        <w:tc>
          <w:tcPr>
            <w:tcW w:w="1920" w:type="dxa"/>
            <w:vAlign w:val="bottom"/>
            <w:shd w:val="clear" w:color="auto" w:fill="E5E6E6"/>
          </w:tcPr>
          <w:p>
            <w:pPr>
              <w:jc w:val="right"/>
              <w:ind w:right="93"/>
              <w:spacing w:after="0"/>
              <w:rPr>
                <w:sz w:val="20"/>
                <w:szCs w:val="20"/>
                <w:color w:val="auto"/>
              </w:rPr>
            </w:pPr>
            <w:r>
              <w:rPr>
                <w:rFonts w:ascii="Arial" w:cs="Arial" w:eastAsia="Arial" w:hAnsi="Arial"/>
                <w:sz w:val="13"/>
                <w:szCs w:val="13"/>
                <w:color w:val="auto"/>
              </w:rPr>
              <w:t>45,396</w:t>
            </w:r>
          </w:p>
        </w:tc>
        <w:tc>
          <w:tcPr>
            <w:tcW w:w="2080" w:type="dxa"/>
            <w:vAlign w:val="bottom"/>
            <w:shd w:val="clear" w:color="auto" w:fill="E5E6E6"/>
          </w:tcPr>
          <w:p>
            <w:pPr>
              <w:jc w:val="right"/>
              <w:spacing w:after="0"/>
              <w:rPr>
                <w:sz w:val="20"/>
                <w:szCs w:val="20"/>
                <w:color w:val="auto"/>
              </w:rPr>
            </w:pPr>
            <w:r>
              <w:rPr>
                <w:rFonts w:ascii="Arial" w:cs="Arial" w:eastAsia="Arial" w:hAnsi="Arial"/>
                <w:sz w:val="13"/>
                <w:szCs w:val="13"/>
                <w:color w:val="auto"/>
              </w:rPr>
              <w:t>1,422</w:t>
            </w:r>
          </w:p>
        </w:tc>
        <w:tc>
          <w:tcPr>
            <w:tcW w:w="240" w:type="dxa"/>
            <w:vAlign w:val="bottom"/>
            <w:shd w:val="clear" w:color="auto" w:fill="E5E6E6"/>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shd w:val="clear" w:color="auto" w:fill="E5E6E6"/>
          </w:tcPr>
          <w:p>
            <w:pPr>
              <w:jc w:val="right"/>
              <w:ind w:right="93"/>
              <w:spacing w:after="0"/>
              <w:rPr>
                <w:sz w:val="20"/>
                <w:szCs w:val="20"/>
                <w:color w:val="auto"/>
              </w:rPr>
            </w:pPr>
            <w:r>
              <w:rPr>
                <w:rFonts w:ascii="Arial" w:cs="Arial" w:eastAsia="Arial" w:hAnsi="Arial"/>
                <w:sz w:val="13"/>
                <w:szCs w:val="13"/>
                <w:color w:val="auto"/>
              </w:rPr>
              <w:t>45,945</w:t>
            </w:r>
          </w:p>
        </w:tc>
        <w:tc>
          <w:tcPr>
            <w:tcW w:w="0" w:type="dxa"/>
            <w:vAlign w:val="bottom"/>
          </w:tcPr>
          <w:p>
            <w:pPr>
              <w:spacing w:after="0"/>
              <w:rPr>
                <w:sz w:val="1"/>
                <w:szCs w:val="1"/>
                <w:color w:val="auto"/>
              </w:rPr>
            </w:pPr>
          </w:p>
        </w:tc>
      </w:tr>
      <w:tr>
        <w:trPr>
          <w:trHeight w:val="250"/>
        </w:trPr>
        <w:tc>
          <w:tcPr>
            <w:tcW w:w="1660" w:type="dxa"/>
            <w:vAlign w:val="bottom"/>
            <w:shd w:val="clear" w:color="auto" w:fill="E5E6E6"/>
          </w:tcPr>
          <w:p>
            <w:pPr>
              <w:spacing w:after="0"/>
              <w:rPr>
                <w:sz w:val="21"/>
                <w:szCs w:val="21"/>
                <w:color w:val="auto"/>
              </w:rPr>
            </w:pPr>
          </w:p>
        </w:tc>
        <w:tc>
          <w:tcPr>
            <w:tcW w:w="100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474C55"/>
              </w:rPr>
              <w:t>1/5/2023</w:t>
            </w:r>
          </w:p>
        </w:tc>
        <w:tc>
          <w:tcPr>
            <w:tcW w:w="2260" w:type="dxa"/>
            <w:vAlign w:val="bottom"/>
            <w:shd w:val="clear" w:color="auto" w:fill="E5E6E6"/>
          </w:tcPr>
          <w:p>
            <w:pPr>
              <w:jc w:val="right"/>
              <w:spacing w:after="0"/>
              <w:rPr>
                <w:sz w:val="20"/>
                <w:szCs w:val="20"/>
                <w:color w:val="auto"/>
              </w:rPr>
            </w:pPr>
            <w:r>
              <w:rPr>
                <w:rFonts w:ascii="Arial" w:cs="Arial" w:eastAsia="Arial" w:hAnsi="Arial"/>
                <w:sz w:val="13"/>
                <w:szCs w:val="13"/>
                <w:color w:val="auto"/>
              </w:rPr>
              <w:t>3,228</w:t>
            </w:r>
          </w:p>
        </w:tc>
        <w:tc>
          <w:tcPr>
            <w:tcW w:w="220" w:type="dxa"/>
            <w:vAlign w:val="bottom"/>
            <w:shd w:val="clear" w:color="auto" w:fill="E5E6E6"/>
          </w:tcPr>
          <w:p>
            <w:pPr>
              <w:jc w:val="right"/>
              <w:ind w:right="110"/>
              <w:spacing w:after="0"/>
              <w:rPr>
                <w:sz w:val="20"/>
                <w:szCs w:val="20"/>
                <w:color w:val="auto"/>
              </w:rPr>
            </w:pPr>
            <w:r>
              <w:rPr>
                <w:rFonts w:ascii="Arial" w:cs="Arial" w:eastAsia="Arial" w:hAnsi="Arial"/>
                <w:sz w:val="10"/>
                <w:szCs w:val="10"/>
                <w:color w:val="333333"/>
                <w:w w:val="71"/>
              </w:rPr>
              <w:t>5</w:t>
            </w:r>
          </w:p>
        </w:tc>
        <w:tc>
          <w:tcPr>
            <w:tcW w:w="192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auto"/>
              </w:rPr>
              <w:t>104,297</w:t>
            </w:r>
          </w:p>
        </w:tc>
        <w:tc>
          <w:tcPr>
            <w:tcW w:w="2080" w:type="dxa"/>
            <w:vAlign w:val="bottom"/>
            <w:shd w:val="clear" w:color="auto" w:fill="E5E6E6"/>
          </w:tcPr>
          <w:p>
            <w:pPr>
              <w:jc w:val="right"/>
              <w:spacing w:after="0"/>
              <w:rPr>
                <w:sz w:val="20"/>
                <w:szCs w:val="20"/>
                <w:color w:val="auto"/>
              </w:rPr>
            </w:pPr>
            <w:r>
              <w:rPr>
                <w:rFonts w:ascii="Arial" w:cs="Arial" w:eastAsia="Arial" w:hAnsi="Arial"/>
                <w:sz w:val="13"/>
                <w:szCs w:val="13"/>
                <w:color w:val="auto"/>
              </w:rPr>
              <w:t>3,520</w:t>
            </w:r>
          </w:p>
        </w:tc>
        <w:tc>
          <w:tcPr>
            <w:tcW w:w="240" w:type="dxa"/>
            <w:vAlign w:val="bottom"/>
            <w:shd w:val="clear" w:color="auto" w:fill="E5E6E6"/>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shd w:val="clear" w:color="auto" w:fill="E5E6E6"/>
          </w:tcPr>
          <w:p>
            <w:pPr>
              <w:jc w:val="right"/>
              <w:ind w:right="93"/>
              <w:spacing w:after="0"/>
              <w:rPr>
                <w:sz w:val="20"/>
                <w:szCs w:val="20"/>
                <w:color w:val="auto"/>
              </w:rPr>
            </w:pPr>
            <w:r>
              <w:rPr>
                <w:rFonts w:ascii="Arial" w:cs="Arial" w:eastAsia="Arial" w:hAnsi="Arial"/>
                <w:sz w:val="13"/>
                <w:szCs w:val="13"/>
                <w:color w:val="auto"/>
              </w:rPr>
              <w:t>113,731</w:t>
            </w:r>
          </w:p>
        </w:tc>
        <w:tc>
          <w:tcPr>
            <w:tcW w:w="0" w:type="dxa"/>
            <w:vAlign w:val="bottom"/>
          </w:tcPr>
          <w:p>
            <w:pPr>
              <w:spacing w:after="0"/>
              <w:rPr>
                <w:sz w:val="1"/>
                <w:szCs w:val="1"/>
                <w:color w:val="auto"/>
              </w:rPr>
            </w:pPr>
          </w:p>
        </w:tc>
      </w:tr>
      <w:tr>
        <w:trPr>
          <w:trHeight w:val="263"/>
        </w:trPr>
        <w:tc>
          <w:tcPr>
            <w:tcW w:w="1660" w:type="dxa"/>
            <w:vAlign w:val="bottom"/>
            <w:tcBorders>
              <w:bottom w:val="single" w:sz="8" w:color="E5E6E6"/>
            </w:tcBorders>
            <w:shd w:val="clear" w:color="auto" w:fill="E5E6E6"/>
          </w:tcPr>
          <w:p>
            <w:pPr>
              <w:spacing w:after="0"/>
              <w:rPr>
                <w:sz w:val="22"/>
                <w:szCs w:val="22"/>
                <w:color w:val="auto"/>
              </w:rPr>
            </w:pPr>
          </w:p>
        </w:tc>
        <w:tc>
          <w:tcPr>
            <w:tcW w:w="1000" w:type="dxa"/>
            <w:vAlign w:val="bottom"/>
            <w:tcBorders>
              <w:bottom w:val="single" w:sz="8" w:color="E5E6E6"/>
            </w:tcBorders>
            <w:shd w:val="clear" w:color="auto" w:fill="E5E6E6"/>
          </w:tcPr>
          <w:p>
            <w:pPr>
              <w:jc w:val="right"/>
              <w:ind w:right="113"/>
              <w:spacing w:after="0"/>
              <w:rPr>
                <w:sz w:val="20"/>
                <w:szCs w:val="20"/>
                <w:color w:val="auto"/>
              </w:rPr>
            </w:pPr>
            <w:r>
              <w:rPr>
                <w:rFonts w:ascii="Arial" w:cs="Arial" w:eastAsia="Arial" w:hAnsi="Arial"/>
                <w:sz w:val="13"/>
                <w:szCs w:val="13"/>
                <w:color w:val="474C55"/>
              </w:rPr>
              <w:t>1/4/2024</w:t>
            </w:r>
          </w:p>
        </w:tc>
        <w:tc>
          <w:tcPr>
            <w:tcW w:w="226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auto"/>
              </w:rPr>
              <w:t>7,993</w:t>
            </w:r>
          </w:p>
        </w:tc>
        <w:tc>
          <w:tcPr>
            <w:tcW w:w="220" w:type="dxa"/>
            <w:vAlign w:val="bottom"/>
            <w:tcBorders>
              <w:bottom w:val="single" w:sz="8" w:color="E5E6E6"/>
            </w:tcBorders>
            <w:shd w:val="clear" w:color="auto" w:fill="E5E6E6"/>
          </w:tcPr>
          <w:p>
            <w:pPr>
              <w:jc w:val="right"/>
              <w:ind w:right="110"/>
              <w:spacing w:after="0"/>
              <w:rPr>
                <w:sz w:val="20"/>
                <w:szCs w:val="20"/>
                <w:color w:val="auto"/>
              </w:rPr>
            </w:pPr>
            <w:r>
              <w:rPr>
                <w:rFonts w:ascii="Arial" w:cs="Arial" w:eastAsia="Arial" w:hAnsi="Arial"/>
                <w:sz w:val="10"/>
                <w:szCs w:val="10"/>
                <w:color w:val="333333"/>
                <w:w w:val="71"/>
              </w:rPr>
              <w:t>5</w:t>
            </w:r>
          </w:p>
        </w:tc>
        <w:tc>
          <w:tcPr>
            <w:tcW w:w="1920" w:type="dxa"/>
            <w:vAlign w:val="bottom"/>
            <w:tcBorders>
              <w:bottom w:val="single" w:sz="8" w:color="E5E6E6"/>
            </w:tcBorders>
            <w:shd w:val="clear" w:color="auto" w:fill="E5E6E6"/>
          </w:tcPr>
          <w:p>
            <w:pPr>
              <w:jc w:val="right"/>
              <w:ind w:right="113"/>
              <w:spacing w:after="0"/>
              <w:rPr>
                <w:sz w:val="20"/>
                <w:szCs w:val="20"/>
                <w:color w:val="auto"/>
              </w:rPr>
            </w:pPr>
            <w:r>
              <w:rPr>
                <w:rFonts w:ascii="Arial" w:cs="Arial" w:eastAsia="Arial" w:hAnsi="Arial"/>
                <w:sz w:val="13"/>
                <w:szCs w:val="13"/>
                <w:color w:val="auto"/>
              </w:rPr>
              <w:t>258,254</w:t>
            </w:r>
          </w:p>
        </w:tc>
        <w:tc>
          <w:tcPr>
            <w:tcW w:w="2080" w:type="dxa"/>
            <w:vAlign w:val="bottom"/>
            <w:tcBorders>
              <w:bottom w:val="single" w:sz="8" w:color="E5E6E6"/>
            </w:tcBorders>
            <w:shd w:val="clear" w:color="auto" w:fill="E5E6E6"/>
          </w:tcPr>
          <w:p>
            <w:pPr>
              <w:jc w:val="right"/>
              <w:spacing w:after="0"/>
              <w:rPr>
                <w:sz w:val="20"/>
                <w:szCs w:val="20"/>
                <w:color w:val="auto"/>
              </w:rPr>
            </w:pPr>
            <w:r>
              <w:rPr>
                <w:rFonts w:ascii="Arial" w:cs="Arial" w:eastAsia="Arial" w:hAnsi="Arial"/>
                <w:sz w:val="13"/>
                <w:szCs w:val="13"/>
                <w:color w:val="auto"/>
              </w:rPr>
              <w:t>7,412</w:t>
            </w:r>
          </w:p>
        </w:tc>
        <w:tc>
          <w:tcPr>
            <w:tcW w:w="240" w:type="dxa"/>
            <w:vAlign w:val="bottom"/>
            <w:tcBorders>
              <w:bottom w:val="single" w:sz="8" w:color="E5E6E6"/>
            </w:tcBorders>
            <w:shd w:val="clear" w:color="auto" w:fill="E5E6E6"/>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tcBorders>
              <w:bottom w:val="single" w:sz="8" w:color="E5E6E6"/>
            </w:tcBorders>
            <w:shd w:val="clear" w:color="auto" w:fill="E5E6E6"/>
          </w:tcPr>
          <w:p>
            <w:pPr>
              <w:jc w:val="right"/>
              <w:ind w:right="93"/>
              <w:spacing w:after="0"/>
              <w:rPr>
                <w:sz w:val="20"/>
                <w:szCs w:val="20"/>
                <w:color w:val="auto"/>
              </w:rPr>
            </w:pPr>
            <w:r>
              <w:rPr>
                <w:rFonts w:ascii="Arial" w:cs="Arial" w:eastAsia="Arial" w:hAnsi="Arial"/>
                <w:sz w:val="13"/>
                <w:szCs w:val="13"/>
                <w:color w:val="474C55"/>
              </w:rPr>
              <w:t>239,482</w:t>
            </w:r>
          </w:p>
        </w:tc>
        <w:tc>
          <w:tcPr>
            <w:tcW w:w="0" w:type="dxa"/>
            <w:vAlign w:val="bottom"/>
          </w:tcPr>
          <w:p>
            <w:pPr>
              <w:spacing w:after="0"/>
              <w:rPr>
                <w:sz w:val="1"/>
                <w:szCs w:val="1"/>
                <w:color w:val="auto"/>
              </w:rPr>
            </w:pPr>
          </w:p>
        </w:tc>
      </w:tr>
      <w:tr>
        <w:trPr>
          <w:trHeight w:val="217"/>
        </w:trPr>
        <w:tc>
          <w:tcPr>
            <w:tcW w:w="1660" w:type="dxa"/>
            <w:vAlign w:val="bottom"/>
          </w:tcPr>
          <w:p>
            <w:pPr>
              <w:ind w:left="80"/>
              <w:spacing w:after="0"/>
              <w:rPr>
                <w:sz w:val="20"/>
                <w:szCs w:val="20"/>
                <w:color w:val="auto"/>
              </w:rPr>
            </w:pPr>
            <w:r>
              <w:rPr>
                <w:rFonts w:ascii="Arial" w:cs="Arial" w:eastAsia="Arial" w:hAnsi="Arial"/>
                <w:sz w:val="13"/>
                <w:szCs w:val="13"/>
                <w:color w:val="474C55"/>
              </w:rPr>
              <w:t>Robert A. Edwards</w:t>
            </w:r>
          </w:p>
        </w:tc>
        <w:tc>
          <w:tcPr>
            <w:tcW w:w="1000" w:type="dxa"/>
            <w:vAlign w:val="bottom"/>
          </w:tcPr>
          <w:p>
            <w:pPr>
              <w:jc w:val="right"/>
              <w:ind w:right="113"/>
              <w:spacing w:after="0"/>
              <w:rPr>
                <w:sz w:val="20"/>
                <w:szCs w:val="20"/>
                <w:color w:val="auto"/>
              </w:rPr>
            </w:pPr>
            <w:r>
              <w:rPr>
                <w:rFonts w:ascii="Arial" w:cs="Arial" w:eastAsia="Arial" w:hAnsi="Arial"/>
                <w:sz w:val="13"/>
                <w:szCs w:val="13"/>
                <w:color w:val="474C55"/>
              </w:rPr>
              <w:t>9/1/2020</w:t>
            </w:r>
          </w:p>
        </w:tc>
        <w:tc>
          <w:tcPr>
            <w:tcW w:w="2260" w:type="dxa"/>
            <w:vAlign w:val="bottom"/>
          </w:tcPr>
          <w:p>
            <w:pPr>
              <w:jc w:val="right"/>
              <w:spacing w:after="0"/>
              <w:rPr>
                <w:sz w:val="20"/>
                <w:szCs w:val="20"/>
                <w:color w:val="auto"/>
              </w:rPr>
            </w:pPr>
            <w:r>
              <w:rPr>
                <w:rFonts w:ascii="Arial" w:cs="Arial" w:eastAsia="Arial" w:hAnsi="Arial"/>
                <w:sz w:val="13"/>
                <w:szCs w:val="13"/>
                <w:color w:val="auto"/>
              </w:rPr>
              <w:t>1,379</w:t>
            </w:r>
          </w:p>
        </w:tc>
        <w:tc>
          <w:tcPr>
            <w:tcW w:w="220" w:type="dxa"/>
            <w:vAlign w:val="bottom"/>
          </w:tcPr>
          <w:p>
            <w:pPr>
              <w:jc w:val="right"/>
              <w:ind w:right="110"/>
              <w:spacing w:after="0"/>
              <w:rPr>
                <w:sz w:val="20"/>
                <w:szCs w:val="20"/>
                <w:color w:val="auto"/>
              </w:rPr>
            </w:pPr>
            <w:r>
              <w:rPr>
                <w:rFonts w:ascii="Arial" w:cs="Arial" w:eastAsia="Arial" w:hAnsi="Arial"/>
                <w:sz w:val="10"/>
                <w:szCs w:val="10"/>
                <w:color w:val="333333"/>
                <w:w w:val="71"/>
              </w:rPr>
              <w:t>3</w:t>
            </w:r>
          </w:p>
        </w:tc>
        <w:tc>
          <w:tcPr>
            <w:tcW w:w="1920" w:type="dxa"/>
            <w:vAlign w:val="bottom"/>
          </w:tcPr>
          <w:p>
            <w:pPr>
              <w:jc w:val="right"/>
              <w:ind w:right="93"/>
              <w:spacing w:after="0"/>
              <w:rPr>
                <w:sz w:val="20"/>
                <w:szCs w:val="20"/>
                <w:color w:val="auto"/>
              </w:rPr>
            </w:pPr>
            <w:r>
              <w:rPr>
                <w:rFonts w:ascii="Arial" w:cs="Arial" w:eastAsia="Arial" w:hAnsi="Arial"/>
                <w:sz w:val="13"/>
                <w:szCs w:val="13"/>
                <w:color w:val="auto"/>
              </w:rPr>
              <w:t>44,555</w:t>
            </w:r>
          </w:p>
        </w:tc>
        <w:tc>
          <w:tcPr>
            <w:tcW w:w="20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860" w:type="dxa"/>
            <w:vAlign w:val="bottom"/>
          </w:tcPr>
          <w:p>
            <w:pPr>
              <w:jc w:val="right"/>
              <w:ind w:right="93"/>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3"/>
                <w:szCs w:val="13"/>
                <w:color w:val="474C55"/>
              </w:rPr>
              <w:t>9/1/2021</w:t>
            </w:r>
          </w:p>
        </w:tc>
        <w:tc>
          <w:tcPr>
            <w:tcW w:w="2260" w:type="dxa"/>
            <w:vAlign w:val="bottom"/>
          </w:tcPr>
          <w:p>
            <w:pPr>
              <w:jc w:val="right"/>
              <w:spacing w:after="0"/>
              <w:rPr>
                <w:sz w:val="20"/>
                <w:szCs w:val="20"/>
                <w:color w:val="auto"/>
              </w:rPr>
            </w:pPr>
            <w:r>
              <w:rPr>
                <w:rFonts w:ascii="Arial" w:cs="Arial" w:eastAsia="Arial" w:hAnsi="Arial"/>
                <w:sz w:val="13"/>
                <w:szCs w:val="13"/>
                <w:color w:val="auto"/>
              </w:rPr>
              <w:t>1,606</w:t>
            </w:r>
          </w:p>
        </w:tc>
        <w:tc>
          <w:tcPr>
            <w:tcW w:w="220" w:type="dxa"/>
            <w:vAlign w:val="bottom"/>
          </w:tcPr>
          <w:p>
            <w:pPr>
              <w:jc w:val="right"/>
              <w:ind w:right="110"/>
              <w:spacing w:after="0"/>
              <w:rPr>
                <w:sz w:val="20"/>
                <w:szCs w:val="20"/>
                <w:color w:val="auto"/>
              </w:rPr>
            </w:pPr>
            <w:r>
              <w:rPr>
                <w:rFonts w:ascii="Arial" w:cs="Arial" w:eastAsia="Arial" w:hAnsi="Arial"/>
                <w:sz w:val="10"/>
                <w:szCs w:val="10"/>
                <w:color w:val="333333"/>
                <w:w w:val="71"/>
              </w:rPr>
              <w:t>4</w:t>
            </w:r>
          </w:p>
        </w:tc>
        <w:tc>
          <w:tcPr>
            <w:tcW w:w="1920" w:type="dxa"/>
            <w:vAlign w:val="bottom"/>
          </w:tcPr>
          <w:p>
            <w:pPr>
              <w:jc w:val="right"/>
              <w:ind w:right="93"/>
              <w:spacing w:after="0"/>
              <w:rPr>
                <w:sz w:val="20"/>
                <w:szCs w:val="20"/>
                <w:color w:val="auto"/>
              </w:rPr>
            </w:pPr>
            <w:r>
              <w:rPr>
                <w:rFonts w:ascii="Arial" w:cs="Arial" w:eastAsia="Arial" w:hAnsi="Arial"/>
                <w:sz w:val="13"/>
                <w:szCs w:val="13"/>
                <w:color w:val="auto"/>
              </w:rPr>
              <w:t>51,890</w:t>
            </w:r>
          </w:p>
        </w:tc>
        <w:tc>
          <w:tcPr>
            <w:tcW w:w="2080" w:type="dxa"/>
            <w:vAlign w:val="bottom"/>
          </w:tcPr>
          <w:p>
            <w:pPr>
              <w:jc w:val="right"/>
              <w:spacing w:after="0"/>
              <w:rPr>
                <w:sz w:val="20"/>
                <w:szCs w:val="20"/>
                <w:color w:val="auto"/>
              </w:rPr>
            </w:pPr>
            <w:r>
              <w:rPr>
                <w:rFonts w:ascii="Arial" w:cs="Arial" w:eastAsia="Arial" w:hAnsi="Arial"/>
                <w:sz w:val="13"/>
                <w:szCs w:val="13"/>
                <w:color w:val="auto"/>
              </w:rPr>
              <w:t>1,625</w:t>
            </w:r>
          </w:p>
        </w:tc>
        <w:tc>
          <w:tcPr>
            <w:tcW w:w="240" w:type="dxa"/>
            <w:vAlign w:val="bottom"/>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tcPr>
          <w:p>
            <w:pPr>
              <w:jc w:val="right"/>
              <w:ind w:right="93"/>
              <w:spacing w:after="0"/>
              <w:rPr>
                <w:sz w:val="20"/>
                <w:szCs w:val="20"/>
                <w:color w:val="auto"/>
              </w:rPr>
            </w:pPr>
            <w:r>
              <w:rPr>
                <w:rFonts w:ascii="Arial" w:cs="Arial" w:eastAsia="Arial" w:hAnsi="Arial"/>
                <w:sz w:val="13"/>
                <w:szCs w:val="13"/>
                <w:color w:val="474C55"/>
              </w:rPr>
              <w:t>52,504</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3"/>
                <w:szCs w:val="13"/>
                <w:color w:val="auto"/>
              </w:rPr>
              <w:t>1/5/2023</w:t>
            </w:r>
          </w:p>
        </w:tc>
        <w:tc>
          <w:tcPr>
            <w:tcW w:w="2260" w:type="dxa"/>
            <w:vAlign w:val="bottom"/>
          </w:tcPr>
          <w:p>
            <w:pPr>
              <w:jc w:val="right"/>
              <w:spacing w:after="0"/>
              <w:rPr>
                <w:sz w:val="20"/>
                <w:szCs w:val="20"/>
                <w:color w:val="auto"/>
              </w:rPr>
            </w:pPr>
            <w:r>
              <w:rPr>
                <w:rFonts w:ascii="Arial" w:cs="Arial" w:eastAsia="Arial" w:hAnsi="Arial"/>
                <w:sz w:val="13"/>
                <w:szCs w:val="13"/>
                <w:color w:val="auto"/>
              </w:rPr>
              <w:t>3,228</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5</w:t>
            </w:r>
          </w:p>
        </w:tc>
        <w:tc>
          <w:tcPr>
            <w:tcW w:w="1920" w:type="dxa"/>
            <w:vAlign w:val="bottom"/>
          </w:tcPr>
          <w:p>
            <w:pPr>
              <w:jc w:val="right"/>
              <w:ind w:right="113"/>
              <w:spacing w:after="0"/>
              <w:rPr>
                <w:sz w:val="20"/>
                <w:szCs w:val="20"/>
                <w:color w:val="auto"/>
              </w:rPr>
            </w:pPr>
            <w:r>
              <w:rPr>
                <w:rFonts w:ascii="Arial" w:cs="Arial" w:eastAsia="Arial" w:hAnsi="Arial"/>
                <w:sz w:val="13"/>
                <w:szCs w:val="13"/>
                <w:color w:val="auto"/>
              </w:rPr>
              <w:t>104,297</w:t>
            </w:r>
          </w:p>
        </w:tc>
        <w:tc>
          <w:tcPr>
            <w:tcW w:w="2080" w:type="dxa"/>
            <w:vAlign w:val="bottom"/>
          </w:tcPr>
          <w:p>
            <w:pPr>
              <w:jc w:val="right"/>
              <w:spacing w:after="0"/>
              <w:rPr>
                <w:sz w:val="20"/>
                <w:szCs w:val="20"/>
                <w:color w:val="auto"/>
              </w:rPr>
            </w:pPr>
            <w:r>
              <w:rPr>
                <w:rFonts w:ascii="Arial" w:cs="Arial" w:eastAsia="Arial" w:hAnsi="Arial"/>
                <w:sz w:val="13"/>
                <w:szCs w:val="13"/>
                <w:color w:val="auto"/>
              </w:rPr>
              <w:t>3,520</w:t>
            </w:r>
          </w:p>
        </w:tc>
        <w:tc>
          <w:tcPr>
            <w:tcW w:w="240" w:type="dxa"/>
            <w:vAlign w:val="bottom"/>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tcPr>
          <w:p>
            <w:pPr>
              <w:jc w:val="right"/>
              <w:ind w:right="93"/>
              <w:spacing w:after="0"/>
              <w:rPr>
                <w:sz w:val="20"/>
                <w:szCs w:val="20"/>
                <w:color w:val="auto"/>
              </w:rPr>
            </w:pPr>
            <w:r>
              <w:rPr>
                <w:rFonts w:ascii="Arial" w:cs="Arial" w:eastAsia="Arial" w:hAnsi="Arial"/>
                <w:sz w:val="13"/>
                <w:szCs w:val="13"/>
                <w:color w:val="auto"/>
              </w:rPr>
              <w:t>113,731</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3"/>
                <w:szCs w:val="13"/>
                <w:color w:val="474C55"/>
              </w:rPr>
              <w:t>1/4/2024</w:t>
            </w:r>
          </w:p>
        </w:tc>
        <w:tc>
          <w:tcPr>
            <w:tcW w:w="2260" w:type="dxa"/>
            <w:vAlign w:val="bottom"/>
          </w:tcPr>
          <w:p>
            <w:pPr>
              <w:jc w:val="right"/>
              <w:spacing w:after="0"/>
              <w:rPr>
                <w:sz w:val="20"/>
                <w:szCs w:val="20"/>
                <w:color w:val="auto"/>
              </w:rPr>
            </w:pPr>
            <w:r>
              <w:rPr>
                <w:rFonts w:ascii="Arial" w:cs="Arial" w:eastAsia="Arial" w:hAnsi="Arial"/>
                <w:sz w:val="13"/>
                <w:szCs w:val="13"/>
                <w:color w:val="auto"/>
              </w:rPr>
              <w:t>5,868</w:t>
            </w:r>
          </w:p>
        </w:tc>
        <w:tc>
          <w:tcPr>
            <w:tcW w:w="220" w:type="dxa"/>
            <w:vAlign w:val="bottom"/>
          </w:tcPr>
          <w:p>
            <w:pPr>
              <w:jc w:val="right"/>
              <w:ind w:right="110"/>
              <w:spacing w:after="0"/>
              <w:rPr>
                <w:sz w:val="20"/>
                <w:szCs w:val="20"/>
                <w:color w:val="auto"/>
              </w:rPr>
            </w:pPr>
            <w:r>
              <w:rPr>
                <w:rFonts w:ascii="Arial" w:cs="Arial" w:eastAsia="Arial" w:hAnsi="Arial"/>
                <w:sz w:val="10"/>
                <w:szCs w:val="10"/>
                <w:color w:val="333333"/>
                <w:w w:val="71"/>
              </w:rPr>
              <w:t>5</w:t>
            </w:r>
          </w:p>
        </w:tc>
        <w:tc>
          <w:tcPr>
            <w:tcW w:w="1920" w:type="dxa"/>
            <w:vAlign w:val="bottom"/>
          </w:tcPr>
          <w:p>
            <w:pPr>
              <w:jc w:val="right"/>
              <w:ind w:right="113"/>
              <w:spacing w:after="0"/>
              <w:rPr>
                <w:sz w:val="20"/>
                <w:szCs w:val="20"/>
                <w:color w:val="auto"/>
              </w:rPr>
            </w:pPr>
            <w:r>
              <w:rPr>
                <w:rFonts w:ascii="Arial" w:cs="Arial" w:eastAsia="Arial" w:hAnsi="Arial"/>
                <w:sz w:val="13"/>
                <w:szCs w:val="13"/>
                <w:color w:val="auto"/>
              </w:rPr>
              <w:t>189,595</w:t>
            </w:r>
          </w:p>
        </w:tc>
        <w:tc>
          <w:tcPr>
            <w:tcW w:w="2080" w:type="dxa"/>
            <w:vAlign w:val="bottom"/>
          </w:tcPr>
          <w:p>
            <w:pPr>
              <w:jc w:val="right"/>
              <w:spacing w:after="0"/>
              <w:rPr>
                <w:sz w:val="20"/>
                <w:szCs w:val="20"/>
                <w:color w:val="auto"/>
              </w:rPr>
            </w:pPr>
            <w:r>
              <w:rPr>
                <w:rFonts w:ascii="Arial" w:cs="Arial" w:eastAsia="Arial" w:hAnsi="Arial"/>
                <w:sz w:val="13"/>
                <w:szCs w:val="13"/>
                <w:color w:val="auto"/>
              </w:rPr>
              <w:t>5,442</w:t>
            </w:r>
          </w:p>
        </w:tc>
        <w:tc>
          <w:tcPr>
            <w:tcW w:w="240" w:type="dxa"/>
            <w:vAlign w:val="bottom"/>
          </w:tcPr>
          <w:p>
            <w:pPr>
              <w:jc w:val="right"/>
              <w:ind w:right="104"/>
              <w:spacing w:after="0"/>
              <w:rPr>
                <w:sz w:val="20"/>
                <w:szCs w:val="20"/>
                <w:color w:val="auto"/>
              </w:rPr>
            </w:pPr>
            <w:r>
              <w:rPr>
                <w:rFonts w:ascii="Arial" w:cs="Arial" w:eastAsia="Arial" w:hAnsi="Arial"/>
                <w:sz w:val="11"/>
                <w:szCs w:val="11"/>
                <w:color w:val="333333"/>
                <w:w w:val="97"/>
              </w:rPr>
              <w:t>6</w:t>
            </w:r>
          </w:p>
        </w:tc>
        <w:tc>
          <w:tcPr>
            <w:tcW w:w="1860" w:type="dxa"/>
            <w:vAlign w:val="bottom"/>
          </w:tcPr>
          <w:p>
            <w:pPr>
              <w:jc w:val="right"/>
              <w:ind w:right="93"/>
              <w:spacing w:after="0"/>
              <w:rPr>
                <w:sz w:val="20"/>
                <w:szCs w:val="20"/>
                <w:color w:val="auto"/>
              </w:rPr>
            </w:pPr>
            <w:r>
              <w:rPr>
                <w:rFonts w:ascii="Arial" w:cs="Arial" w:eastAsia="Arial" w:hAnsi="Arial"/>
                <w:sz w:val="13"/>
                <w:szCs w:val="13"/>
                <w:color w:val="474C55"/>
              </w:rPr>
              <w:t>175,831</w:t>
            </w:r>
          </w:p>
        </w:tc>
        <w:tc>
          <w:tcPr>
            <w:tcW w:w="0" w:type="dxa"/>
            <w:vAlign w:val="bottom"/>
          </w:tcPr>
          <w:p>
            <w:pPr>
              <w:spacing w:after="0"/>
              <w:rPr>
                <w:sz w:val="1"/>
                <w:szCs w:val="1"/>
                <w:color w:val="auto"/>
              </w:rPr>
            </w:pPr>
          </w:p>
        </w:tc>
      </w:tr>
      <w:tr>
        <w:trPr>
          <w:trHeight w:val="33"/>
        </w:trPr>
        <w:tc>
          <w:tcPr>
            <w:tcW w:w="1660" w:type="dxa"/>
            <w:vAlign w:val="bottom"/>
            <w:tcBorders>
              <w:bottom w:val="single" w:sz="8" w:color="E5E6E6"/>
            </w:tcBorders>
          </w:tcPr>
          <w:p>
            <w:pPr>
              <w:spacing w:after="0"/>
              <w:rPr>
                <w:sz w:val="2"/>
                <w:szCs w:val="2"/>
                <w:color w:val="auto"/>
              </w:rPr>
            </w:pPr>
          </w:p>
        </w:tc>
        <w:tc>
          <w:tcPr>
            <w:tcW w:w="1000" w:type="dxa"/>
            <w:vAlign w:val="bottom"/>
            <w:tcBorders>
              <w:bottom w:val="single" w:sz="8" w:color="E5E6E6"/>
            </w:tcBorders>
          </w:tcPr>
          <w:p>
            <w:pPr>
              <w:spacing w:after="0"/>
              <w:rPr>
                <w:sz w:val="2"/>
                <w:szCs w:val="2"/>
                <w:color w:val="auto"/>
              </w:rPr>
            </w:pPr>
          </w:p>
        </w:tc>
        <w:tc>
          <w:tcPr>
            <w:tcW w:w="2260" w:type="dxa"/>
            <w:vAlign w:val="bottom"/>
            <w:tcBorders>
              <w:bottom w:val="single" w:sz="8" w:color="E5E6E6"/>
            </w:tcBorders>
          </w:tcPr>
          <w:p>
            <w:pPr>
              <w:spacing w:after="0"/>
              <w:rPr>
                <w:sz w:val="2"/>
                <w:szCs w:val="2"/>
                <w:color w:val="auto"/>
              </w:rPr>
            </w:pPr>
          </w:p>
        </w:tc>
        <w:tc>
          <w:tcPr>
            <w:tcW w:w="220" w:type="dxa"/>
            <w:vAlign w:val="bottom"/>
            <w:tcBorders>
              <w:bottom w:val="single" w:sz="8" w:color="E5E6E6"/>
            </w:tcBorders>
          </w:tcPr>
          <w:p>
            <w:pPr>
              <w:spacing w:after="0"/>
              <w:rPr>
                <w:sz w:val="2"/>
                <w:szCs w:val="2"/>
                <w:color w:val="auto"/>
              </w:rPr>
            </w:pPr>
          </w:p>
        </w:tc>
        <w:tc>
          <w:tcPr>
            <w:tcW w:w="1920" w:type="dxa"/>
            <w:vAlign w:val="bottom"/>
            <w:tcBorders>
              <w:bottom w:val="single" w:sz="8" w:color="E5E6E6"/>
            </w:tcBorders>
          </w:tcPr>
          <w:p>
            <w:pPr>
              <w:spacing w:after="0"/>
              <w:rPr>
                <w:sz w:val="2"/>
                <w:szCs w:val="2"/>
                <w:color w:val="auto"/>
              </w:rPr>
            </w:pPr>
          </w:p>
        </w:tc>
        <w:tc>
          <w:tcPr>
            <w:tcW w:w="2080" w:type="dxa"/>
            <w:vAlign w:val="bottom"/>
            <w:tcBorders>
              <w:bottom w:val="single" w:sz="8" w:color="E5E6E6"/>
            </w:tcBorders>
          </w:tcPr>
          <w:p>
            <w:pPr>
              <w:spacing w:after="0"/>
              <w:rPr>
                <w:sz w:val="2"/>
                <w:szCs w:val="2"/>
                <w:color w:val="auto"/>
              </w:rPr>
            </w:pPr>
          </w:p>
        </w:tc>
        <w:tc>
          <w:tcPr>
            <w:tcW w:w="240" w:type="dxa"/>
            <w:vAlign w:val="bottom"/>
            <w:tcBorders>
              <w:bottom w:val="single" w:sz="8" w:color="E5E6E6"/>
            </w:tcBorders>
          </w:tcPr>
          <w:p>
            <w:pPr>
              <w:spacing w:after="0"/>
              <w:rPr>
                <w:sz w:val="2"/>
                <w:szCs w:val="2"/>
                <w:color w:val="auto"/>
              </w:rPr>
            </w:pPr>
          </w:p>
        </w:tc>
        <w:tc>
          <w:tcPr>
            <w:tcW w:w="1860" w:type="dxa"/>
            <w:vAlign w:val="bottom"/>
            <w:tcBorders>
              <w:bottom w:val="single" w:sz="8" w:color="E5E6E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-3630295</wp:posOffset>
            </wp:positionV>
            <wp:extent cx="8255" cy="4451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-3630295</wp:posOffset>
            </wp:positionV>
            <wp:extent cx="8255" cy="4451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-3630295</wp:posOffset>
            </wp:positionV>
            <wp:extent cx="8255" cy="4451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-3630295</wp:posOffset>
            </wp:positionV>
            <wp:extent cx="8255" cy="4451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1056640</wp:posOffset>
            </wp:positionH>
            <wp:positionV relativeFrom="paragraph">
              <wp:posOffset>-3630295</wp:posOffset>
            </wp:positionV>
            <wp:extent cx="8255" cy="4451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445135"/>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-3796665</wp:posOffset>
            </wp:positionV>
            <wp:extent cx="26612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52" w:lineRule="exact"/>
        <w:rPr>
          <w:sz w:val="20"/>
          <w:szCs w:val="20"/>
          <w:color w:val="auto"/>
        </w:rPr>
      </w:pPr>
    </w:p>
    <w:p>
      <w:pPr>
        <w:ind w:left="380" w:hanging="305"/>
        <w:spacing w:after="0"/>
        <w:tabs>
          <w:tab w:leader="none" w:pos="380" w:val="left"/>
        </w:tabs>
        <w:numPr>
          <w:ilvl w:val="0"/>
          <w:numId w:val="47"/>
        </w:numPr>
        <w:rPr>
          <w:rFonts w:ascii="Arial" w:cs="Arial" w:eastAsia="Arial" w:hAnsi="Arial"/>
          <w:sz w:val="22"/>
          <w:szCs w:val="22"/>
          <w:color w:val="474C55"/>
          <w:vertAlign w:val="superscript"/>
        </w:rPr>
      </w:pPr>
      <w:r>
        <w:rPr>
          <w:rFonts w:ascii="Arial" w:cs="Arial" w:eastAsia="Arial" w:hAnsi="Arial"/>
          <w:sz w:val="13"/>
          <w:szCs w:val="13"/>
          <w:color w:val="474C55"/>
        </w:rPr>
        <w:t>Computed by multiplying the number of units by the closing market price of one share of our common stock on December 31, 2024 as reported by the New York Stock Exchange.</w:t>
      </w:r>
    </w:p>
    <w:p>
      <w:pPr>
        <w:ind w:left="380" w:right="100" w:hanging="305"/>
        <w:spacing w:after="0" w:line="184" w:lineRule="auto"/>
        <w:tabs>
          <w:tab w:leader="none" w:pos="380" w:val="left"/>
        </w:tabs>
        <w:numPr>
          <w:ilvl w:val="0"/>
          <w:numId w:val="48"/>
        </w:numPr>
        <w:rPr>
          <w:rFonts w:ascii="Arial" w:cs="Arial" w:eastAsia="Arial" w:hAnsi="Arial"/>
          <w:sz w:val="21"/>
          <w:szCs w:val="21"/>
          <w:color w:val="474C55"/>
          <w:vertAlign w:val="superscript"/>
        </w:rPr>
      </w:pPr>
      <w:r>
        <w:rPr>
          <w:rFonts w:ascii="Arial" w:cs="Arial" w:eastAsia="Arial" w:hAnsi="Arial"/>
          <w:sz w:val="13"/>
          <w:szCs w:val="13"/>
          <w:color w:val="474C55"/>
        </w:rPr>
        <w:t>Represents PRSUs that are subject to the achievement of pre-established performance targets and the NEO’s continued service through the vesting date. Any PRSUs that vest will be converted to shares of our common stock on a one-for-one basis. PRSUs that do not vest will be forfeited.</w:t>
      </w:r>
    </w:p>
    <w:p>
      <w:pPr>
        <w:spacing w:after="0" w:line="1" w:lineRule="exact"/>
        <w:rPr>
          <w:sz w:val="20"/>
          <w:szCs w:val="20"/>
          <w:color w:val="auto"/>
        </w:rPr>
      </w:pPr>
    </w:p>
    <w:p>
      <w:pPr>
        <w:jc w:val="both"/>
        <w:ind w:left="380" w:right="300" w:hanging="305"/>
        <w:spacing w:after="0" w:line="195" w:lineRule="auto"/>
        <w:tabs>
          <w:tab w:leader="none" w:pos="380" w:val="left"/>
        </w:tabs>
        <w:numPr>
          <w:ilvl w:val="0"/>
          <w:numId w:val="49"/>
        </w:numPr>
        <w:rPr>
          <w:rFonts w:ascii="Arial" w:cs="Arial" w:eastAsia="Arial" w:hAnsi="Arial"/>
          <w:sz w:val="22"/>
          <w:szCs w:val="22"/>
          <w:color w:val="474C55"/>
          <w:vertAlign w:val="superscript"/>
        </w:rPr>
      </w:pPr>
      <w:r>
        <w:rPr>
          <w:rFonts w:ascii="Arial" w:cs="Arial" w:eastAsia="Arial" w:hAnsi="Arial"/>
          <w:sz w:val="13"/>
          <w:szCs w:val="13"/>
          <w:color w:val="474C55"/>
        </w:rPr>
        <w:t>Includes the unvested portion of PRSUs relative to the 2024 performance period which were earned as of December 31, 2024 and vested on February 15, 2025. These PRSUs are earned based on our return on average assets for the applicable performance period relative to the designated peer group of companies as adjusted by the total shareholder return modifier. Relative to the 2024 performance period, PRSUs were earned (and are included) at 0.62x the number of units granted.</w:t>
      </w:r>
    </w:p>
    <w:p>
      <w:pPr>
        <w:spacing w:after="0" w:line="2" w:lineRule="exact"/>
        <w:rPr>
          <w:sz w:val="20"/>
          <w:szCs w:val="20"/>
          <w:color w:val="auto"/>
        </w:rPr>
      </w:pPr>
    </w:p>
    <w:p>
      <w:pPr>
        <w:ind w:left="380" w:right="40" w:hanging="305"/>
        <w:spacing w:after="0" w:line="181" w:lineRule="auto"/>
        <w:tabs>
          <w:tab w:leader="none" w:pos="380" w:val="left"/>
        </w:tabs>
        <w:numPr>
          <w:ilvl w:val="0"/>
          <w:numId w:val="50"/>
        </w:numPr>
        <w:rPr>
          <w:rFonts w:ascii="Arial" w:cs="Arial" w:eastAsia="Arial" w:hAnsi="Arial"/>
          <w:sz w:val="22"/>
          <w:szCs w:val="22"/>
          <w:color w:val="474C55"/>
          <w:vertAlign w:val="superscript"/>
        </w:rPr>
      </w:pPr>
      <w:r>
        <w:rPr>
          <w:rFonts w:ascii="Arial" w:cs="Arial" w:eastAsia="Arial" w:hAnsi="Arial"/>
          <w:sz w:val="13"/>
          <w:szCs w:val="13"/>
          <w:color w:val="474C55"/>
        </w:rPr>
        <w:t>Includes the unvested portion of TRSUs with a vesting schedule of 25% per year on each of the first four anniversaries of the grant date (with the exception of the first vesting date which may have been advanced one quarter to comply with Section 409A of the Code) as well as a portion of the PRSUs relative to the 2024 performance period which were earned as</w:t>
      </w:r>
    </w:p>
    <w:p>
      <w:pPr>
        <w:spacing w:after="0" w:line="2" w:lineRule="exact"/>
        <w:rPr>
          <w:sz w:val="20"/>
          <w:szCs w:val="20"/>
          <w:color w:val="auto"/>
        </w:rPr>
      </w:pPr>
    </w:p>
    <w:p>
      <w:pPr>
        <w:ind w:left="380" w:right="80"/>
        <w:spacing w:after="0" w:line="238" w:lineRule="auto"/>
        <w:rPr>
          <w:sz w:val="20"/>
          <w:szCs w:val="20"/>
          <w:color w:val="auto"/>
        </w:rPr>
      </w:pPr>
      <w:r>
        <w:rPr>
          <w:rFonts w:ascii="Arial" w:cs="Arial" w:eastAsia="Arial" w:hAnsi="Arial"/>
          <w:sz w:val="13"/>
          <w:szCs w:val="13"/>
          <w:color w:val="474C55"/>
        </w:rPr>
        <w:t>of December 31, 2024 and vested on February 15, 2025. These PRSUs are earned based on our return on average assets for the applicable performance period relative to the designated peer group of companies as adjusted by the total shareholder return modifier. Relative to the 2024 performance period, PRSUs were earned (and are included) at 0.56x the number of units granted.</w:t>
      </w:r>
    </w:p>
    <w:p>
      <w:pPr>
        <w:spacing w:after="0" w:line="1" w:lineRule="exact"/>
        <w:rPr>
          <w:sz w:val="20"/>
          <w:szCs w:val="20"/>
          <w:color w:val="auto"/>
        </w:rPr>
      </w:pPr>
    </w:p>
    <w:p>
      <w:pPr>
        <w:ind w:left="380" w:right="20" w:hanging="305"/>
        <w:spacing w:after="0" w:line="181" w:lineRule="auto"/>
        <w:tabs>
          <w:tab w:leader="none" w:pos="380" w:val="left"/>
        </w:tabs>
        <w:numPr>
          <w:ilvl w:val="0"/>
          <w:numId w:val="51"/>
        </w:numPr>
        <w:rPr>
          <w:rFonts w:ascii="Arial" w:cs="Arial" w:eastAsia="Arial" w:hAnsi="Arial"/>
          <w:sz w:val="22"/>
          <w:szCs w:val="22"/>
          <w:color w:val="474C55"/>
          <w:vertAlign w:val="superscript"/>
        </w:rPr>
      </w:pPr>
      <w:r>
        <w:rPr>
          <w:rFonts w:ascii="Arial" w:cs="Arial" w:eastAsia="Arial" w:hAnsi="Arial"/>
          <w:sz w:val="13"/>
          <w:szCs w:val="13"/>
          <w:color w:val="474C55"/>
        </w:rPr>
        <w:t>Includes the unvested portion of TRSUs with a vesting schedule of 25% per year on each of the first four anniversaries of the grant date as well as a portion of the PRSUs relative to the 2024 performance period which were earned as of December 31, 2024 and vested on February 15, 2025. These PRSUs are earned based on our return on average assets for the</w:t>
      </w:r>
    </w:p>
    <w:p>
      <w:pPr>
        <w:spacing w:after="0" w:line="2" w:lineRule="exact"/>
        <w:rPr>
          <w:sz w:val="20"/>
          <w:szCs w:val="20"/>
          <w:color w:val="auto"/>
        </w:rPr>
      </w:pPr>
    </w:p>
    <w:p>
      <w:pPr>
        <w:ind w:left="380" w:right="20"/>
        <w:spacing w:after="0" w:line="237" w:lineRule="auto"/>
        <w:rPr>
          <w:sz w:val="20"/>
          <w:szCs w:val="20"/>
          <w:color w:val="auto"/>
        </w:rPr>
      </w:pPr>
      <w:r>
        <w:rPr>
          <w:rFonts w:ascii="Arial" w:cs="Arial" w:eastAsia="Arial" w:hAnsi="Arial"/>
          <w:sz w:val="13"/>
          <w:szCs w:val="13"/>
          <w:color w:val="474C55"/>
        </w:rPr>
        <w:t>applicable performance period relative to the designated peer group of companies as adjusted by the total shareholder return modifier. Relative to the 2024 performance period, PRSUs were earned (and are included) at 0.54x the number of units granted.</w:t>
      </w:r>
    </w:p>
    <w:p>
      <w:pPr>
        <w:ind w:left="380" w:right="180" w:hanging="305"/>
        <w:spacing w:after="0" w:line="203" w:lineRule="auto"/>
        <w:tabs>
          <w:tab w:leader="none" w:pos="380" w:val="left"/>
        </w:tabs>
        <w:numPr>
          <w:ilvl w:val="0"/>
          <w:numId w:val="52"/>
        </w:numPr>
        <w:rPr>
          <w:rFonts w:ascii="Arial" w:cs="Arial" w:eastAsia="Arial" w:hAnsi="Arial"/>
          <w:sz w:val="22"/>
          <w:szCs w:val="22"/>
          <w:color w:val="474C55"/>
          <w:vertAlign w:val="superscript"/>
        </w:rPr>
      </w:pPr>
      <w:r>
        <w:rPr>
          <w:rFonts w:ascii="Arial" w:cs="Arial" w:eastAsia="Arial" w:hAnsi="Arial"/>
          <w:sz w:val="13"/>
          <w:szCs w:val="13"/>
          <w:color w:val="474C55"/>
        </w:rPr>
        <w:t>Includes a portion of PRSUs relative to future performance periods which were unearned as of December 31, 2024. These PRSUs are earned based on our return on average assets for the applicable performance period relative to the designated peer group of companies as adjusted by the total shareholder return modifier. The number of PRSUs reported in this column assumes achievement at the target level (1.0x the number of units granted) for the performance criteria.</w:t>
      </w:r>
    </w:p>
    <w:p>
      <w:pPr>
        <w:spacing w:after="0" w:line="30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24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54" w:name="page55"/>
    <w:bookmarkEnd w:id="54"/>
    <w:p>
      <w:pPr>
        <w:spacing w:after="0"/>
        <w:rPr>
          <w:sz w:val="20"/>
          <w:szCs w:val="20"/>
          <w:color w:val="auto"/>
        </w:rPr>
      </w:pPr>
      <w:r>
        <w:rPr>
          <w:rFonts w:ascii="Arial" w:cs="Arial" w:eastAsia="Arial" w:hAnsi="Arial"/>
          <w:sz w:val="23"/>
          <w:szCs w:val="23"/>
          <w:b w:val="1"/>
          <w:bCs w:val="1"/>
          <w:color w:val="017AB5"/>
        </w:rPr>
        <w:t>Stock Vested</w:t>
      </w:r>
    </w:p>
    <w:p>
      <w:pPr>
        <w:spacing w:after="0" w:line="204" w:lineRule="exact"/>
        <w:rPr>
          <w:sz w:val="20"/>
          <w:szCs w:val="20"/>
          <w:color w:val="auto"/>
        </w:rPr>
      </w:pPr>
    </w:p>
    <w:p>
      <w:pPr>
        <w:ind w:right="360"/>
        <w:spacing w:after="0" w:line="261" w:lineRule="auto"/>
        <w:rPr>
          <w:sz w:val="20"/>
          <w:szCs w:val="20"/>
          <w:color w:val="auto"/>
        </w:rPr>
      </w:pPr>
      <w:r>
        <w:rPr>
          <w:rFonts w:ascii="Arial" w:cs="Arial" w:eastAsia="Arial" w:hAnsi="Arial"/>
          <w:sz w:val="17"/>
          <w:szCs w:val="17"/>
          <w:color w:val="474C55"/>
        </w:rPr>
        <w:t>The following table sets forth the value realized upon the vesting and settlement of restricted stock units for the NEOs during 2024. Certain columns specified for this table by Item 402(g) of Regulation S-K have been omitted because they were not applicable.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20" w:type="dxa"/>
            <w:vAlign w:val="bottom"/>
          </w:tcPr>
          <w:p>
            <w:pPr>
              <w:spacing w:after="0"/>
              <w:rPr>
                <w:sz w:val="17"/>
                <w:szCs w:val="17"/>
                <w:color w:val="auto"/>
              </w:rPr>
            </w:pPr>
          </w:p>
        </w:tc>
        <w:tc>
          <w:tcPr>
            <w:tcW w:w="3040" w:type="dxa"/>
            <w:vAlign w:val="bottom"/>
            <w:gridSpan w:val="2"/>
            <w:shd w:val="clear" w:color="auto" w:fill="E5E6E6"/>
          </w:tcPr>
          <w:p>
            <w:pPr>
              <w:jc w:val="right"/>
              <w:ind w:right="1053"/>
              <w:spacing w:after="0"/>
              <w:rPr>
                <w:sz w:val="20"/>
                <w:szCs w:val="20"/>
                <w:color w:val="auto"/>
              </w:rPr>
            </w:pPr>
            <w:r>
              <w:rPr>
                <w:rFonts w:ascii="Arial" w:cs="Arial" w:eastAsia="Arial" w:hAnsi="Arial"/>
                <w:sz w:val="13"/>
                <w:szCs w:val="13"/>
                <w:color w:val="auto"/>
              </w:rPr>
              <w:t>Stock Awards</w:t>
            </w:r>
          </w:p>
        </w:tc>
        <w:tc>
          <w:tcPr>
            <w:tcW w:w="0" w:type="dxa"/>
            <w:vAlign w:val="bottom"/>
          </w:tcPr>
          <w:p>
            <w:pPr>
              <w:spacing w:after="0"/>
              <w:rPr>
                <w:sz w:val="1"/>
                <w:szCs w:val="1"/>
                <w:color w:val="auto"/>
              </w:rPr>
            </w:pPr>
          </w:p>
        </w:tc>
      </w:tr>
      <w:tr>
        <w:trPr>
          <w:trHeight w:val="170"/>
        </w:trPr>
        <w:tc>
          <w:tcPr>
            <w:tcW w:w="2020" w:type="dxa"/>
            <w:vAlign w:val="bottom"/>
            <w:shd w:val="clear" w:color="auto" w:fill="1077A9"/>
          </w:tcPr>
          <w:p>
            <w:pPr>
              <w:spacing w:after="0"/>
              <w:rPr>
                <w:sz w:val="14"/>
                <w:szCs w:val="14"/>
                <w:color w:val="auto"/>
              </w:rPr>
            </w:pPr>
          </w:p>
        </w:tc>
        <w:tc>
          <w:tcPr>
            <w:tcW w:w="1540" w:type="dxa"/>
            <w:vAlign w:val="bottom"/>
            <w:shd w:val="clear" w:color="auto" w:fill="1077A9"/>
          </w:tcPr>
          <w:p>
            <w:pPr>
              <w:jc w:val="center"/>
              <w:spacing w:after="0"/>
              <w:rPr>
                <w:sz w:val="20"/>
                <w:szCs w:val="20"/>
                <w:color w:val="auto"/>
              </w:rPr>
            </w:pPr>
            <w:r>
              <w:rPr>
                <w:rFonts w:ascii="Arial" w:cs="Arial" w:eastAsia="Arial" w:hAnsi="Arial"/>
                <w:sz w:val="13"/>
                <w:szCs w:val="13"/>
                <w:color w:val="FFFFFF"/>
              </w:rPr>
              <w:t>Number of Shares</w:t>
            </w:r>
          </w:p>
        </w:tc>
        <w:tc>
          <w:tcPr>
            <w:tcW w:w="1500" w:type="dxa"/>
            <w:vAlign w:val="bottom"/>
            <w:vMerge w:val="restart"/>
            <w:shd w:val="clear" w:color="auto" w:fill="1077A9"/>
          </w:tcPr>
          <w:p>
            <w:pPr>
              <w:jc w:val="right"/>
              <w:ind w:right="173"/>
              <w:spacing w:after="0"/>
              <w:rPr>
                <w:sz w:val="20"/>
                <w:szCs w:val="20"/>
                <w:color w:val="auto"/>
              </w:rPr>
            </w:pPr>
            <w:r>
              <w:rPr>
                <w:rFonts w:ascii="Arial" w:cs="Arial" w:eastAsia="Arial" w:hAnsi="Arial"/>
                <w:sz w:val="13"/>
                <w:szCs w:val="13"/>
                <w:color w:val="FFFFFF"/>
              </w:rPr>
              <w:t>Value Realized on</w:t>
            </w:r>
          </w:p>
        </w:tc>
        <w:tc>
          <w:tcPr>
            <w:tcW w:w="0" w:type="dxa"/>
            <w:vAlign w:val="bottom"/>
          </w:tcPr>
          <w:p>
            <w:pPr>
              <w:spacing w:after="0"/>
              <w:rPr>
                <w:sz w:val="1"/>
                <w:szCs w:val="1"/>
                <w:color w:val="auto"/>
              </w:rPr>
            </w:pPr>
          </w:p>
        </w:tc>
      </w:tr>
      <w:tr>
        <w:trPr>
          <w:trHeight w:val="133"/>
        </w:trPr>
        <w:tc>
          <w:tcPr>
            <w:tcW w:w="2020" w:type="dxa"/>
            <w:vAlign w:val="bottom"/>
            <w:shd w:val="clear" w:color="auto" w:fill="1077A9"/>
          </w:tcPr>
          <w:p>
            <w:pPr>
              <w:ind w:left="80"/>
              <w:spacing w:after="0" w:line="133" w:lineRule="exact"/>
              <w:rPr>
                <w:sz w:val="20"/>
                <w:szCs w:val="20"/>
                <w:color w:val="auto"/>
              </w:rPr>
            </w:pPr>
            <w:r>
              <w:rPr>
                <w:rFonts w:ascii="Arial" w:cs="Arial" w:eastAsia="Arial" w:hAnsi="Arial"/>
                <w:sz w:val="13"/>
                <w:szCs w:val="13"/>
                <w:color w:val="FFFFFF"/>
              </w:rPr>
              <w:t>Name</w:t>
            </w:r>
          </w:p>
        </w:tc>
        <w:tc>
          <w:tcPr>
            <w:tcW w:w="1540" w:type="dxa"/>
            <w:vAlign w:val="bottom"/>
            <w:shd w:val="clear" w:color="auto" w:fill="1077A9"/>
          </w:tcPr>
          <w:p>
            <w:pPr>
              <w:jc w:val="center"/>
              <w:spacing w:after="0" w:line="133" w:lineRule="exact"/>
              <w:rPr>
                <w:sz w:val="20"/>
                <w:szCs w:val="20"/>
                <w:color w:val="auto"/>
              </w:rPr>
            </w:pPr>
            <w:r>
              <w:rPr>
                <w:rFonts w:ascii="Arial" w:cs="Arial" w:eastAsia="Arial" w:hAnsi="Arial"/>
                <w:sz w:val="13"/>
                <w:szCs w:val="13"/>
                <w:color w:val="FFFFFF"/>
              </w:rPr>
              <w:t>Acquired on Vesting</w:t>
            </w:r>
          </w:p>
        </w:tc>
        <w:tc>
          <w:tcPr>
            <w:tcW w:w="1500" w:type="dxa"/>
            <w:vAlign w:val="bottom"/>
            <w:vMerge w:val="continue"/>
            <w:shd w:val="clear" w:color="auto" w:fill="1077A9"/>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20" w:type="dxa"/>
            <w:vAlign w:val="bottom"/>
            <w:shd w:val="clear" w:color="auto" w:fill="1077A9"/>
          </w:tcPr>
          <w:p>
            <w:pPr>
              <w:spacing w:after="0"/>
              <w:rPr>
                <w:sz w:val="17"/>
                <w:szCs w:val="17"/>
                <w:color w:val="auto"/>
              </w:rPr>
            </w:pPr>
          </w:p>
        </w:tc>
        <w:tc>
          <w:tcPr>
            <w:tcW w:w="1540" w:type="dxa"/>
            <w:vAlign w:val="bottom"/>
            <w:shd w:val="clear" w:color="auto" w:fill="1077A9"/>
          </w:tcPr>
          <w:p>
            <w:pPr>
              <w:jc w:val="center"/>
              <w:spacing w:after="0"/>
              <w:rPr>
                <w:sz w:val="20"/>
                <w:szCs w:val="20"/>
                <w:color w:val="auto"/>
              </w:rPr>
            </w:pPr>
            <w:r>
              <w:rPr>
                <w:rFonts w:ascii="Arial" w:cs="Arial" w:eastAsia="Arial" w:hAnsi="Arial"/>
                <w:sz w:val="13"/>
                <w:szCs w:val="13"/>
                <w:color w:val="FFFFFF"/>
              </w:rPr>
              <w:t>(#)</w:t>
            </w:r>
          </w:p>
        </w:tc>
        <w:tc>
          <w:tcPr>
            <w:tcW w:w="1500" w:type="dxa"/>
            <w:vAlign w:val="bottom"/>
            <w:shd w:val="clear" w:color="auto" w:fill="1077A9"/>
          </w:tcPr>
          <w:p>
            <w:pPr>
              <w:jc w:val="right"/>
              <w:ind w:right="333"/>
              <w:spacing w:after="0" w:line="200" w:lineRule="exact"/>
              <w:rPr>
                <w:sz w:val="20"/>
                <w:szCs w:val="20"/>
                <w:color w:val="auto"/>
              </w:rPr>
            </w:pPr>
            <w:r>
              <w:rPr>
                <w:rFonts w:ascii="Arial" w:cs="Arial" w:eastAsia="Arial" w:hAnsi="Arial"/>
                <w:sz w:val="13"/>
                <w:szCs w:val="13"/>
                <w:color w:val="FFFFFF"/>
              </w:rPr>
              <w:t>Vesting ($)</w:t>
            </w:r>
            <w:r>
              <w:rPr>
                <w:rFonts w:ascii="Arial" w:cs="Arial" w:eastAsia="Arial" w:hAnsi="Arial"/>
                <w:sz w:val="22"/>
                <w:szCs w:val="22"/>
                <w:color w:val="FFFFFF"/>
                <w:vertAlign w:val="superscript"/>
              </w:rPr>
              <w:t>1</w:t>
            </w:r>
          </w:p>
        </w:tc>
        <w:tc>
          <w:tcPr>
            <w:tcW w:w="0" w:type="dxa"/>
            <w:vAlign w:val="bottom"/>
          </w:tcPr>
          <w:p>
            <w:pPr>
              <w:spacing w:after="0"/>
              <w:rPr>
                <w:sz w:val="1"/>
                <w:szCs w:val="1"/>
                <w:color w:val="auto"/>
              </w:rPr>
            </w:pPr>
          </w:p>
        </w:tc>
      </w:tr>
      <w:tr>
        <w:trPr>
          <w:trHeight w:val="196"/>
        </w:trPr>
        <w:tc>
          <w:tcPr>
            <w:tcW w:w="2020" w:type="dxa"/>
            <w:vAlign w:val="bottom"/>
          </w:tcPr>
          <w:p>
            <w:pPr>
              <w:ind w:left="80"/>
              <w:spacing w:after="0"/>
              <w:rPr>
                <w:sz w:val="20"/>
                <w:szCs w:val="20"/>
                <w:color w:val="auto"/>
              </w:rPr>
            </w:pPr>
            <w:r>
              <w:rPr>
                <w:rFonts w:ascii="Arial" w:cs="Arial" w:eastAsia="Arial" w:hAnsi="Arial"/>
                <w:sz w:val="13"/>
                <w:szCs w:val="13"/>
                <w:color w:val="auto"/>
              </w:rPr>
              <w:t>H. Lynn Harton</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22,605</w:t>
            </w:r>
          </w:p>
        </w:tc>
        <w:tc>
          <w:tcPr>
            <w:tcW w:w="1500" w:type="dxa"/>
            <w:vAlign w:val="bottom"/>
          </w:tcPr>
          <w:p>
            <w:pPr>
              <w:jc w:val="right"/>
              <w:ind w:right="113"/>
              <w:spacing w:after="0"/>
              <w:rPr>
                <w:sz w:val="20"/>
                <w:szCs w:val="20"/>
                <w:color w:val="auto"/>
              </w:rPr>
            </w:pPr>
            <w:r>
              <w:rPr>
                <w:rFonts w:ascii="Arial" w:cs="Arial" w:eastAsia="Arial" w:hAnsi="Arial"/>
                <w:sz w:val="13"/>
                <w:szCs w:val="13"/>
                <w:color w:val="auto"/>
              </w:rPr>
              <w:t>$ 635,651</w:t>
            </w:r>
          </w:p>
        </w:tc>
        <w:tc>
          <w:tcPr>
            <w:tcW w:w="0" w:type="dxa"/>
            <w:vAlign w:val="bottom"/>
          </w:tcPr>
          <w:p>
            <w:pPr>
              <w:spacing w:after="0"/>
              <w:rPr>
                <w:sz w:val="1"/>
                <w:szCs w:val="1"/>
                <w:color w:val="auto"/>
              </w:rPr>
            </w:pPr>
          </w:p>
        </w:tc>
      </w:tr>
      <w:tr>
        <w:trPr>
          <w:trHeight w:val="204"/>
        </w:trPr>
        <w:tc>
          <w:tcPr>
            <w:tcW w:w="2020" w:type="dxa"/>
            <w:vAlign w:val="bottom"/>
            <w:shd w:val="clear" w:color="auto" w:fill="E5E6E6"/>
          </w:tcPr>
          <w:p>
            <w:pPr>
              <w:ind w:left="80"/>
              <w:spacing w:after="0"/>
              <w:rPr>
                <w:sz w:val="20"/>
                <w:szCs w:val="20"/>
                <w:color w:val="auto"/>
              </w:rPr>
            </w:pPr>
            <w:r>
              <w:rPr>
                <w:rFonts w:ascii="Arial" w:cs="Arial" w:eastAsia="Arial" w:hAnsi="Arial"/>
                <w:sz w:val="13"/>
                <w:szCs w:val="13"/>
                <w:color w:val="auto"/>
              </w:rPr>
              <w:t>Jefferson L. Harralson</w:t>
            </w:r>
          </w:p>
        </w:tc>
        <w:tc>
          <w:tcPr>
            <w:tcW w:w="154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auto"/>
              </w:rPr>
              <w:t>6,378</w:t>
            </w:r>
          </w:p>
        </w:tc>
        <w:tc>
          <w:tcPr>
            <w:tcW w:w="150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auto"/>
              </w:rPr>
              <w:t>177,983</w:t>
            </w:r>
          </w:p>
        </w:tc>
        <w:tc>
          <w:tcPr>
            <w:tcW w:w="0" w:type="dxa"/>
            <w:vAlign w:val="bottom"/>
          </w:tcPr>
          <w:p>
            <w:pPr>
              <w:spacing w:after="0"/>
              <w:rPr>
                <w:sz w:val="1"/>
                <w:szCs w:val="1"/>
                <w:color w:val="auto"/>
              </w:rPr>
            </w:pPr>
          </w:p>
        </w:tc>
      </w:tr>
      <w:tr>
        <w:trPr>
          <w:trHeight w:val="213"/>
        </w:trPr>
        <w:tc>
          <w:tcPr>
            <w:tcW w:w="2020" w:type="dxa"/>
            <w:vAlign w:val="bottom"/>
          </w:tcPr>
          <w:p>
            <w:pPr>
              <w:ind w:left="80"/>
              <w:spacing w:after="0" w:line="212" w:lineRule="exact"/>
              <w:rPr>
                <w:sz w:val="20"/>
                <w:szCs w:val="20"/>
                <w:color w:val="auto"/>
              </w:rPr>
            </w:pPr>
            <w:r>
              <w:rPr>
                <w:rFonts w:ascii="Arial" w:cs="Arial" w:eastAsia="Arial" w:hAnsi="Arial"/>
                <w:sz w:val="13"/>
                <w:szCs w:val="13"/>
                <w:color w:val="auto"/>
              </w:rPr>
              <w:t>Richard W. Bradshaw</w:t>
            </w:r>
            <w:r>
              <w:rPr>
                <w:rFonts w:ascii="Arial" w:cs="Arial" w:eastAsia="Arial" w:hAnsi="Arial"/>
                <w:sz w:val="22"/>
                <w:szCs w:val="22"/>
                <w:color w:val="auto"/>
                <w:vertAlign w:val="superscript"/>
              </w:rPr>
              <w:t>2</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6,748</w:t>
            </w:r>
          </w:p>
        </w:tc>
        <w:tc>
          <w:tcPr>
            <w:tcW w:w="1500" w:type="dxa"/>
            <w:vAlign w:val="bottom"/>
          </w:tcPr>
          <w:p>
            <w:pPr>
              <w:jc w:val="right"/>
              <w:ind w:right="113"/>
              <w:spacing w:after="0"/>
              <w:rPr>
                <w:sz w:val="20"/>
                <w:szCs w:val="20"/>
                <w:color w:val="auto"/>
              </w:rPr>
            </w:pPr>
            <w:r>
              <w:rPr>
                <w:rFonts w:ascii="Arial" w:cs="Arial" w:eastAsia="Arial" w:hAnsi="Arial"/>
                <w:sz w:val="13"/>
                <w:szCs w:val="13"/>
                <w:color w:val="auto"/>
              </w:rPr>
              <w:t>189,999</w:t>
            </w:r>
          </w:p>
        </w:tc>
        <w:tc>
          <w:tcPr>
            <w:tcW w:w="0" w:type="dxa"/>
            <w:vAlign w:val="bottom"/>
          </w:tcPr>
          <w:p>
            <w:pPr>
              <w:spacing w:after="0"/>
              <w:rPr>
                <w:sz w:val="1"/>
                <w:szCs w:val="1"/>
                <w:color w:val="auto"/>
              </w:rPr>
            </w:pPr>
          </w:p>
        </w:tc>
      </w:tr>
      <w:tr>
        <w:trPr>
          <w:trHeight w:val="213"/>
        </w:trPr>
        <w:tc>
          <w:tcPr>
            <w:tcW w:w="2020" w:type="dxa"/>
            <w:vAlign w:val="bottom"/>
            <w:shd w:val="clear" w:color="auto" w:fill="E5E6E6"/>
          </w:tcPr>
          <w:p>
            <w:pPr>
              <w:ind w:left="80"/>
              <w:spacing w:after="0" w:line="212" w:lineRule="exact"/>
              <w:rPr>
                <w:sz w:val="20"/>
                <w:szCs w:val="20"/>
                <w:color w:val="auto"/>
              </w:rPr>
            </w:pPr>
            <w:r>
              <w:rPr>
                <w:rFonts w:ascii="Arial" w:cs="Arial" w:eastAsia="Arial" w:hAnsi="Arial"/>
                <w:sz w:val="13"/>
                <w:szCs w:val="13"/>
                <w:color w:val="auto"/>
              </w:rPr>
              <w:t>Melinda Davis Lux</w:t>
            </w:r>
            <w:r>
              <w:rPr>
                <w:rFonts w:ascii="Arial" w:cs="Arial" w:eastAsia="Arial" w:hAnsi="Arial"/>
                <w:sz w:val="22"/>
                <w:szCs w:val="22"/>
                <w:color w:val="auto"/>
                <w:vertAlign w:val="superscript"/>
              </w:rPr>
              <w:t>3</w:t>
            </w:r>
          </w:p>
        </w:tc>
        <w:tc>
          <w:tcPr>
            <w:tcW w:w="154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auto"/>
              </w:rPr>
              <w:t>5,453</w:t>
            </w:r>
          </w:p>
        </w:tc>
        <w:tc>
          <w:tcPr>
            <w:tcW w:w="1500" w:type="dxa"/>
            <w:vAlign w:val="bottom"/>
            <w:shd w:val="clear" w:color="auto" w:fill="E5E6E6"/>
          </w:tcPr>
          <w:p>
            <w:pPr>
              <w:jc w:val="right"/>
              <w:ind w:right="113"/>
              <w:spacing w:after="0"/>
              <w:rPr>
                <w:sz w:val="20"/>
                <w:szCs w:val="20"/>
                <w:color w:val="auto"/>
              </w:rPr>
            </w:pPr>
            <w:r>
              <w:rPr>
                <w:rFonts w:ascii="Arial" w:cs="Arial" w:eastAsia="Arial" w:hAnsi="Arial"/>
                <w:sz w:val="13"/>
                <w:szCs w:val="13"/>
                <w:color w:val="auto"/>
              </w:rPr>
              <w:t>151,965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E0E0E0"/>
            </w:tcBorders>
          </w:tcPr>
          <w:p>
            <w:pPr>
              <w:ind w:left="80"/>
              <w:spacing w:after="0"/>
              <w:rPr>
                <w:sz w:val="20"/>
                <w:szCs w:val="20"/>
                <w:color w:val="auto"/>
              </w:rPr>
            </w:pPr>
            <w:r>
              <w:rPr>
                <w:rFonts w:ascii="Arial" w:cs="Arial" w:eastAsia="Arial" w:hAnsi="Arial"/>
                <w:sz w:val="13"/>
                <w:szCs w:val="13"/>
                <w:color w:val="auto"/>
              </w:rPr>
              <w:t>Robert A. Edwards</w:t>
            </w:r>
          </w:p>
        </w:tc>
        <w:tc>
          <w:tcPr>
            <w:tcW w:w="1540" w:type="dxa"/>
            <w:vAlign w:val="bottom"/>
            <w:tcBorders>
              <w:bottom w:val="single" w:sz="8" w:color="E0E0E0"/>
            </w:tcBorders>
          </w:tcPr>
          <w:p>
            <w:pPr>
              <w:jc w:val="right"/>
              <w:ind w:right="113"/>
              <w:spacing w:after="0"/>
              <w:rPr>
                <w:sz w:val="20"/>
                <w:szCs w:val="20"/>
                <w:color w:val="auto"/>
              </w:rPr>
            </w:pPr>
            <w:r>
              <w:rPr>
                <w:rFonts w:ascii="Arial" w:cs="Arial" w:eastAsia="Arial" w:hAnsi="Arial"/>
                <w:sz w:val="13"/>
                <w:szCs w:val="13"/>
                <w:color w:val="auto"/>
              </w:rPr>
              <w:t>5,238</w:t>
            </w:r>
          </w:p>
        </w:tc>
        <w:tc>
          <w:tcPr>
            <w:tcW w:w="1500" w:type="dxa"/>
            <w:vAlign w:val="bottom"/>
            <w:tcBorders>
              <w:bottom w:val="single" w:sz="8" w:color="E0E0E0"/>
            </w:tcBorders>
          </w:tcPr>
          <w:p>
            <w:pPr>
              <w:jc w:val="right"/>
              <w:ind w:right="113"/>
              <w:spacing w:after="0"/>
              <w:rPr>
                <w:sz w:val="20"/>
                <w:szCs w:val="20"/>
                <w:color w:val="auto"/>
              </w:rPr>
            </w:pPr>
            <w:r>
              <w:rPr>
                <w:rFonts w:ascii="Arial" w:cs="Arial" w:eastAsia="Arial" w:hAnsi="Arial"/>
                <w:sz w:val="13"/>
                <w:szCs w:val="13"/>
                <w:color w:val="auto"/>
              </w:rPr>
              <w:t>148,197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-976630</wp:posOffset>
            </wp:positionV>
            <wp:extent cx="8255" cy="3175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317500"/>
                    </a:xfrm>
                    <a:prstGeom prst="rect">
                      <a:avLst/>
                    </a:prstGeom>
                    <a:noFill/>
                  </pic:spPr>
                </pic:pic>
              </a:graphicData>
            </a:graphic>
          </wp:anchor>
        </w:drawing>
        <w:drawing>
          <wp:anchor simplePos="0" relativeHeight="251657728" behindDoc="1" locked="0" layoutInCell="0" allowOverlap="1">
            <wp:simplePos x="0" y="0"/>
            <wp:positionH relativeFrom="column">
              <wp:posOffset>1287145</wp:posOffset>
            </wp:positionH>
            <wp:positionV relativeFrom="paragraph">
              <wp:posOffset>-976630</wp:posOffset>
            </wp:positionV>
            <wp:extent cx="8255" cy="3175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317500"/>
                    </a:xfrm>
                    <a:prstGeom prst="rect">
                      <a:avLst/>
                    </a:prstGeom>
                    <a:noFill/>
                  </pic:spPr>
                </pic:pic>
              </a:graphicData>
            </a:graphic>
          </wp:anchor>
        </w:drawing>
      </w:r>
    </w:p>
    <w:p>
      <w:pPr>
        <w:ind w:left="380" w:hanging="305"/>
        <w:spacing w:after="0" w:line="213" w:lineRule="auto"/>
        <w:tabs>
          <w:tab w:leader="none" w:pos="380" w:val="left"/>
        </w:tabs>
        <w:numPr>
          <w:ilvl w:val="0"/>
          <w:numId w:val="53"/>
        </w:numPr>
        <w:rPr>
          <w:rFonts w:ascii="Arial" w:cs="Arial" w:eastAsia="Arial" w:hAnsi="Arial"/>
          <w:sz w:val="22"/>
          <w:szCs w:val="22"/>
          <w:color w:val="474C55"/>
          <w:vertAlign w:val="superscript"/>
        </w:rPr>
      </w:pPr>
      <w:r>
        <w:rPr>
          <w:rFonts w:ascii="Arial" w:cs="Arial" w:eastAsia="Arial" w:hAnsi="Arial"/>
          <w:sz w:val="13"/>
          <w:szCs w:val="13"/>
          <w:color w:val="474C55"/>
        </w:rPr>
        <w:t>Represents the value realized by multiplying the number of restricted stock unit awards vesting by the closing price of United Community’s common stock on the date of vesting.</w:t>
      </w:r>
    </w:p>
    <w:p>
      <w:pPr>
        <w:ind w:left="380" w:hanging="305"/>
        <w:spacing w:after="0" w:line="184" w:lineRule="auto"/>
        <w:tabs>
          <w:tab w:leader="none" w:pos="380" w:val="left"/>
        </w:tabs>
        <w:numPr>
          <w:ilvl w:val="0"/>
          <w:numId w:val="54"/>
        </w:numPr>
        <w:rPr>
          <w:rFonts w:ascii="Arial" w:cs="Arial" w:eastAsia="Arial" w:hAnsi="Arial"/>
          <w:sz w:val="17"/>
          <w:szCs w:val="17"/>
          <w:color w:val="474C55"/>
          <w:vertAlign w:val="superscript"/>
        </w:rPr>
      </w:pPr>
      <w:r>
        <w:rPr>
          <w:rFonts w:ascii="Arial" w:cs="Arial" w:eastAsia="Arial" w:hAnsi="Arial"/>
          <w:sz w:val="11"/>
          <w:szCs w:val="11"/>
          <w:color w:val="474C55"/>
        </w:rPr>
        <w:t>Mr. Bradshaw elected to defer 1,433 shares acquired on vesting with a realized value on vesting of $41,924.</w:t>
      </w:r>
    </w:p>
    <w:p>
      <w:pPr>
        <w:ind w:left="380" w:hanging="305"/>
        <w:spacing w:after="0" w:line="184" w:lineRule="auto"/>
        <w:tabs>
          <w:tab w:leader="none" w:pos="380" w:val="left"/>
        </w:tabs>
        <w:numPr>
          <w:ilvl w:val="0"/>
          <w:numId w:val="55"/>
        </w:numPr>
        <w:rPr>
          <w:rFonts w:ascii="Arial" w:cs="Arial" w:eastAsia="Arial" w:hAnsi="Arial"/>
          <w:sz w:val="19"/>
          <w:szCs w:val="19"/>
          <w:color w:val="474C55"/>
          <w:vertAlign w:val="superscript"/>
        </w:rPr>
      </w:pPr>
      <w:r>
        <w:rPr>
          <w:rFonts w:ascii="Arial" w:cs="Arial" w:eastAsia="Arial" w:hAnsi="Arial"/>
          <w:sz w:val="12"/>
          <w:szCs w:val="12"/>
          <w:color w:val="474C55"/>
        </w:rPr>
        <w:t>Ms. Davis Lux elected to defer 2,112 shares acquired on vesting with a realized value on vesting of $59,064.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424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b w:val="1"/>
          <w:bCs w:val="1"/>
          <w:color w:val="017AB5"/>
        </w:rPr>
        <w:t>Pension Benefits</w:t>
      </w:r>
    </w:p>
    <w:p>
      <w:pPr>
        <w:spacing w:after="0" w:line="204" w:lineRule="exact"/>
        <w:rPr>
          <w:sz w:val="20"/>
          <w:szCs w:val="20"/>
          <w:color w:val="auto"/>
        </w:rPr>
      </w:pPr>
    </w:p>
    <w:p>
      <w:pPr>
        <w:ind w:right="480"/>
        <w:spacing w:after="0" w:line="261" w:lineRule="auto"/>
        <w:rPr>
          <w:sz w:val="20"/>
          <w:szCs w:val="20"/>
          <w:color w:val="auto"/>
        </w:rPr>
      </w:pPr>
      <w:r>
        <w:rPr>
          <w:rFonts w:ascii="Arial" w:cs="Arial" w:eastAsia="Arial" w:hAnsi="Arial"/>
          <w:sz w:val="17"/>
          <w:szCs w:val="17"/>
          <w:color w:val="474C55"/>
        </w:rPr>
        <w:t>The following table presents select retirement benefit information for 2024 for each NEO. Certain columns specified for this table by Item 402(h) of Regulation S-K have been omitted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90170</wp:posOffset>
            </wp:positionV>
            <wp:extent cx="8255" cy="3175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317500"/>
                    </a:xfrm>
                    <a:prstGeom prst="rect">
                      <a:avLst/>
                    </a:prstGeom>
                    <a:noFill/>
                  </pic:spPr>
                </pic:pic>
              </a:graphicData>
            </a:graphic>
          </wp:anchor>
        </w:drawing>
        <w:drawing>
          <wp:anchor simplePos="0" relativeHeight="251657728" behindDoc="1" locked="0" layoutInCell="0" allowOverlap="1">
            <wp:simplePos x="0" y="0"/>
            <wp:positionH relativeFrom="column">
              <wp:posOffset>2367915</wp:posOffset>
            </wp:positionH>
            <wp:positionV relativeFrom="paragraph">
              <wp:posOffset>90170</wp:posOffset>
            </wp:positionV>
            <wp:extent cx="8255" cy="3175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317500"/>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90170</wp:posOffset>
            </wp:positionV>
            <wp:extent cx="8255" cy="3175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31750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20" w:type="dxa"/>
            <w:vAlign w:val="bottom"/>
            <w:shd w:val="clear" w:color="auto" w:fill="1077A9"/>
          </w:tcPr>
          <w:p>
            <w:pPr>
              <w:spacing w:after="0"/>
              <w:rPr>
                <w:sz w:val="14"/>
                <w:szCs w:val="14"/>
                <w:color w:val="auto"/>
              </w:rPr>
            </w:pPr>
          </w:p>
        </w:tc>
        <w:tc>
          <w:tcPr>
            <w:tcW w:w="1960" w:type="dxa"/>
            <w:vAlign w:val="bottom"/>
            <w:shd w:val="clear" w:color="auto" w:fill="1077A9"/>
          </w:tcPr>
          <w:p>
            <w:pPr>
              <w:spacing w:after="0"/>
              <w:rPr>
                <w:sz w:val="14"/>
                <w:szCs w:val="14"/>
                <w:color w:val="auto"/>
              </w:rPr>
            </w:pPr>
          </w:p>
        </w:tc>
        <w:tc>
          <w:tcPr>
            <w:tcW w:w="1900" w:type="dxa"/>
            <w:vAlign w:val="bottom"/>
            <w:vMerge w:val="restart"/>
            <w:shd w:val="clear" w:color="auto" w:fill="1077A9"/>
          </w:tcPr>
          <w:p>
            <w:pPr>
              <w:jc w:val="right"/>
              <w:ind w:right="133"/>
              <w:spacing w:after="0"/>
              <w:rPr>
                <w:sz w:val="20"/>
                <w:szCs w:val="20"/>
                <w:color w:val="auto"/>
              </w:rPr>
            </w:pPr>
            <w:r>
              <w:rPr>
                <w:rFonts w:ascii="Arial" w:cs="Arial" w:eastAsia="Arial" w:hAnsi="Arial"/>
                <w:sz w:val="13"/>
                <w:szCs w:val="13"/>
                <w:color w:val="FFFFFF"/>
              </w:rPr>
              <w:t>Number of Years Credited</w:t>
            </w:r>
          </w:p>
        </w:tc>
        <w:tc>
          <w:tcPr>
            <w:tcW w:w="1720" w:type="dxa"/>
            <w:vAlign w:val="bottom"/>
            <w:shd w:val="clear" w:color="auto" w:fill="1077A9"/>
          </w:tcPr>
          <w:p>
            <w:pPr>
              <w:jc w:val="center"/>
              <w:ind w:right="33"/>
              <w:spacing w:after="0"/>
              <w:rPr>
                <w:sz w:val="20"/>
                <w:szCs w:val="20"/>
                <w:color w:val="auto"/>
              </w:rPr>
            </w:pPr>
            <w:r>
              <w:rPr>
                <w:rFonts w:ascii="Arial" w:cs="Arial" w:eastAsia="Arial" w:hAnsi="Arial"/>
                <w:sz w:val="13"/>
                <w:szCs w:val="13"/>
                <w:color w:val="FFFFFF"/>
              </w:rPr>
              <w:t>Present Value of</w:t>
            </w:r>
          </w:p>
        </w:tc>
        <w:tc>
          <w:tcPr>
            <w:tcW w:w="0" w:type="dxa"/>
            <w:vAlign w:val="bottom"/>
          </w:tcPr>
          <w:p>
            <w:pPr>
              <w:spacing w:after="0"/>
              <w:rPr>
                <w:sz w:val="1"/>
                <w:szCs w:val="1"/>
                <w:color w:val="auto"/>
              </w:rPr>
            </w:pPr>
          </w:p>
        </w:tc>
      </w:tr>
      <w:tr>
        <w:trPr>
          <w:trHeight w:val="75"/>
        </w:trPr>
        <w:tc>
          <w:tcPr>
            <w:tcW w:w="1720" w:type="dxa"/>
            <w:vAlign w:val="bottom"/>
            <w:vMerge w:val="restart"/>
            <w:shd w:val="clear" w:color="auto" w:fill="1077A9"/>
          </w:tcPr>
          <w:p>
            <w:pPr>
              <w:ind w:left="80"/>
              <w:spacing w:after="0"/>
              <w:rPr>
                <w:sz w:val="20"/>
                <w:szCs w:val="20"/>
                <w:color w:val="auto"/>
              </w:rPr>
            </w:pPr>
            <w:r>
              <w:rPr>
                <w:rFonts w:ascii="Arial" w:cs="Arial" w:eastAsia="Arial" w:hAnsi="Arial"/>
                <w:sz w:val="13"/>
                <w:szCs w:val="13"/>
                <w:color w:val="FFFFFF"/>
              </w:rPr>
              <w:t>Name</w:t>
            </w:r>
          </w:p>
        </w:tc>
        <w:tc>
          <w:tcPr>
            <w:tcW w:w="1960" w:type="dxa"/>
            <w:vAlign w:val="bottom"/>
            <w:vMerge w:val="restart"/>
            <w:shd w:val="clear" w:color="auto" w:fill="1077A9"/>
          </w:tcPr>
          <w:p>
            <w:pPr>
              <w:jc w:val="center"/>
              <w:ind w:left="113"/>
              <w:spacing w:after="0"/>
              <w:rPr>
                <w:sz w:val="20"/>
                <w:szCs w:val="20"/>
                <w:color w:val="auto"/>
              </w:rPr>
            </w:pPr>
            <w:r>
              <w:rPr>
                <w:rFonts w:ascii="Arial" w:cs="Arial" w:eastAsia="Arial" w:hAnsi="Arial"/>
                <w:sz w:val="13"/>
                <w:szCs w:val="13"/>
                <w:color w:val="FFFFFF"/>
              </w:rPr>
              <w:t>Plan Name</w:t>
            </w:r>
          </w:p>
        </w:tc>
        <w:tc>
          <w:tcPr>
            <w:tcW w:w="1900" w:type="dxa"/>
            <w:vAlign w:val="bottom"/>
            <w:vMerge w:val="continue"/>
            <w:shd w:val="clear" w:color="auto" w:fill="1077A9"/>
          </w:tcPr>
          <w:p>
            <w:pPr>
              <w:spacing w:after="0"/>
              <w:rPr>
                <w:sz w:val="6"/>
                <w:szCs w:val="6"/>
                <w:color w:val="auto"/>
              </w:rPr>
            </w:pPr>
          </w:p>
        </w:tc>
        <w:tc>
          <w:tcPr>
            <w:tcW w:w="1720" w:type="dxa"/>
            <w:vAlign w:val="bottom"/>
            <w:vMerge w:val="restart"/>
            <w:shd w:val="clear" w:color="auto" w:fill="1077A9"/>
          </w:tcPr>
          <w:p>
            <w:pPr>
              <w:jc w:val="center"/>
              <w:ind w:right="33"/>
              <w:spacing w:after="0"/>
              <w:rPr>
                <w:sz w:val="20"/>
                <w:szCs w:val="20"/>
                <w:color w:val="auto"/>
              </w:rPr>
            </w:pPr>
            <w:r>
              <w:rPr>
                <w:rFonts w:ascii="Arial" w:cs="Arial" w:eastAsia="Arial" w:hAnsi="Arial"/>
                <w:sz w:val="13"/>
                <w:szCs w:val="13"/>
                <w:color w:val="FFFFFF"/>
              </w:rPr>
              <w:t>Accumulated Benefit</w:t>
            </w:r>
          </w:p>
        </w:tc>
        <w:tc>
          <w:tcPr>
            <w:tcW w:w="0" w:type="dxa"/>
            <w:vAlign w:val="bottom"/>
          </w:tcPr>
          <w:p>
            <w:pPr>
              <w:spacing w:after="0"/>
              <w:rPr>
                <w:sz w:val="1"/>
                <w:szCs w:val="1"/>
                <w:color w:val="auto"/>
              </w:rPr>
            </w:pPr>
          </w:p>
        </w:tc>
      </w:tr>
      <w:tr>
        <w:trPr>
          <w:trHeight w:val="75"/>
        </w:trPr>
        <w:tc>
          <w:tcPr>
            <w:tcW w:w="1720" w:type="dxa"/>
            <w:vAlign w:val="bottom"/>
            <w:vMerge w:val="continue"/>
            <w:shd w:val="clear" w:color="auto" w:fill="1077A9"/>
          </w:tcPr>
          <w:p>
            <w:pPr>
              <w:spacing w:after="0"/>
              <w:rPr>
                <w:sz w:val="6"/>
                <w:szCs w:val="6"/>
                <w:color w:val="auto"/>
              </w:rPr>
            </w:pPr>
          </w:p>
        </w:tc>
        <w:tc>
          <w:tcPr>
            <w:tcW w:w="1960" w:type="dxa"/>
            <w:vAlign w:val="bottom"/>
            <w:vMerge w:val="continue"/>
            <w:shd w:val="clear" w:color="auto" w:fill="1077A9"/>
          </w:tcPr>
          <w:p>
            <w:pPr>
              <w:spacing w:after="0"/>
              <w:rPr>
                <w:sz w:val="6"/>
                <w:szCs w:val="6"/>
                <w:color w:val="auto"/>
              </w:rPr>
            </w:pPr>
          </w:p>
        </w:tc>
        <w:tc>
          <w:tcPr>
            <w:tcW w:w="1900" w:type="dxa"/>
            <w:vAlign w:val="bottom"/>
            <w:vMerge w:val="restart"/>
            <w:shd w:val="clear" w:color="auto" w:fill="1077A9"/>
          </w:tcPr>
          <w:p>
            <w:pPr>
              <w:jc w:val="right"/>
              <w:ind w:right="573"/>
              <w:spacing w:after="0"/>
              <w:rPr>
                <w:sz w:val="20"/>
                <w:szCs w:val="20"/>
                <w:color w:val="auto"/>
              </w:rPr>
            </w:pPr>
            <w:r>
              <w:rPr>
                <w:rFonts w:ascii="Arial" w:cs="Arial" w:eastAsia="Arial" w:hAnsi="Arial"/>
                <w:sz w:val="13"/>
                <w:szCs w:val="13"/>
                <w:color w:val="FFFFFF"/>
              </w:rPr>
              <w:t>Service (#)</w:t>
            </w:r>
          </w:p>
        </w:tc>
        <w:tc>
          <w:tcPr>
            <w:tcW w:w="1720" w:type="dxa"/>
            <w:vAlign w:val="bottom"/>
            <w:vMerge w:val="continue"/>
            <w:shd w:val="clear" w:color="auto" w:fill="1077A9"/>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720" w:type="dxa"/>
            <w:vAlign w:val="bottom"/>
            <w:shd w:val="clear" w:color="auto" w:fill="1077A9"/>
          </w:tcPr>
          <w:p>
            <w:pPr>
              <w:spacing w:after="0"/>
              <w:rPr>
                <w:sz w:val="8"/>
                <w:szCs w:val="8"/>
                <w:color w:val="auto"/>
              </w:rPr>
            </w:pPr>
          </w:p>
        </w:tc>
        <w:tc>
          <w:tcPr>
            <w:tcW w:w="1960" w:type="dxa"/>
            <w:vAlign w:val="bottom"/>
            <w:shd w:val="clear" w:color="auto" w:fill="1077A9"/>
          </w:tcPr>
          <w:p>
            <w:pPr>
              <w:spacing w:after="0"/>
              <w:rPr>
                <w:sz w:val="8"/>
                <w:szCs w:val="8"/>
                <w:color w:val="auto"/>
              </w:rPr>
            </w:pPr>
          </w:p>
        </w:tc>
        <w:tc>
          <w:tcPr>
            <w:tcW w:w="1900" w:type="dxa"/>
            <w:vAlign w:val="bottom"/>
            <w:vMerge w:val="continue"/>
            <w:shd w:val="clear" w:color="auto" w:fill="1077A9"/>
          </w:tcPr>
          <w:p>
            <w:pPr>
              <w:spacing w:after="0"/>
              <w:rPr>
                <w:sz w:val="8"/>
                <w:szCs w:val="8"/>
                <w:color w:val="auto"/>
              </w:rPr>
            </w:pPr>
          </w:p>
        </w:tc>
        <w:tc>
          <w:tcPr>
            <w:tcW w:w="1720" w:type="dxa"/>
            <w:vAlign w:val="bottom"/>
            <w:vMerge w:val="restart"/>
            <w:shd w:val="clear" w:color="auto" w:fill="1077A9"/>
          </w:tcPr>
          <w:p>
            <w:pPr>
              <w:jc w:val="center"/>
              <w:ind w:right="13"/>
              <w:spacing w:after="0"/>
              <w:rPr>
                <w:sz w:val="20"/>
                <w:szCs w:val="20"/>
                <w:color w:val="auto"/>
              </w:rPr>
            </w:pPr>
            <w:r>
              <w:rPr>
                <w:rFonts w:ascii="Arial" w:cs="Arial" w:eastAsia="Arial" w:hAnsi="Arial"/>
                <w:sz w:val="13"/>
                <w:szCs w:val="13"/>
                <w:color w:val="FFFFFF"/>
              </w:rPr>
              <w:t>($)</w:t>
            </w:r>
          </w:p>
        </w:tc>
        <w:tc>
          <w:tcPr>
            <w:tcW w:w="0" w:type="dxa"/>
            <w:vAlign w:val="bottom"/>
          </w:tcPr>
          <w:p>
            <w:pPr>
              <w:spacing w:after="0"/>
              <w:rPr>
                <w:sz w:val="1"/>
                <w:szCs w:val="1"/>
                <w:color w:val="auto"/>
              </w:rPr>
            </w:pPr>
          </w:p>
        </w:tc>
      </w:tr>
      <w:tr>
        <w:trPr>
          <w:trHeight w:val="83"/>
        </w:trPr>
        <w:tc>
          <w:tcPr>
            <w:tcW w:w="1720" w:type="dxa"/>
            <w:vAlign w:val="bottom"/>
            <w:shd w:val="clear" w:color="auto" w:fill="1077A9"/>
          </w:tcPr>
          <w:p>
            <w:pPr>
              <w:spacing w:after="0"/>
              <w:rPr>
                <w:sz w:val="7"/>
                <w:szCs w:val="7"/>
                <w:color w:val="auto"/>
              </w:rPr>
            </w:pPr>
          </w:p>
        </w:tc>
        <w:tc>
          <w:tcPr>
            <w:tcW w:w="1960" w:type="dxa"/>
            <w:vAlign w:val="bottom"/>
            <w:shd w:val="clear" w:color="auto" w:fill="1077A9"/>
          </w:tcPr>
          <w:p>
            <w:pPr>
              <w:spacing w:after="0"/>
              <w:rPr>
                <w:sz w:val="7"/>
                <w:szCs w:val="7"/>
                <w:color w:val="auto"/>
              </w:rPr>
            </w:pPr>
          </w:p>
        </w:tc>
        <w:tc>
          <w:tcPr>
            <w:tcW w:w="1900" w:type="dxa"/>
            <w:vAlign w:val="bottom"/>
            <w:shd w:val="clear" w:color="auto" w:fill="1077A9"/>
          </w:tcPr>
          <w:p>
            <w:pPr>
              <w:spacing w:after="0"/>
              <w:rPr>
                <w:sz w:val="7"/>
                <w:szCs w:val="7"/>
                <w:color w:val="auto"/>
              </w:rPr>
            </w:pPr>
          </w:p>
        </w:tc>
        <w:tc>
          <w:tcPr>
            <w:tcW w:w="1720" w:type="dxa"/>
            <w:vAlign w:val="bottom"/>
            <w:vMerge w:val="continue"/>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720" w:type="dxa"/>
            <w:vAlign w:val="bottom"/>
          </w:tcPr>
          <w:p>
            <w:pPr>
              <w:ind w:left="100"/>
              <w:spacing w:after="0"/>
              <w:rPr>
                <w:sz w:val="20"/>
                <w:szCs w:val="20"/>
                <w:color w:val="auto"/>
              </w:rPr>
            </w:pPr>
            <w:r>
              <w:rPr>
                <w:rFonts w:ascii="Arial" w:cs="Arial" w:eastAsia="Arial" w:hAnsi="Arial"/>
                <w:sz w:val="13"/>
                <w:szCs w:val="13"/>
                <w:color w:val="auto"/>
              </w:rPr>
              <w:t>H. Lynn Harton</w:t>
            </w:r>
          </w:p>
        </w:tc>
        <w:tc>
          <w:tcPr>
            <w:tcW w:w="1960" w:type="dxa"/>
            <w:vAlign w:val="bottom"/>
          </w:tcPr>
          <w:p>
            <w:pPr>
              <w:jc w:val="center"/>
              <w:ind w:left="73"/>
              <w:spacing w:after="0"/>
              <w:rPr>
                <w:sz w:val="20"/>
                <w:szCs w:val="20"/>
                <w:color w:val="auto"/>
              </w:rPr>
            </w:pPr>
            <w:r>
              <w:rPr>
                <w:rFonts w:ascii="Arial" w:cs="Arial" w:eastAsia="Arial" w:hAnsi="Arial"/>
                <w:sz w:val="13"/>
                <w:szCs w:val="13"/>
                <w:color w:val="auto"/>
              </w:rPr>
              <w:t>Modified Retirement Plan</w:t>
            </w:r>
          </w:p>
        </w:tc>
        <w:tc>
          <w:tcPr>
            <w:tcW w:w="1900" w:type="dxa"/>
            <w:vAlign w:val="bottom"/>
          </w:tcPr>
          <w:p>
            <w:pPr>
              <w:jc w:val="right"/>
              <w:ind w:right="273"/>
              <w:spacing w:after="0"/>
              <w:rPr>
                <w:sz w:val="20"/>
                <w:szCs w:val="20"/>
                <w:color w:val="auto"/>
              </w:rPr>
            </w:pPr>
            <w:r>
              <w:rPr>
                <w:rFonts w:ascii="Arial" w:cs="Arial" w:eastAsia="Arial" w:hAnsi="Arial"/>
                <w:sz w:val="13"/>
                <w:szCs w:val="13"/>
                <w:color w:val="auto"/>
              </w:rPr>
              <w:t>12.3</w:t>
            </w:r>
          </w:p>
        </w:tc>
        <w:tc>
          <w:tcPr>
            <w:tcW w:w="1720" w:type="dxa"/>
            <w:vAlign w:val="bottom"/>
          </w:tcPr>
          <w:p>
            <w:pPr>
              <w:jc w:val="right"/>
              <w:ind w:right="193"/>
              <w:spacing w:after="0"/>
              <w:rPr>
                <w:sz w:val="20"/>
                <w:szCs w:val="20"/>
                <w:color w:val="auto"/>
              </w:rPr>
            </w:pPr>
            <w:r>
              <w:rPr>
                <w:rFonts w:ascii="Arial" w:cs="Arial" w:eastAsia="Arial" w:hAnsi="Arial"/>
                <w:sz w:val="13"/>
                <w:szCs w:val="13"/>
                <w:color w:val="auto"/>
              </w:rPr>
              <w:t>$ 2,954,964</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tcBorders>
              <w:bottom w:val="single" w:sz="8" w:color="E5E6E6"/>
            </w:tcBorders>
            <w:shd w:val="clear" w:color="auto" w:fill="E5E6E6"/>
          </w:tcPr>
          <w:p>
            <w:pPr>
              <w:ind w:left="100"/>
              <w:spacing w:after="0"/>
              <w:rPr>
                <w:sz w:val="20"/>
                <w:szCs w:val="20"/>
                <w:color w:val="auto"/>
              </w:rPr>
            </w:pPr>
            <w:r>
              <w:rPr>
                <w:rFonts w:ascii="Arial" w:cs="Arial" w:eastAsia="Arial" w:hAnsi="Arial"/>
                <w:sz w:val="13"/>
                <w:szCs w:val="13"/>
                <w:color w:val="auto"/>
              </w:rPr>
              <w:t>Jefferson L. Harralson</w:t>
            </w:r>
          </w:p>
        </w:tc>
        <w:tc>
          <w:tcPr>
            <w:tcW w:w="1960" w:type="dxa"/>
            <w:vAlign w:val="bottom"/>
            <w:tcBorders>
              <w:bottom w:val="single" w:sz="8" w:color="E5E6E6"/>
            </w:tcBorders>
            <w:shd w:val="clear" w:color="auto" w:fill="E5E6E6"/>
          </w:tcPr>
          <w:p>
            <w:pPr>
              <w:jc w:val="center"/>
              <w:ind w:left="73"/>
              <w:spacing w:after="0"/>
              <w:rPr>
                <w:sz w:val="20"/>
                <w:szCs w:val="20"/>
                <w:color w:val="auto"/>
              </w:rPr>
            </w:pPr>
            <w:r>
              <w:rPr>
                <w:rFonts w:ascii="Arial" w:cs="Arial" w:eastAsia="Arial" w:hAnsi="Arial"/>
                <w:sz w:val="13"/>
                <w:szCs w:val="13"/>
                <w:color w:val="auto"/>
              </w:rPr>
              <w:t>Modified Retirement Plan</w:t>
            </w:r>
          </w:p>
        </w:tc>
        <w:tc>
          <w:tcPr>
            <w:tcW w:w="1900" w:type="dxa"/>
            <w:vAlign w:val="bottom"/>
            <w:tcBorders>
              <w:bottom w:val="single" w:sz="8" w:color="E5E6E6"/>
            </w:tcBorders>
            <w:shd w:val="clear" w:color="auto" w:fill="E5E6E6"/>
          </w:tcPr>
          <w:p>
            <w:pPr>
              <w:jc w:val="right"/>
              <w:ind w:right="273"/>
              <w:spacing w:after="0"/>
              <w:rPr>
                <w:sz w:val="20"/>
                <w:szCs w:val="20"/>
                <w:color w:val="auto"/>
              </w:rPr>
            </w:pPr>
            <w:r>
              <w:rPr>
                <w:rFonts w:ascii="Arial" w:cs="Arial" w:eastAsia="Arial" w:hAnsi="Arial"/>
                <w:sz w:val="13"/>
                <w:szCs w:val="13"/>
                <w:color w:val="auto"/>
              </w:rPr>
              <w:t>7.7</w:t>
            </w:r>
          </w:p>
        </w:tc>
        <w:tc>
          <w:tcPr>
            <w:tcW w:w="1720" w:type="dxa"/>
            <w:vAlign w:val="bottom"/>
            <w:tcBorders>
              <w:bottom w:val="single" w:sz="8" w:color="E5E6E6"/>
            </w:tcBorders>
            <w:shd w:val="clear" w:color="auto" w:fill="E5E6E6"/>
          </w:tcPr>
          <w:p>
            <w:pPr>
              <w:jc w:val="right"/>
              <w:ind w:right="193"/>
              <w:spacing w:after="0"/>
              <w:rPr>
                <w:sz w:val="20"/>
                <w:szCs w:val="20"/>
                <w:color w:val="auto"/>
              </w:rPr>
            </w:pPr>
            <w:r>
              <w:rPr>
                <w:rFonts w:ascii="Arial" w:cs="Arial" w:eastAsia="Arial" w:hAnsi="Arial"/>
                <w:sz w:val="13"/>
                <w:szCs w:val="13"/>
                <w:color w:val="auto"/>
              </w:rPr>
              <w:t>525,108</w:t>
            </w:r>
          </w:p>
        </w:tc>
        <w:tc>
          <w:tcPr>
            <w:tcW w:w="0" w:type="dxa"/>
            <w:vAlign w:val="bottom"/>
          </w:tcPr>
          <w:p>
            <w:pPr>
              <w:spacing w:after="0"/>
              <w:rPr>
                <w:sz w:val="1"/>
                <w:szCs w:val="1"/>
                <w:color w:val="auto"/>
              </w:rPr>
            </w:pPr>
          </w:p>
        </w:tc>
      </w:tr>
      <w:tr>
        <w:trPr>
          <w:trHeight w:val="217"/>
        </w:trPr>
        <w:tc>
          <w:tcPr>
            <w:tcW w:w="1720" w:type="dxa"/>
            <w:vAlign w:val="bottom"/>
          </w:tcPr>
          <w:p>
            <w:pPr>
              <w:ind w:left="100"/>
              <w:spacing w:after="0"/>
              <w:rPr>
                <w:sz w:val="20"/>
                <w:szCs w:val="20"/>
                <w:color w:val="auto"/>
              </w:rPr>
            </w:pPr>
            <w:r>
              <w:rPr>
                <w:rFonts w:ascii="Arial" w:cs="Arial" w:eastAsia="Arial" w:hAnsi="Arial"/>
                <w:sz w:val="13"/>
                <w:szCs w:val="13"/>
                <w:color w:val="auto"/>
              </w:rPr>
              <w:t>Richard W. Bradshaw</w:t>
            </w:r>
          </w:p>
        </w:tc>
        <w:tc>
          <w:tcPr>
            <w:tcW w:w="1960" w:type="dxa"/>
            <w:vAlign w:val="bottom"/>
          </w:tcPr>
          <w:p>
            <w:pPr>
              <w:jc w:val="center"/>
              <w:ind w:left="73"/>
              <w:spacing w:after="0"/>
              <w:rPr>
                <w:sz w:val="20"/>
                <w:szCs w:val="20"/>
                <w:color w:val="auto"/>
              </w:rPr>
            </w:pPr>
            <w:r>
              <w:rPr>
                <w:rFonts w:ascii="Arial" w:cs="Arial" w:eastAsia="Arial" w:hAnsi="Arial"/>
                <w:sz w:val="13"/>
                <w:szCs w:val="13"/>
                <w:color w:val="auto"/>
              </w:rPr>
              <w:t>Modified Retirement Plan</w:t>
            </w:r>
          </w:p>
        </w:tc>
        <w:tc>
          <w:tcPr>
            <w:tcW w:w="1900" w:type="dxa"/>
            <w:vAlign w:val="bottom"/>
          </w:tcPr>
          <w:p>
            <w:pPr>
              <w:jc w:val="right"/>
              <w:ind w:right="273"/>
              <w:spacing w:after="0"/>
              <w:rPr>
                <w:sz w:val="20"/>
                <w:szCs w:val="20"/>
                <w:color w:val="auto"/>
              </w:rPr>
            </w:pPr>
            <w:r>
              <w:rPr>
                <w:rFonts w:ascii="Arial" w:cs="Arial" w:eastAsia="Arial" w:hAnsi="Arial"/>
                <w:sz w:val="13"/>
                <w:szCs w:val="13"/>
                <w:color w:val="auto"/>
              </w:rPr>
              <w:t>10.8</w:t>
            </w:r>
          </w:p>
        </w:tc>
        <w:tc>
          <w:tcPr>
            <w:tcW w:w="1720" w:type="dxa"/>
            <w:vAlign w:val="bottom"/>
          </w:tcPr>
          <w:p>
            <w:pPr>
              <w:jc w:val="right"/>
              <w:ind w:right="193"/>
              <w:spacing w:after="0"/>
              <w:rPr>
                <w:sz w:val="20"/>
                <w:szCs w:val="20"/>
                <w:color w:val="auto"/>
              </w:rPr>
            </w:pPr>
            <w:r>
              <w:rPr>
                <w:rFonts w:ascii="Arial" w:cs="Arial" w:eastAsia="Arial" w:hAnsi="Arial"/>
                <w:sz w:val="13"/>
                <w:szCs w:val="13"/>
                <w:color w:val="auto"/>
              </w:rPr>
              <w:t>924,730</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tcBorders>
              <w:bottom w:val="single" w:sz="8" w:color="E5E6E6"/>
            </w:tcBorders>
            <w:shd w:val="clear" w:color="auto" w:fill="E5E6E6"/>
          </w:tcPr>
          <w:p>
            <w:pPr>
              <w:ind w:left="100"/>
              <w:spacing w:after="0"/>
              <w:rPr>
                <w:sz w:val="20"/>
                <w:szCs w:val="20"/>
                <w:color w:val="auto"/>
              </w:rPr>
            </w:pPr>
            <w:r>
              <w:rPr>
                <w:rFonts w:ascii="Arial" w:cs="Arial" w:eastAsia="Arial" w:hAnsi="Arial"/>
                <w:sz w:val="13"/>
                <w:szCs w:val="13"/>
                <w:color w:val="auto"/>
              </w:rPr>
              <w:t>Melinda Davis Lux</w:t>
            </w:r>
          </w:p>
        </w:tc>
        <w:tc>
          <w:tcPr>
            <w:tcW w:w="1960" w:type="dxa"/>
            <w:vAlign w:val="bottom"/>
            <w:tcBorders>
              <w:bottom w:val="single" w:sz="8" w:color="E5E6E6"/>
            </w:tcBorders>
            <w:shd w:val="clear" w:color="auto" w:fill="E5E6E6"/>
          </w:tcPr>
          <w:p>
            <w:pPr>
              <w:jc w:val="center"/>
              <w:ind w:left="73"/>
              <w:spacing w:after="0"/>
              <w:rPr>
                <w:sz w:val="20"/>
                <w:szCs w:val="20"/>
                <w:color w:val="auto"/>
              </w:rPr>
            </w:pPr>
            <w:r>
              <w:rPr>
                <w:rFonts w:ascii="Arial" w:cs="Arial" w:eastAsia="Arial" w:hAnsi="Arial"/>
                <w:sz w:val="13"/>
                <w:szCs w:val="13"/>
                <w:color w:val="auto"/>
              </w:rPr>
              <w:t>Modified Retirement Plan</w:t>
            </w:r>
          </w:p>
        </w:tc>
        <w:tc>
          <w:tcPr>
            <w:tcW w:w="1900" w:type="dxa"/>
            <w:vAlign w:val="bottom"/>
            <w:tcBorders>
              <w:bottom w:val="single" w:sz="8" w:color="E5E6E6"/>
            </w:tcBorders>
            <w:shd w:val="clear" w:color="auto" w:fill="E5E6E6"/>
          </w:tcPr>
          <w:p>
            <w:pPr>
              <w:jc w:val="right"/>
              <w:ind w:right="273"/>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E5E6E6"/>
            </w:tcBorders>
            <w:shd w:val="clear" w:color="auto" w:fill="E5E6E6"/>
          </w:tcPr>
          <w:p>
            <w:pPr>
              <w:jc w:val="right"/>
              <w:ind w:right="1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7"/>
        </w:trPr>
        <w:tc>
          <w:tcPr>
            <w:tcW w:w="1720" w:type="dxa"/>
            <w:vAlign w:val="bottom"/>
          </w:tcPr>
          <w:p>
            <w:pPr>
              <w:ind w:left="100"/>
              <w:spacing w:after="0"/>
              <w:rPr>
                <w:sz w:val="20"/>
                <w:szCs w:val="20"/>
                <w:color w:val="auto"/>
              </w:rPr>
            </w:pPr>
            <w:r>
              <w:rPr>
                <w:rFonts w:ascii="Arial" w:cs="Arial" w:eastAsia="Arial" w:hAnsi="Arial"/>
                <w:sz w:val="13"/>
                <w:szCs w:val="13"/>
                <w:color w:val="auto"/>
              </w:rPr>
              <w:t>Robert A. Edwards</w:t>
            </w:r>
          </w:p>
        </w:tc>
        <w:tc>
          <w:tcPr>
            <w:tcW w:w="1960" w:type="dxa"/>
            <w:vAlign w:val="bottom"/>
          </w:tcPr>
          <w:p>
            <w:pPr>
              <w:jc w:val="center"/>
              <w:ind w:left="73"/>
              <w:spacing w:after="0"/>
              <w:rPr>
                <w:sz w:val="20"/>
                <w:szCs w:val="20"/>
                <w:color w:val="auto"/>
              </w:rPr>
            </w:pPr>
            <w:r>
              <w:rPr>
                <w:rFonts w:ascii="Arial" w:cs="Arial" w:eastAsia="Arial" w:hAnsi="Arial"/>
                <w:sz w:val="13"/>
                <w:szCs w:val="13"/>
                <w:color w:val="auto"/>
              </w:rPr>
              <w:t>Modified Retirement Plan</w:t>
            </w:r>
          </w:p>
        </w:tc>
        <w:tc>
          <w:tcPr>
            <w:tcW w:w="1900" w:type="dxa"/>
            <w:vAlign w:val="bottom"/>
          </w:tcPr>
          <w:p>
            <w:pPr>
              <w:jc w:val="right"/>
              <w:ind w:right="273"/>
              <w:spacing w:after="0"/>
              <w:rPr>
                <w:sz w:val="20"/>
                <w:szCs w:val="20"/>
                <w:color w:val="auto"/>
              </w:rPr>
            </w:pPr>
            <w:r>
              <w:rPr>
                <w:rFonts w:ascii="Arial" w:cs="Arial" w:eastAsia="Arial" w:hAnsi="Arial"/>
                <w:sz w:val="13"/>
                <w:szCs w:val="13"/>
                <w:color w:val="auto"/>
              </w:rPr>
              <w:t>9.9</w:t>
            </w:r>
          </w:p>
        </w:tc>
        <w:tc>
          <w:tcPr>
            <w:tcW w:w="1720" w:type="dxa"/>
            <w:vAlign w:val="bottom"/>
          </w:tcPr>
          <w:p>
            <w:pPr>
              <w:jc w:val="right"/>
              <w:ind w:right="193"/>
              <w:spacing w:after="0"/>
              <w:rPr>
                <w:sz w:val="20"/>
                <w:szCs w:val="20"/>
                <w:color w:val="auto"/>
              </w:rPr>
            </w:pPr>
            <w:r>
              <w:rPr>
                <w:rFonts w:ascii="Arial" w:cs="Arial" w:eastAsia="Arial" w:hAnsi="Arial"/>
                <w:sz w:val="13"/>
                <w:szCs w:val="13"/>
                <w:color w:val="auto"/>
              </w:rPr>
              <w:t>654,183</w:t>
            </w:r>
          </w:p>
        </w:tc>
        <w:tc>
          <w:tcPr>
            <w:tcW w:w="0" w:type="dxa"/>
            <w:vAlign w:val="bottom"/>
          </w:tcPr>
          <w:p>
            <w:pPr>
              <w:spacing w:after="0"/>
              <w:rPr>
                <w:sz w:val="1"/>
                <w:szCs w:val="1"/>
                <w:color w:val="auto"/>
              </w:rPr>
            </w:pPr>
          </w:p>
        </w:tc>
      </w:tr>
      <w:tr>
        <w:trPr>
          <w:trHeight w:val="33"/>
        </w:trPr>
        <w:tc>
          <w:tcPr>
            <w:tcW w:w="1720" w:type="dxa"/>
            <w:vAlign w:val="bottom"/>
            <w:tcBorders>
              <w:bottom w:val="single" w:sz="8" w:color="E0E0E0"/>
            </w:tcBorders>
          </w:tcPr>
          <w:p>
            <w:pPr>
              <w:spacing w:after="0"/>
              <w:rPr>
                <w:sz w:val="2"/>
                <w:szCs w:val="2"/>
                <w:color w:val="auto"/>
              </w:rPr>
            </w:pPr>
          </w:p>
        </w:tc>
        <w:tc>
          <w:tcPr>
            <w:tcW w:w="1960" w:type="dxa"/>
            <w:vAlign w:val="bottom"/>
            <w:tcBorders>
              <w:bottom w:val="single" w:sz="8" w:color="E0E0E0"/>
            </w:tcBorders>
          </w:tcPr>
          <w:p>
            <w:pPr>
              <w:spacing w:after="0"/>
              <w:rPr>
                <w:sz w:val="2"/>
                <w:szCs w:val="2"/>
                <w:color w:val="auto"/>
              </w:rPr>
            </w:pPr>
          </w:p>
        </w:tc>
        <w:tc>
          <w:tcPr>
            <w:tcW w:w="1900" w:type="dxa"/>
            <w:vAlign w:val="bottom"/>
            <w:tcBorders>
              <w:bottom w:val="single" w:sz="8" w:color="E0E0E0"/>
            </w:tcBorders>
          </w:tcPr>
          <w:p>
            <w:pPr>
              <w:spacing w:after="0"/>
              <w:rPr>
                <w:sz w:val="2"/>
                <w:szCs w:val="2"/>
                <w:color w:val="auto"/>
              </w:rPr>
            </w:pPr>
          </w:p>
        </w:tc>
        <w:tc>
          <w:tcPr>
            <w:tcW w:w="1720" w:type="dxa"/>
            <w:vAlign w:val="bottom"/>
            <w:tcBorders>
              <w:bottom w:val="single" w:sz="8" w:color="E0E0E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4631690</wp:posOffset>
            </wp:positionH>
            <wp:positionV relativeFrom="paragraph">
              <wp:posOffset>-325120</wp:posOffset>
            </wp:positionV>
            <wp:extent cx="8255" cy="3257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-325120</wp:posOffset>
            </wp:positionV>
            <wp:extent cx="8255" cy="3257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-802005</wp:posOffset>
            </wp:positionV>
            <wp:extent cx="8255" cy="3175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317500"/>
                    </a:xfrm>
                    <a:prstGeom prst="rect">
                      <a:avLst/>
                    </a:prstGeom>
                    <a:noFill/>
                  </pic:spPr>
                </pic:pic>
              </a:graphicData>
            </a:graphic>
          </wp:anchor>
        </w:drawing>
      </w:r>
    </w:p>
    <w:p>
      <w:pPr>
        <w:spacing w:after="0" w:line="138" w:lineRule="exact"/>
        <w:rPr>
          <w:sz w:val="20"/>
          <w:szCs w:val="20"/>
          <w:color w:val="auto"/>
        </w:rPr>
      </w:pPr>
    </w:p>
    <w:p>
      <w:pPr>
        <w:ind w:right="20"/>
        <w:spacing w:after="0"/>
        <w:rPr>
          <w:sz w:val="20"/>
          <w:szCs w:val="20"/>
          <w:color w:val="auto"/>
        </w:rPr>
      </w:pPr>
      <w:r>
        <w:rPr>
          <w:rFonts w:ascii="Arial" w:cs="Arial" w:eastAsia="Arial" w:hAnsi="Arial"/>
          <w:sz w:val="17"/>
          <w:szCs w:val="17"/>
          <w:color w:val="474C55"/>
        </w:rPr>
        <w:t>See Compensation Discussion and Analysis: 2024 Executive Compensation Components: Retirement and Other Benefits for additional information. See Note 20 of our annual consolidated financial statements included in our Annual Report on Form 10-K for the year ended December 31, 2024, filed with the SEC on February 27, 2025, for information regarding assumptions made in the valuation of these awards. Under the Modified Retirement Plan, any participant, including any of our eligible NEOs, is vested at age 55 if they have five years of service.</w:t>
      </w:r>
    </w:p>
    <w:p>
      <w:pPr>
        <w:spacing w:after="0" w:line="156"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474C55"/>
        </w:rPr>
        <w:t>Beginning in 2020, the Board determined that it will not offer participation in the Modified Retirement Plan to any employee of United Community who was not already a participant. As a result, Ms. Davis Lux was not offered participation in the Modified Retirement Plan upon employment.</w:t>
      </w:r>
    </w:p>
    <w:p>
      <w:pPr>
        <w:spacing w:after="0" w:line="13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474C55"/>
        </w:rPr>
        <w:t>Upon a change in control prior to a participant’s termination of employment, a participant immediately vests in no less than (i) the participant’s annual target benefit if the participant has attained Normal Retirement Age (as defined by the Modified Retirement Plan) or (ii) the greater of the participant’s Early Retirement Benefit, if applicable, or his Accrued Benefit (as defined by the Modified Retirement Plan, without any reduction for commencement of the benefits before Normal Retirement Age), if the participant has not attained Normal Retirement Age but has qualified for an Early Retirement Benefit, if applicable or (iii) his Accrued Benefit (notwithstanding the Years of Service, as defined by the Modified Retirement Plan, at such time or whether the participant has incurred a disability). Benefits are payable as provided in the Modified Retirement Plan. The change-in-control benefit, however, is increased to the extent the participant continues employment and accrues additional benefits after the change in control. A participant’s change-in-control benefit is not reduced for any calendar year or partial calendar year that the commencement of the change-in-control benefit precedes the participant’s Normal Retirement Age. The change-in-control benefit is payable in the form of a life annuity unless the participant has elected an alternative payment method.</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55" w:name="page56"/>
    <w:bookmarkEnd w:id="55"/>
    <w:p>
      <w:pPr>
        <w:spacing w:after="0"/>
        <w:rPr>
          <w:sz w:val="20"/>
          <w:szCs w:val="20"/>
          <w:color w:val="auto"/>
        </w:rPr>
      </w:pPr>
      <w:r>
        <w:rPr>
          <w:rFonts w:ascii="Arial" w:cs="Arial" w:eastAsia="Arial" w:hAnsi="Arial"/>
          <w:sz w:val="23"/>
          <w:szCs w:val="23"/>
          <w:b w:val="1"/>
          <w:bCs w:val="1"/>
          <w:color w:val="017AB5"/>
        </w:rPr>
        <w:t>Nonqualified Deferred Compensation</w:t>
      </w:r>
    </w:p>
    <w:p>
      <w:pPr>
        <w:spacing w:after="0" w:line="204"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474C55"/>
        </w:rPr>
        <w:t>The following table presents select nonqualified deferred compensation information for 2024 for each NEO. Certain columns specified for this table by Item 402(i) of Regulation S-K have been omitted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90170</wp:posOffset>
            </wp:positionV>
            <wp:extent cx="8255" cy="3257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90170</wp:posOffset>
            </wp:positionV>
            <wp:extent cx="8255" cy="3257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90170</wp:posOffset>
            </wp:positionV>
            <wp:extent cx="8255" cy="3257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90170</wp:posOffset>
            </wp:positionV>
            <wp:extent cx="8255" cy="3257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3257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40" w:type="dxa"/>
            <w:vAlign w:val="bottom"/>
            <w:shd w:val="clear" w:color="auto" w:fill="1077A9"/>
          </w:tcPr>
          <w:p>
            <w:pPr>
              <w:spacing w:after="0"/>
              <w:rPr>
                <w:sz w:val="14"/>
                <w:szCs w:val="14"/>
                <w:color w:val="auto"/>
              </w:rPr>
            </w:pPr>
          </w:p>
        </w:tc>
        <w:tc>
          <w:tcPr>
            <w:tcW w:w="1660" w:type="dxa"/>
            <w:vAlign w:val="bottom"/>
            <w:shd w:val="clear" w:color="auto" w:fill="1077A9"/>
          </w:tcPr>
          <w:p>
            <w:pPr>
              <w:jc w:val="right"/>
              <w:ind w:right="513"/>
              <w:spacing w:after="0"/>
              <w:rPr>
                <w:sz w:val="20"/>
                <w:szCs w:val="20"/>
                <w:color w:val="auto"/>
              </w:rPr>
            </w:pPr>
            <w:r>
              <w:rPr>
                <w:rFonts w:ascii="Arial" w:cs="Arial" w:eastAsia="Arial" w:hAnsi="Arial"/>
                <w:sz w:val="13"/>
                <w:szCs w:val="13"/>
                <w:color w:val="FFFFFF"/>
              </w:rPr>
              <w:t>Executive</w:t>
            </w:r>
          </w:p>
        </w:tc>
        <w:tc>
          <w:tcPr>
            <w:tcW w:w="1620" w:type="dxa"/>
            <w:vAlign w:val="bottom"/>
            <w:shd w:val="clear" w:color="auto" w:fill="1077A9"/>
          </w:tcPr>
          <w:p>
            <w:pPr>
              <w:jc w:val="center"/>
              <w:spacing w:after="0"/>
              <w:rPr>
                <w:sz w:val="20"/>
                <w:szCs w:val="20"/>
                <w:color w:val="auto"/>
              </w:rPr>
            </w:pPr>
            <w:r>
              <w:rPr>
                <w:rFonts w:ascii="Arial" w:cs="Arial" w:eastAsia="Arial" w:hAnsi="Arial"/>
                <w:sz w:val="13"/>
                <w:szCs w:val="13"/>
                <w:color w:val="FFFFFF"/>
              </w:rPr>
              <w:t>Company</w:t>
            </w:r>
          </w:p>
        </w:tc>
        <w:tc>
          <w:tcPr>
            <w:tcW w:w="1680" w:type="dxa"/>
            <w:vAlign w:val="bottom"/>
            <w:vMerge w:val="restart"/>
            <w:shd w:val="clear" w:color="auto" w:fill="1077A9"/>
          </w:tcPr>
          <w:p>
            <w:pPr>
              <w:jc w:val="right"/>
              <w:ind w:right="133"/>
              <w:spacing w:after="0"/>
              <w:rPr>
                <w:sz w:val="20"/>
                <w:szCs w:val="20"/>
                <w:color w:val="auto"/>
              </w:rPr>
            </w:pPr>
            <w:r>
              <w:rPr>
                <w:rFonts w:ascii="Arial" w:cs="Arial" w:eastAsia="Arial" w:hAnsi="Arial"/>
                <w:sz w:val="13"/>
                <w:szCs w:val="13"/>
                <w:color w:val="FFFFFF"/>
              </w:rPr>
              <w:t>Account Earnings in</w:t>
            </w:r>
          </w:p>
        </w:tc>
        <w:tc>
          <w:tcPr>
            <w:tcW w:w="1740" w:type="dxa"/>
            <w:vAlign w:val="bottom"/>
            <w:vMerge w:val="restart"/>
            <w:shd w:val="clear" w:color="auto" w:fill="1077A9"/>
          </w:tcPr>
          <w:p>
            <w:pPr>
              <w:jc w:val="right"/>
              <w:ind w:right="133"/>
              <w:spacing w:after="0"/>
              <w:rPr>
                <w:sz w:val="20"/>
                <w:szCs w:val="20"/>
                <w:color w:val="auto"/>
              </w:rPr>
            </w:pPr>
            <w:r>
              <w:rPr>
                <w:rFonts w:ascii="Arial" w:cs="Arial" w:eastAsia="Arial" w:hAnsi="Arial"/>
                <w:sz w:val="13"/>
                <w:szCs w:val="13"/>
                <w:color w:val="FFFFFF"/>
              </w:rPr>
              <w:t>Aggregate Balance at</w:t>
            </w:r>
          </w:p>
        </w:tc>
        <w:tc>
          <w:tcPr>
            <w:tcW w:w="0" w:type="dxa"/>
            <w:vAlign w:val="bottom"/>
          </w:tcPr>
          <w:p>
            <w:pPr>
              <w:spacing w:after="0"/>
              <w:rPr>
                <w:sz w:val="1"/>
                <w:szCs w:val="1"/>
                <w:color w:val="auto"/>
              </w:rPr>
            </w:pPr>
          </w:p>
        </w:tc>
      </w:tr>
      <w:tr>
        <w:trPr>
          <w:trHeight w:val="75"/>
        </w:trPr>
        <w:tc>
          <w:tcPr>
            <w:tcW w:w="1740" w:type="dxa"/>
            <w:vAlign w:val="bottom"/>
            <w:vMerge w:val="restart"/>
            <w:shd w:val="clear" w:color="auto" w:fill="1077A9"/>
          </w:tcPr>
          <w:p>
            <w:pPr>
              <w:ind w:left="80"/>
              <w:spacing w:after="0" w:line="135" w:lineRule="exact"/>
              <w:rPr>
                <w:sz w:val="20"/>
                <w:szCs w:val="20"/>
                <w:color w:val="auto"/>
              </w:rPr>
            </w:pPr>
            <w:r>
              <w:rPr>
                <w:rFonts w:ascii="Arial" w:cs="Arial" w:eastAsia="Arial" w:hAnsi="Arial"/>
                <w:sz w:val="13"/>
                <w:szCs w:val="13"/>
                <w:color w:val="FFFFFF"/>
              </w:rPr>
              <w:t>Name</w:t>
            </w:r>
          </w:p>
        </w:tc>
        <w:tc>
          <w:tcPr>
            <w:tcW w:w="1660" w:type="dxa"/>
            <w:vAlign w:val="bottom"/>
            <w:vMerge w:val="restart"/>
            <w:shd w:val="clear" w:color="auto" w:fill="1077A9"/>
          </w:tcPr>
          <w:p>
            <w:pPr>
              <w:jc w:val="right"/>
              <w:ind w:right="333"/>
              <w:spacing w:after="0" w:line="135" w:lineRule="exact"/>
              <w:rPr>
                <w:sz w:val="20"/>
                <w:szCs w:val="20"/>
                <w:color w:val="auto"/>
              </w:rPr>
            </w:pPr>
            <w:r>
              <w:rPr>
                <w:rFonts w:ascii="Arial" w:cs="Arial" w:eastAsia="Arial" w:hAnsi="Arial"/>
                <w:sz w:val="13"/>
                <w:szCs w:val="13"/>
                <w:color w:val="FFFFFF"/>
              </w:rPr>
              <w:t>Contributions in</w:t>
            </w:r>
          </w:p>
        </w:tc>
        <w:tc>
          <w:tcPr>
            <w:tcW w:w="1620" w:type="dxa"/>
            <w:vAlign w:val="bottom"/>
            <w:vMerge w:val="restart"/>
            <w:shd w:val="clear" w:color="auto" w:fill="1077A9"/>
          </w:tcPr>
          <w:p>
            <w:pPr>
              <w:jc w:val="center"/>
              <w:spacing w:after="0" w:line="135" w:lineRule="exact"/>
              <w:rPr>
                <w:sz w:val="20"/>
                <w:szCs w:val="20"/>
                <w:color w:val="auto"/>
              </w:rPr>
            </w:pPr>
            <w:r>
              <w:rPr>
                <w:rFonts w:ascii="Arial" w:cs="Arial" w:eastAsia="Arial" w:hAnsi="Arial"/>
                <w:sz w:val="13"/>
                <w:szCs w:val="13"/>
                <w:color w:val="FFFFFF"/>
              </w:rPr>
              <w:t>Contributions in</w:t>
            </w:r>
          </w:p>
        </w:tc>
        <w:tc>
          <w:tcPr>
            <w:tcW w:w="1680" w:type="dxa"/>
            <w:vAlign w:val="bottom"/>
            <w:vMerge w:val="continue"/>
            <w:shd w:val="clear" w:color="auto" w:fill="1077A9"/>
          </w:tcPr>
          <w:p>
            <w:pPr>
              <w:spacing w:after="0"/>
              <w:rPr>
                <w:sz w:val="6"/>
                <w:szCs w:val="6"/>
                <w:color w:val="auto"/>
              </w:rPr>
            </w:pPr>
          </w:p>
        </w:tc>
        <w:tc>
          <w:tcPr>
            <w:tcW w:w="1740" w:type="dxa"/>
            <w:vAlign w:val="bottom"/>
            <w:vMerge w:val="continue"/>
            <w:shd w:val="clear" w:color="auto" w:fill="1077A9"/>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740" w:type="dxa"/>
            <w:vAlign w:val="bottom"/>
            <w:vMerge w:val="continue"/>
            <w:shd w:val="clear" w:color="auto" w:fill="1077A9"/>
          </w:tcPr>
          <w:p>
            <w:pPr>
              <w:spacing w:after="0"/>
              <w:rPr>
                <w:sz w:val="5"/>
                <w:szCs w:val="5"/>
                <w:color w:val="auto"/>
              </w:rPr>
            </w:pPr>
          </w:p>
        </w:tc>
        <w:tc>
          <w:tcPr>
            <w:tcW w:w="1660" w:type="dxa"/>
            <w:vAlign w:val="bottom"/>
            <w:vMerge w:val="continue"/>
            <w:shd w:val="clear" w:color="auto" w:fill="1077A9"/>
          </w:tcPr>
          <w:p>
            <w:pPr>
              <w:spacing w:after="0"/>
              <w:rPr>
                <w:sz w:val="5"/>
                <w:szCs w:val="5"/>
                <w:color w:val="auto"/>
              </w:rPr>
            </w:pPr>
          </w:p>
        </w:tc>
        <w:tc>
          <w:tcPr>
            <w:tcW w:w="1620" w:type="dxa"/>
            <w:vAlign w:val="bottom"/>
            <w:vMerge w:val="continue"/>
            <w:shd w:val="clear" w:color="auto" w:fill="1077A9"/>
          </w:tcPr>
          <w:p>
            <w:pPr>
              <w:spacing w:after="0"/>
              <w:rPr>
                <w:sz w:val="5"/>
                <w:szCs w:val="5"/>
                <w:color w:val="auto"/>
              </w:rPr>
            </w:pPr>
          </w:p>
        </w:tc>
        <w:tc>
          <w:tcPr>
            <w:tcW w:w="1680" w:type="dxa"/>
            <w:vAlign w:val="bottom"/>
            <w:vMerge w:val="restart"/>
            <w:shd w:val="clear" w:color="auto" w:fill="1077A9"/>
          </w:tcPr>
          <w:p>
            <w:pPr>
              <w:jc w:val="right"/>
              <w:ind w:right="473"/>
              <w:spacing w:after="0"/>
              <w:rPr>
                <w:sz w:val="20"/>
                <w:szCs w:val="20"/>
                <w:color w:val="auto"/>
              </w:rPr>
            </w:pPr>
            <w:r>
              <w:rPr>
                <w:rFonts w:ascii="Arial" w:cs="Arial" w:eastAsia="Arial" w:hAnsi="Arial"/>
                <w:sz w:val="13"/>
                <w:szCs w:val="13"/>
                <w:color w:val="FFFFFF"/>
              </w:rPr>
              <w:t>2024 ($)</w:t>
            </w:r>
          </w:p>
        </w:tc>
        <w:tc>
          <w:tcPr>
            <w:tcW w:w="1740" w:type="dxa"/>
            <w:vAlign w:val="bottom"/>
            <w:vMerge w:val="restart"/>
            <w:shd w:val="clear" w:color="auto" w:fill="1077A9"/>
          </w:tcPr>
          <w:p>
            <w:pPr>
              <w:jc w:val="right"/>
              <w:ind w:right="93"/>
              <w:spacing w:after="0"/>
              <w:rPr>
                <w:sz w:val="20"/>
                <w:szCs w:val="20"/>
                <w:color w:val="auto"/>
              </w:rPr>
            </w:pPr>
            <w:r>
              <w:rPr>
                <w:rFonts w:ascii="Arial" w:cs="Arial" w:eastAsia="Arial" w:hAnsi="Arial"/>
                <w:sz w:val="13"/>
                <w:szCs w:val="13"/>
                <w:color w:val="FFFFFF"/>
              </w:rPr>
              <w:t>December 31, 2024 ($)</w:t>
            </w:r>
          </w:p>
        </w:tc>
        <w:tc>
          <w:tcPr>
            <w:tcW w:w="0" w:type="dxa"/>
            <w:vAlign w:val="bottom"/>
          </w:tcPr>
          <w:p>
            <w:pPr>
              <w:spacing w:after="0"/>
              <w:rPr>
                <w:sz w:val="1"/>
                <w:szCs w:val="1"/>
                <w:color w:val="auto"/>
              </w:rPr>
            </w:pPr>
          </w:p>
        </w:tc>
      </w:tr>
      <w:tr>
        <w:trPr>
          <w:trHeight w:val="115"/>
        </w:trPr>
        <w:tc>
          <w:tcPr>
            <w:tcW w:w="1740" w:type="dxa"/>
            <w:vAlign w:val="bottom"/>
            <w:shd w:val="clear" w:color="auto" w:fill="1077A9"/>
          </w:tcPr>
          <w:p>
            <w:pPr>
              <w:spacing w:after="0"/>
              <w:rPr>
                <w:sz w:val="10"/>
                <w:szCs w:val="10"/>
                <w:color w:val="auto"/>
              </w:rPr>
            </w:pPr>
          </w:p>
        </w:tc>
        <w:tc>
          <w:tcPr>
            <w:tcW w:w="1660" w:type="dxa"/>
            <w:vAlign w:val="bottom"/>
            <w:vMerge w:val="restart"/>
            <w:shd w:val="clear" w:color="auto" w:fill="1077A9"/>
          </w:tcPr>
          <w:p>
            <w:pPr>
              <w:jc w:val="right"/>
              <w:ind w:right="513"/>
              <w:spacing w:after="0" w:line="210" w:lineRule="exact"/>
              <w:rPr>
                <w:sz w:val="20"/>
                <w:szCs w:val="20"/>
                <w:color w:val="auto"/>
              </w:rPr>
            </w:pPr>
            <w:r>
              <w:rPr>
                <w:rFonts w:ascii="Arial" w:cs="Arial" w:eastAsia="Arial" w:hAnsi="Arial"/>
                <w:sz w:val="13"/>
                <w:szCs w:val="13"/>
                <w:color w:val="FFFFFF"/>
              </w:rPr>
              <w:t>2024 ($)</w:t>
            </w:r>
            <w:r>
              <w:rPr>
                <w:rFonts w:ascii="Arial" w:cs="Arial" w:eastAsia="Arial" w:hAnsi="Arial"/>
                <w:sz w:val="22"/>
                <w:szCs w:val="22"/>
                <w:color w:val="FFFFFF"/>
                <w:vertAlign w:val="superscript"/>
              </w:rPr>
              <w:t>1</w:t>
            </w:r>
          </w:p>
        </w:tc>
        <w:tc>
          <w:tcPr>
            <w:tcW w:w="1620" w:type="dxa"/>
            <w:vAlign w:val="bottom"/>
            <w:vMerge w:val="restart"/>
            <w:shd w:val="clear" w:color="auto" w:fill="1077A9"/>
          </w:tcPr>
          <w:p>
            <w:pPr>
              <w:jc w:val="center"/>
              <w:spacing w:after="0" w:line="210" w:lineRule="exact"/>
              <w:rPr>
                <w:sz w:val="20"/>
                <w:szCs w:val="20"/>
                <w:color w:val="auto"/>
              </w:rPr>
            </w:pPr>
            <w:r>
              <w:rPr>
                <w:rFonts w:ascii="Arial" w:cs="Arial" w:eastAsia="Arial" w:hAnsi="Arial"/>
                <w:sz w:val="13"/>
                <w:szCs w:val="13"/>
                <w:color w:val="FFFFFF"/>
                <w:w w:val="98"/>
              </w:rPr>
              <w:t>2024 ($)</w:t>
            </w:r>
            <w:r>
              <w:rPr>
                <w:rFonts w:ascii="Arial" w:cs="Arial" w:eastAsia="Arial" w:hAnsi="Arial"/>
                <w:sz w:val="22"/>
                <w:szCs w:val="22"/>
                <w:color w:val="FFFFFF"/>
                <w:w w:val="98"/>
                <w:vertAlign w:val="superscript"/>
              </w:rPr>
              <w:t>2</w:t>
            </w:r>
          </w:p>
        </w:tc>
        <w:tc>
          <w:tcPr>
            <w:tcW w:w="1680" w:type="dxa"/>
            <w:vAlign w:val="bottom"/>
            <w:vMerge w:val="continue"/>
            <w:shd w:val="clear" w:color="auto" w:fill="1077A9"/>
          </w:tcPr>
          <w:p>
            <w:pPr>
              <w:spacing w:after="0"/>
              <w:rPr>
                <w:sz w:val="10"/>
                <w:szCs w:val="10"/>
                <w:color w:val="auto"/>
              </w:rPr>
            </w:pPr>
          </w:p>
        </w:tc>
        <w:tc>
          <w:tcPr>
            <w:tcW w:w="1740" w:type="dxa"/>
            <w:vAlign w:val="bottom"/>
            <w:vMerge w:val="continue"/>
            <w:shd w:val="clear" w:color="auto" w:fill="1077A9"/>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40" w:type="dxa"/>
            <w:vAlign w:val="bottom"/>
            <w:shd w:val="clear" w:color="auto" w:fill="1077A9"/>
          </w:tcPr>
          <w:p>
            <w:pPr>
              <w:spacing w:after="0"/>
              <w:rPr>
                <w:sz w:val="8"/>
                <w:szCs w:val="8"/>
                <w:color w:val="auto"/>
              </w:rPr>
            </w:pPr>
          </w:p>
        </w:tc>
        <w:tc>
          <w:tcPr>
            <w:tcW w:w="1660" w:type="dxa"/>
            <w:vAlign w:val="bottom"/>
            <w:vMerge w:val="continue"/>
            <w:shd w:val="clear" w:color="auto" w:fill="1077A9"/>
          </w:tcPr>
          <w:p>
            <w:pPr>
              <w:spacing w:after="0"/>
              <w:rPr>
                <w:sz w:val="8"/>
                <w:szCs w:val="8"/>
                <w:color w:val="auto"/>
              </w:rPr>
            </w:pPr>
          </w:p>
        </w:tc>
        <w:tc>
          <w:tcPr>
            <w:tcW w:w="1620" w:type="dxa"/>
            <w:vAlign w:val="bottom"/>
            <w:vMerge w:val="continue"/>
            <w:shd w:val="clear" w:color="auto" w:fill="1077A9"/>
          </w:tcPr>
          <w:p>
            <w:pPr>
              <w:spacing w:after="0"/>
              <w:rPr>
                <w:sz w:val="8"/>
                <w:szCs w:val="8"/>
                <w:color w:val="auto"/>
              </w:rPr>
            </w:pPr>
          </w:p>
        </w:tc>
        <w:tc>
          <w:tcPr>
            <w:tcW w:w="1680" w:type="dxa"/>
            <w:vAlign w:val="bottom"/>
            <w:shd w:val="clear" w:color="auto" w:fill="1077A9"/>
          </w:tcPr>
          <w:p>
            <w:pPr>
              <w:spacing w:after="0"/>
              <w:rPr>
                <w:sz w:val="8"/>
                <w:szCs w:val="8"/>
                <w:color w:val="auto"/>
              </w:rPr>
            </w:pPr>
          </w:p>
        </w:tc>
        <w:tc>
          <w:tcPr>
            <w:tcW w:w="1740" w:type="dxa"/>
            <w:vAlign w:val="bottom"/>
            <w:shd w:val="clear" w:color="auto" w:fill="1077A9"/>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740" w:type="dxa"/>
            <w:vAlign w:val="bottom"/>
          </w:tcPr>
          <w:p>
            <w:pPr>
              <w:ind w:left="80"/>
              <w:spacing w:after="0"/>
              <w:rPr>
                <w:sz w:val="20"/>
                <w:szCs w:val="20"/>
                <w:color w:val="auto"/>
              </w:rPr>
            </w:pPr>
            <w:r>
              <w:rPr>
                <w:rFonts w:ascii="Arial" w:cs="Arial" w:eastAsia="Arial" w:hAnsi="Arial"/>
                <w:sz w:val="13"/>
                <w:szCs w:val="13"/>
                <w:color w:val="auto"/>
              </w:rPr>
              <w:t>H. Lynn Harton</w:t>
            </w:r>
          </w:p>
        </w:tc>
        <w:tc>
          <w:tcPr>
            <w:tcW w:w="1660" w:type="dxa"/>
            <w:vAlign w:val="bottom"/>
          </w:tcPr>
          <w:p>
            <w:pPr>
              <w:jc w:val="right"/>
              <w:ind w:right="293"/>
              <w:spacing w:after="0"/>
              <w:rPr>
                <w:sz w:val="20"/>
                <w:szCs w:val="20"/>
                <w:color w:val="auto"/>
              </w:rPr>
            </w:pPr>
            <w:r>
              <w:rPr>
                <w:rFonts w:ascii="Arial" w:cs="Arial" w:eastAsia="Arial" w:hAnsi="Arial"/>
                <w:sz w:val="13"/>
                <w:szCs w:val="13"/>
                <w:color w:val="auto"/>
              </w:rPr>
              <w:t>$ 24,210</w:t>
            </w:r>
          </w:p>
        </w:tc>
        <w:tc>
          <w:tcPr>
            <w:tcW w:w="1620" w:type="dxa"/>
            <w:vAlign w:val="bottom"/>
          </w:tcPr>
          <w:p>
            <w:pPr>
              <w:jc w:val="right"/>
              <w:ind w:right="213"/>
              <w:spacing w:after="0"/>
              <w:rPr>
                <w:sz w:val="20"/>
                <w:szCs w:val="20"/>
                <w:color w:val="auto"/>
              </w:rPr>
            </w:pPr>
            <w:r>
              <w:rPr>
                <w:rFonts w:ascii="Arial" w:cs="Arial" w:eastAsia="Arial" w:hAnsi="Arial"/>
                <w:sz w:val="13"/>
                <w:szCs w:val="13"/>
                <w:color w:val="auto"/>
              </w:rPr>
              <w:t>$ 37,459</w:t>
            </w:r>
          </w:p>
        </w:tc>
        <w:tc>
          <w:tcPr>
            <w:tcW w:w="1680" w:type="dxa"/>
            <w:vAlign w:val="bottom"/>
          </w:tcPr>
          <w:p>
            <w:pPr>
              <w:jc w:val="right"/>
              <w:ind w:right="213"/>
              <w:spacing w:after="0"/>
              <w:rPr>
                <w:sz w:val="20"/>
                <w:szCs w:val="20"/>
                <w:color w:val="auto"/>
              </w:rPr>
            </w:pPr>
            <w:r>
              <w:rPr>
                <w:rFonts w:ascii="Arial" w:cs="Arial" w:eastAsia="Arial" w:hAnsi="Arial"/>
                <w:sz w:val="13"/>
                <w:szCs w:val="13"/>
                <w:color w:val="auto"/>
              </w:rPr>
              <w:t>$ 499,707</w:t>
            </w:r>
          </w:p>
        </w:tc>
        <w:tc>
          <w:tcPr>
            <w:tcW w:w="1740" w:type="dxa"/>
            <w:vAlign w:val="bottom"/>
          </w:tcPr>
          <w:p>
            <w:pPr>
              <w:jc w:val="right"/>
              <w:ind w:right="273"/>
              <w:spacing w:after="0"/>
              <w:rPr>
                <w:sz w:val="20"/>
                <w:szCs w:val="20"/>
                <w:color w:val="auto"/>
              </w:rPr>
            </w:pPr>
            <w:r>
              <w:rPr>
                <w:rFonts w:ascii="Arial" w:cs="Arial" w:eastAsia="Arial" w:hAnsi="Arial"/>
                <w:sz w:val="13"/>
                <w:szCs w:val="13"/>
                <w:color w:val="auto"/>
              </w:rPr>
              <w:t>$ 4,211,566</w:t>
            </w:r>
          </w:p>
        </w:tc>
        <w:tc>
          <w:tcPr>
            <w:tcW w:w="0" w:type="dxa"/>
            <w:vAlign w:val="bottom"/>
          </w:tcPr>
          <w:p>
            <w:pPr>
              <w:spacing w:after="0"/>
              <w:rPr>
                <w:sz w:val="1"/>
                <w:szCs w:val="1"/>
                <w:color w:val="auto"/>
              </w:rPr>
            </w:pPr>
          </w:p>
        </w:tc>
      </w:tr>
      <w:tr>
        <w:trPr>
          <w:trHeight w:val="204"/>
        </w:trPr>
        <w:tc>
          <w:tcPr>
            <w:tcW w:w="1740" w:type="dxa"/>
            <w:vAlign w:val="bottom"/>
            <w:shd w:val="clear" w:color="auto" w:fill="E5E6E6"/>
          </w:tcPr>
          <w:p>
            <w:pPr>
              <w:ind w:left="80"/>
              <w:spacing w:after="0"/>
              <w:rPr>
                <w:sz w:val="20"/>
                <w:szCs w:val="20"/>
                <w:color w:val="auto"/>
              </w:rPr>
            </w:pPr>
            <w:r>
              <w:rPr>
                <w:rFonts w:ascii="Arial" w:cs="Arial" w:eastAsia="Arial" w:hAnsi="Arial"/>
                <w:sz w:val="13"/>
                <w:szCs w:val="13"/>
                <w:color w:val="auto"/>
              </w:rPr>
              <w:t>Jefferson L. Harralson</w:t>
            </w:r>
          </w:p>
        </w:tc>
        <w:tc>
          <w:tcPr>
            <w:tcW w:w="1660" w:type="dxa"/>
            <w:vAlign w:val="bottom"/>
            <w:shd w:val="clear" w:color="auto" w:fill="E5E6E6"/>
          </w:tcPr>
          <w:p>
            <w:pPr>
              <w:jc w:val="right"/>
              <w:ind w:right="293"/>
              <w:spacing w:after="0"/>
              <w:rPr>
                <w:sz w:val="20"/>
                <w:szCs w:val="20"/>
                <w:color w:val="auto"/>
              </w:rPr>
            </w:pPr>
            <w:r>
              <w:rPr>
                <w:rFonts w:ascii="Arial" w:cs="Arial" w:eastAsia="Arial" w:hAnsi="Arial"/>
                <w:sz w:val="13"/>
                <w:szCs w:val="13"/>
                <w:color w:val="auto"/>
              </w:rPr>
              <w:t>-</w:t>
            </w:r>
          </w:p>
        </w:tc>
        <w:tc>
          <w:tcPr>
            <w:tcW w:w="1620" w:type="dxa"/>
            <w:vAlign w:val="bottom"/>
            <w:shd w:val="clear" w:color="auto" w:fill="E5E6E6"/>
          </w:tcPr>
          <w:p>
            <w:pPr>
              <w:jc w:val="right"/>
              <w:ind w:right="213"/>
              <w:spacing w:after="0"/>
              <w:rPr>
                <w:sz w:val="20"/>
                <w:szCs w:val="20"/>
                <w:color w:val="auto"/>
              </w:rPr>
            </w:pPr>
            <w:r>
              <w:rPr>
                <w:rFonts w:ascii="Arial" w:cs="Arial" w:eastAsia="Arial" w:hAnsi="Arial"/>
                <w:sz w:val="13"/>
                <w:szCs w:val="13"/>
                <w:color w:val="auto"/>
              </w:rPr>
              <w:t>9,542</w:t>
            </w:r>
          </w:p>
        </w:tc>
        <w:tc>
          <w:tcPr>
            <w:tcW w:w="1680" w:type="dxa"/>
            <w:vAlign w:val="bottom"/>
            <w:shd w:val="clear" w:color="auto" w:fill="E5E6E6"/>
          </w:tcPr>
          <w:p>
            <w:pPr>
              <w:jc w:val="right"/>
              <w:ind w:right="213"/>
              <w:spacing w:after="0"/>
              <w:rPr>
                <w:sz w:val="20"/>
                <w:szCs w:val="20"/>
                <w:color w:val="auto"/>
              </w:rPr>
            </w:pPr>
            <w:r>
              <w:rPr>
                <w:rFonts w:ascii="Arial" w:cs="Arial" w:eastAsia="Arial" w:hAnsi="Arial"/>
                <w:sz w:val="13"/>
                <w:szCs w:val="13"/>
                <w:color w:val="auto"/>
              </w:rPr>
              <w:t>2,021</w:t>
            </w:r>
          </w:p>
        </w:tc>
        <w:tc>
          <w:tcPr>
            <w:tcW w:w="1740" w:type="dxa"/>
            <w:vAlign w:val="bottom"/>
            <w:shd w:val="clear" w:color="auto" w:fill="E5E6E6"/>
          </w:tcPr>
          <w:p>
            <w:pPr>
              <w:jc w:val="right"/>
              <w:ind w:right="273"/>
              <w:spacing w:after="0"/>
              <w:rPr>
                <w:sz w:val="20"/>
                <w:szCs w:val="20"/>
                <w:color w:val="auto"/>
              </w:rPr>
            </w:pPr>
            <w:r>
              <w:rPr>
                <w:rFonts w:ascii="Arial" w:cs="Arial" w:eastAsia="Arial" w:hAnsi="Arial"/>
                <w:sz w:val="13"/>
                <w:szCs w:val="13"/>
                <w:color w:val="auto"/>
              </w:rPr>
              <w:t>59,081</w:t>
            </w:r>
          </w:p>
        </w:tc>
        <w:tc>
          <w:tcPr>
            <w:tcW w:w="0" w:type="dxa"/>
            <w:vAlign w:val="bottom"/>
          </w:tcPr>
          <w:p>
            <w:pPr>
              <w:spacing w:after="0"/>
              <w:rPr>
                <w:sz w:val="1"/>
                <w:szCs w:val="1"/>
                <w:color w:val="auto"/>
              </w:rPr>
            </w:pPr>
          </w:p>
        </w:tc>
      </w:tr>
      <w:tr>
        <w:trPr>
          <w:trHeight w:val="196"/>
        </w:trPr>
        <w:tc>
          <w:tcPr>
            <w:tcW w:w="1740" w:type="dxa"/>
            <w:vAlign w:val="bottom"/>
          </w:tcPr>
          <w:p>
            <w:pPr>
              <w:ind w:left="80"/>
              <w:spacing w:after="0"/>
              <w:rPr>
                <w:sz w:val="20"/>
                <w:szCs w:val="20"/>
                <w:color w:val="auto"/>
              </w:rPr>
            </w:pPr>
            <w:r>
              <w:rPr>
                <w:rFonts w:ascii="Arial" w:cs="Arial" w:eastAsia="Arial" w:hAnsi="Arial"/>
                <w:sz w:val="13"/>
                <w:szCs w:val="13"/>
                <w:color w:val="auto"/>
              </w:rPr>
              <w:t>Richard W. Bradshaw</w:t>
            </w:r>
          </w:p>
        </w:tc>
        <w:tc>
          <w:tcPr>
            <w:tcW w:w="1660" w:type="dxa"/>
            <w:vAlign w:val="bottom"/>
          </w:tcPr>
          <w:p>
            <w:pPr>
              <w:jc w:val="right"/>
              <w:ind w:right="293"/>
              <w:spacing w:after="0"/>
              <w:rPr>
                <w:sz w:val="20"/>
                <w:szCs w:val="20"/>
                <w:color w:val="auto"/>
              </w:rPr>
            </w:pPr>
            <w:r>
              <w:rPr>
                <w:rFonts w:ascii="Arial" w:cs="Arial" w:eastAsia="Arial" w:hAnsi="Arial"/>
                <w:sz w:val="13"/>
                <w:szCs w:val="13"/>
                <w:color w:val="auto"/>
              </w:rPr>
              <w:t>42,418</w:t>
            </w:r>
          </w:p>
        </w:tc>
        <w:tc>
          <w:tcPr>
            <w:tcW w:w="1620" w:type="dxa"/>
            <w:vAlign w:val="bottom"/>
          </w:tcPr>
          <w:p>
            <w:pPr>
              <w:jc w:val="right"/>
              <w:ind w:right="213"/>
              <w:spacing w:after="0"/>
              <w:rPr>
                <w:sz w:val="20"/>
                <w:szCs w:val="20"/>
                <w:color w:val="auto"/>
              </w:rPr>
            </w:pPr>
            <w:r>
              <w:rPr>
                <w:rFonts w:ascii="Arial" w:cs="Arial" w:eastAsia="Arial" w:hAnsi="Arial"/>
                <w:sz w:val="13"/>
                <w:szCs w:val="13"/>
                <w:color w:val="auto"/>
              </w:rPr>
              <w:t>14,792</w:t>
            </w:r>
          </w:p>
        </w:tc>
        <w:tc>
          <w:tcPr>
            <w:tcW w:w="1680" w:type="dxa"/>
            <w:vAlign w:val="bottom"/>
          </w:tcPr>
          <w:p>
            <w:pPr>
              <w:jc w:val="right"/>
              <w:ind w:right="213"/>
              <w:spacing w:after="0"/>
              <w:rPr>
                <w:sz w:val="20"/>
                <w:szCs w:val="20"/>
                <w:color w:val="auto"/>
              </w:rPr>
            </w:pPr>
            <w:r>
              <w:rPr>
                <w:rFonts w:ascii="Arial" w:cs="Arial" w:eastAsia="Arial" w:hAnsi="Arial"/>
                <w:sz w:val="13"/>
                <w:szCs w:val="13"/>
                <w:color w:val="auto"/>
              </w:rPr>
              <w:t>62,433</w:t>
            </w:r>
          </w:p>
        </w:tc>
        <w:tc>
          <w:tcPr>
            <w:tcW w:w="1740" w:type="dxa"/>
            <w:vAlign w:val="bottom"/>
          </w:tcPr>
          <w:p>
            <w:pPr>
              <w:jc w:val="right"/>
              <w:ind w:right="273"/>
              <w:spacing w:after="0"/>
              <w:rPr>
                <w:sz w:val="20"/>
                <w:szCs w:val="20"/>
                <w:color w:val="auto"/>
              </w:rPr>
            </w:pPr>
            <w:r>
              <w:rPr>
                <w:rFonts w:ascii="Arial" w:cs="Arial" w:eastAsia="Arial" w:hAnsi="Arial"/>
                <w:sz w:val="13"/>
                <w:szCs w:val="13"/>
                <w:color w:val="auto"/>
              </w:rPr>
              <w:t>538,391</w:t>
            </w:r>
          </w:p>
        </w:tc>
        <w:tc>
          <w:tcPr>
            <w:tcW w:w="0" w:type="dxa"/>
            <w:vAlign w:val="bottom"/>
          </w:tcPr>
          <w:p>
            <w:pPr>
              <w:spacing w:after="0"/>
              <w:rPr>
                <w:sz w:val="1"/>
                <w:szCs w:val="1"/>
                <w:color w:val="auto"/>
              </w:rPr>
            </w:pPr>
          </w:p>
        </w:tc>
      </w:tr>
      <w:tr>
        <w:trPr>
          <w:trHeight w:val="204"/>
        </w:trPr>
        <w:tc>
          <w:tcPr>
            <w:tcW w:w="1740" w:type="dxa"/>
            <w:vAlign w:val="bottom"/>
            <w:shd w:val="clear" w:color="auto" w:fill="E5E6E6"/>
          </w:tcPr>
          <w:p>
            <w:pPr>
              <w:ind w:left="80"/>
              <w:spacing w:after="0"/>
              <w:rPr>
                <w:sz w:val="20"/>
                <w:szCs w:val="20"/>
                <w:color w:val="auto"/>
              </w:rPr>
            </w:pPr>
            <w:r>
              <w:rPr>
                <w:rFonts w:ascii="Arial" w:cs="Arial" w:eastAsia="Arial" w:hAnsi="Arial"/>
                <w:sz w:val="13"/>
                <w:szCs w:val="13"/>
                <w:color w:val="auto"/>
              </w:rPr>
              <w:t>Melinda Davis Lux</w:t>
            </w:r>
          </w:p>
        </w:tc>
        <w:tc>
          <w:tcPr>
            <w:tcW w:w="1660" w:type="dxa"/>
            <w:vAlign w:val="bottom"/>
            <w:shd w:val="clear" w:color="auto" w:fill="E5E6E6"/>
          </w:tcPr>
          <w:p>
            <w:pPr>
              <w:jc w:val="right"/>
              <w:ind w:right="293"/>
              <w:spacing w:after="0"/>
              <w:rPr>
                <w:sz w:val="20"/>
                <w:szCs w:val="20"/>
                <w:color w:val="auto"/>
              </w:rPr>
            </w:pPr>
            <w:r>
              <w:rPr>
                <w:rFonts w:ascii="Arial" w:cs="Arial" w:eastAsia="Arial" w:hAnsi="Arial"/>
                <w:sz w:val="13"/>
                <w:szCs w:val="13"/>
                <w:color w:val="auto"/>
              </w:rPr>
              <w:t>57,815</w:t>
            </w:r>
          </w:p>
        </w:tc>
        <w:tc>
          <w:tcPr>
            <w:tcW w:w="1620" w:type="dxa"/>
            <w:vAlign w:val="bottom"/>
            <w:shd w:val="clear" w:color="auto" w:fill="E5E6E6"/>
          </w:tcPr>
          <w:p>
            <w:pPr>
              <w:jc w:val="right"/>
              <w:ind w:right="213"/>
              <w:spacing w:after="0"/>
              <w:rPr>
                <w:sz w:val="20"/>
                <w:szCs w:val="20"/>
                <w:color w:val="auto"/>
              </w:rPr>
            </w:pPr>
            <w:r>
              <w:rPr>
                <w:rFonts w:ascii="Arial" w:cs="Arial" w:eastAsia="Arial" w:hAnsi="Arial"/>
                <w:sz w:val="13"/>
                <w:szCs w:val="13"/>
                <w:color w:val="auto"/>
              </w:rPr>
              <w:t>7,594</w:t>
            </w:r>
          </w:p>
        </w:tc>
        <w:tc>
          <w:tcPr>
            <w:tcW w:w="1680" w:type="dxa"/>
            <w:vAlign w:val="bottom"/>
            <w:shd w:val="clear" w:color="auto" w:fill="E5E6E6"/>
          </w:tcPr>
          <w:p>
            <w:pPr>
              <w:jc w:val="right"/>
              <w:ind w:right="213"/>
              <w:spacing w:after="0"/>
              <w:rPr>
                <w:sz w:val="20"/>
                <w:szCs w:val="20"/>
                <w:color w:val="auto"/>
              </w:rPr>
            </w:pPr>
            <w:r>
              <w:rPr>
                <w:rFonts w:ascii="Arial" w:cs="Arial" w:eastAsia="Arial" w:hAnsi="Arial"/>
                <w:sz w:val="13"/>
                <w:szCs w:val="13"/>
                <w:color w:val="auto"/>
              </w:rPr>
              <w:t>51,378</w:t>
            </w:r>
          </w:p>
        </w:tc>
        <w:tc>
          <w:tcPr>
            <w:tcW w:w="1740" w:type="dxa"/>
            <w:vAlign w:val="bottom"/>
            <w:shd w:val="clear" w:color="auto" w:fill="E5E6E6"/>
          </w:tcPr>
          <w:p>
            <w:pPr>
              <w:jc w:val="right"/>
              <w:ind w:right="273"/>
              <w:spacing w:after="0"/>
              <w:rPr>
                <w:sz w:val="20"/>
                <w:szCs w:val="20"/>
                <w:color w:val="auto"/>
              </w:rPr>
            </w:pPr>
            <w:r>
              <w:rPr>
                <w:rFonts w:ascii="Arial" w:cs="Arial" w:eastAsia="Arial" w:hAnsi="Arial"/>
                <w:sz w:val="13"/>
                <w:szCs w:val="13"/>
                <w:color w:val="auto"/>
              </w:rPr>
              <w:t>401,634</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E0E0E0"/>
            </w:tcBorders>
          </w:tcPr>
          <w:p>
            <w:pPr>
              <w:ind w:left="80"/>
              <w:spacing w:after="0"/>
              <w:rPr>
                <w:sz w:val="20"/>
                <w:szCs w:val="20"/>
                <w:color w:val="auto"/>
              </w:rPr>
            </w:pPr>
            <w:r>
              <w:rPr>
                <w:rFonts w:ascii="Arial" w:cs="Arial" w:eastAsia="Arial" w:hAnsi="Arial"/>
                <w:sz w:val="13"/>
                <w:szCs w:val="13"/>
                <w:color w:val="auto"/>
              </w:rPr>
              <w:t>Robert A. Edwards</w:t>
            </w:r>
          </w:p>
        </w:tc>
        <w:tc>
          <w:tcPr>
            <w:tcW w:w="1660" w:type="dxa"/>
            <w:vAlign w:val="bottom"/>
            <w:tcBorders>
              <w:bottom w:val="single" w:sz="8" w:color="E0E0E0"/>
            </w:tcBorders>
          </w:tcPr>
          <w:p>
            <w:pPr>
              <w:jc w:val="right"/>
              <w:ind w:right="293"/>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E0E0E0"/>
            </w:tcBorders>
          </w:tcPr>
          <w:p>
            <w:pPr>
              <w:jc w:val="right"/>
              <w:ind w:right="213"/>
              <w:spacing w:after="0"/>
              <w:rPr>
                <w:sz w:val="20"/>
                <w:szCs w:val="20"/>
                <w:color w:val="auto"/>
              </w:rPr>
            </w:pPr>
            <w:r>
              <w:rPr>
                <w:rFonts w:ascii="Arial" w:cs="Arial" w:eastAsia="Arial" w:hAnsi="Arial"/>
                <w:sz w:val="13"/>
                <w:szCs w:val="13"/>
                <w:color w:val="auto"/>
              </w:rPr>
              <w:t>6,510</w:t>
            </w:r>
          </w:p>
        </w:tc>
        <w:tc>
          <w:tcPr>
            <w:tcW w:w="1680" w:type="dxa"/>
            <w:vAlign w:val="bottom"/>
            <w:tcBorders>
              <w:bottom w:val="single" w:sz="8" w:color="E0E0E0"/>
            </w:tcBorders>
          </w:tcPr>
          <w:p>
            <w:pPr>
              <w:jc w:val="right"/>
              <w:ind w:right="213"/>
              <w:spacing w:after="0"/>
              <w:rPr>
                <w:sz w:val="20"/>
                <w:szCs w:val="20"/>
                <w:color w:val="auto"/>
              </w:rPr>
            </w:pPr>
            <w:r>
              <w:rPr>
                <w:rFonts w:ascii="Arial" w:cs="Arial" w:eastAsia="Arial" w:hAnsi="Arial"/>
                <w:sz w:val="13"/>
                <w:szCs w:val="13"/>
                <w:color w:val="auto"/>
              </w:rPr>
              <w:t>4,099</w:t>
            </w:r>
          </w:p>
        </w:tc>
        <w:tc>
          <w:tcPr>
            <w:tcW w:w="1740" w:type="dxa"/>
            <w:vAlign w:val="bottom"/>
            <w:tcBorders>
              <w:bottom w:val="single" w:sz="8" w:color="E0E0E0"/>
            </w:tcBorders>
          </w:tcPr>
          <w:p>
            <w:pPr>
              <w:jc w:val="right"/>
              <w:ind w:right="273"/>
              <w:spacing w:after="0"/>
              <w:rPr>
                <w:sz w:val="20"/>
                <w:szCs w:val="20"/>
                <w:color w:val="auto"/>
              </w:rPr>
            </w:pPr>
            <w:r>
              <w:rPr>
                <w:rFonts w:ascii="Arial" w:cs="Arial" w:eastAsia="Arial" w:hAnsi="Arial"/>
                <w:sz w:val="13"/>
                <w:szCs w:val="13"/>
                <w:color w:val="auto"/>
              </w:rPr>
              <w:t>84,052</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80" w:right="580" w:hanging="305"/>
        <w:spacing w:after="0" w:line="183" w:lineRule="auto"/>
        <w:tabs>
          <w:tab w:leader="none" w:pos="380" w:val="left"/>
        </w:tabs>
        <w:numPr>
          <w:ilvl w:val="0"/>
          <w:numId w:val="56"/>
        </w:numPr>
        <w:rPr>
          <w:rFonts w:ascii="Arial" w:cs="Arial" w:eastAsia="Arial" w:hAnsi="Arial"/>
          <w:sz w:val="22"/>
          <w:szCs w:val="22"/>
          <w:color w:val="474C55"/>
          <w:vertAlign w:val="superscript"/>
        </w:rPr>
      </w:pPr>
      <w:r>
        <w:rPr>
          <w:rFonts w:ascii="Arial" w:cs="Arial" w:eastAsia="Arial" w:hAnsi="Arial"/>
          <w:sz w:val="13"/>
          <w:szCs w:val="13"/>
          <w:color w:val="474C55"/>
        </w:rPr>
        <w:t>Executive contributions, as applicable, include equity compensation, which is included in the Summary Compensation Table in the year granted but contributed to the Deferred Compensation Plan in the year vested.</w:t>
      </w:r>
    </w:p>
    <w:p>
      <w:pPr>
        <w:ind w:left="380" w:hanging="305"/>
        <w:spacing w:after="0" w:line="184" w:lineRule="auto"/>
        <w:tabs>
          <w:tab w:leader="none" w:pos="380" w:val="left"/>
        </w:tabs>
        <w:numPr>
          <w:ilvl w:val="0"/>
          <w:numId w:val="57"/>
        </w:numPr>
        <w:rPr>
          <w:rFonts w:ascii="Arial" w:cs="Arial" w:eastAsia="Arial" w:hAnsi="Arial"/>
          <w:sz w:val="19"/>
          <w:szCs w:val="19"/>
          <w:color w:val="474C55"/>
          <w:vertAlign w:val="superscript"/>
        </w:rPr>
      </w:pPr>
      <w:r>
        <w:rPr>
          <w:rFonts w:ascii="Arial" w:cs="Arial" w:eastAsia="Arial" w:hAnsi="Arial"/>
          <w:sz w:val="12"/>
          <w:szCs w:val="12"/>
          <w:color w:val="474C55"/>
        </w:rPr>
        <w:t>All Company contributions are included in the Summary Compensation Table under the column heading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424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22" w:lineRule="exact"/>
        <w:rPr>
          <w:sz w:val="20"/>
          <w:szCs w:val="20"/>
          <w:color w:val="auto"/>
        </w:rPr>
      </w:pPr>
    </w:p>
    <w:p>
      <w:pPr>
        <w:spacing w:after="0" w:line="246" w:lineRule="auto"/>
        <w:rPr>
          <w:sz w:val="20"/>
          <w:szCs w:val="20"/>
          <w:color w:val="auto"/>
        </w:rPr>
      </w:pPr>
      <w:r>
        <w:rPr>
          <w:rFonts w:ascii="Arial" w:cs="Arial" w:eastAsia="Arial" w:hAnsi="Arial"/>
          <w:sz w:val="17"/>
          <w:szCs w:val="17"/>
          <w:color w:val="474C55"/>
        </w:rPr>
        <w:t>A participant becomes vested in his/her Company contributions in accordance with a vesting schedule based on the participant’s years of service. Based on current years of service, each named executive officer is vested 100% vested in his/her share of any Company contribution at the time such Company contribution is made to the Deferred Compensation Plan.</w:t>
      </w:r>
    </w:p>
    <w:p>
      <w:pPr>
        <w:spacing w:after="0" w:line="150" w:lineRule="exact"/>
        <w:rPr>
          <w:sz w:val="20"/>
          <w:szCs w:val="20"/>
          <w:color w:val="auto"/>
        </w:rPr>
      </w:pPr>
    </w:p>
    <w:p>
      <w:pPr>
        <w:ind w:right="500"/>
        <w:spacing w:after="0" w:line="261" w:lineRule="auto"/>
        <w:rPr>
          <w:sz w:val="20"/>
          <w:szCs w:val="20"/>
          <w:color w:val="auto"/>
        </w:rPr>
      </w:pPr>
      <w:r>
        <w:rPr>
          <w:rFonts w:ascii="Arial" w:cs="Arial" w:eastAsia="Arial" w:hAnsi="Arial"/>
          <w:sz w:val="17"/>
          <w:szCs w:val="17"/>
          <w:color w:val="474C55"/>
        </w:rPr>
        <w:t>Further, under the Deferred Compensation Plan, upon a change in control, a participant’s Company contribution account becomes fully vested but remains subject to the payment provisions and participant elections as to time and method of payment.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474C55"/>
        </w:rPr>
        <w:t>See Compensation Discussion and Analysis: 2024 Executive Compensation Components: Retirement and Other Benefits for additional information.</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spacing w:after="0"/>
        <w:rPr>
          <w:sz w:val="20"/>
          <w:szCs w:val="20"/>
          <w:color w:val="auto"/>
        </w:rPr>
      </w:pPr>
      <w:r>
        <w:rPr>
          <w:rFonts w:ascii="Arial" w:cs="Arial" w:eastAsia="Arial" w:hAnsi="Arial"/>
          <w:sz w:val="24"/>
          <w:szCs w:val="24"/>
          <w:b w:val="1"/>
          <w:bCs w:val="1"/>
          <w:color w:val="017AB5"/>
        </w:rPr>
        <w:t>Potential Payouts Upon Termination or Change of Control</w:t>
      </w:r>
    </w:p>
    <w:p>
      <w:pPr>
        <w:spacing w:after="0" w:line="200" w:lineRule="exact"/>
        <w:rPr>
          <w:sz w:val="20"/>
          <w:szCs w:val="20"/>
          <w:color w:val="auto"/>
        </w:rPr>
      </w:pPr>
    </w:p>
    <w:p>
      <w:pPr>
        <w:ind w:right="220"/>
        <w:spacing w:after="0"/>
        <w:rPr>
          <w:sz w:val="20"/>
          <w:szCs w:val="20"/>
          <w:color w:val="auto"/>
        </w:rPr>
      </w:pPr>
      <w:r>
        <w:rPr>
          <w:rFonts w:ascii="Arial" w:cs="Arial" w:eastAsia="Arial" w:hAnsi="Arial"/>
          <w:sz w:val="17"/>
          <w:szCs w:val="17"/>
          <w:color w:val="474C55"/>
        </w:rPr>
        <w:t>Our agreements with our NEOs and certain plans and programs in which those officers participate provide for benefits or payments upon certain employment termination or change-in-control events. We discuss these benefits and payments below except to the extent they are available generally to all salaried employees and do not discriminate in favor of our executive officers or to the extent already discussed previously under Pension Benefits and Nonqualified Deferred Compensation.</w:t>
      </w:r>
    </w:p>
    <w:p>
      <w:pPr>
        <w:spacing w:after="0" w:line="156" w:lineRule="exact"/>
        <w:rPr>
          <w:sz w:val="20"/>
          <w:szCs w:val="20"/>
          <w:color w:val="auto"/>
        </w:rPr>
      </w:pPr>
    </w:p>
    <w:p>
      <w:pPr>
        <w:ind w:right="600"/>
        <w:spacing w:after="0" w:line="261" w:lineRule="auto"/>
        <w:rPr>
          <w:sz w:val="20"/>
          <w:szCs w:val="20"/>
          <w:color w:val="auto"/>
        </w:rPr>
      </w:pPr>
      <w:r>
        <w:rPr>
          <w:rFonts w:ascii="Arial" w:cs="Arial" w:eastAsia="Arial" w:hAnsi="Arial"/>
          <w:sz w:val="17"/>
          <w:szCs w:val="17"/>
          <w:color w:val="474C55"/>
        </w:rPr>
        <w:t>The following table outlines the severance compensation payable to our NEOs, assuming separation from service on December 31, 2024, under various employment termination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90170</wp:posOffset>
            </wp:positionV>
            <wp:extent cx="8255" cy="6038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90170</wp:posOffset>
            </wp:positionV>
            <wp:extent cx="8255" cy="6038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90170</wp:posOffset>
            </wp:positionV>
            <wp:extent cx="8255" cy="6038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90170</wp:posOffset>
            </wp:positionV>
            <wp:extent cx="8255" cy="6038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90170</wp:posOffset>
            </wp:positionV>
            <wp:extent cx="8255" cy="6038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90170</wp:posOffset>
            </wp:positionV>
            <wp:extent cx="8255" cy="6038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60388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shd w:val="clear" w:color="auto" w:fill="007DB6"/>
          </w:tcPr>
          <w:p>
            <w:pPr>
              <w:spacing w:after="0"/>
              <w:rPr>
                <w:sz w:val="13"/>
                <w:szCs w:val="13"/>
                <w:color w:val="auto"/>
              </w:rPr>
            </w:pPr>
          </w:p>
        </w:tc>
        <w:tc>
          <w:tcPr>
            <w:tcW w:w="1440" w:type="dxa"/>
            <w:vAlign w:val="bottom"/>
            <w:shd w:val="clear" w:color="auto" w:fill="007DB6"/>
          </w:tcPr>
          <w:p>
            <w:pPr>
              <w:spacing w:after="0"/>
              <w:rPr>
                <w:sz w:val="13"/>
                <w:szCs w:val="13"/>
                <w:color w:val="auto"/>
              </w:rPr>
            </w:pPr>
          </w:p>
        </w:tc>
        <w:tc>
          <w:tcPr>
            <w:tcW w:w="1680" w:type="dxa"/>
            <w:vAlign w:val="bottom"/>
            <w:shd w:val="clear" w:color="auto" w:fill="007DB6"/>
          </w:tcPr>
          <w:p>
            <w:pPr>
              <w:spacing w:after="0"/>
              <w:rPr>
                <w:sz w:val="13"/>
                <w:szCs w:val="13"/>
                <w:color w:val="auto"/>
              </w:rPr>
            </w:pPr>
          </w:p>
        </w:tc>
        <w:tc>
          <w:tcPr>
            <w:tcW w:w="1840" w:type="dxa"/>
            <w:vAlign w:val="bottom"/>
            <w:vMerge w:val="restart"/>
            <w:shd w:val="clear" w:color="auto" w:fill="007DB6"/>
          </w:tcPr>
          <w:p>
            <w:pPr>
              <w:jc w:val="center"/>
              <w:ind w:right="53"/>
              <w:spacing w:after="0"/>
              <w:rPr>
                <w:sz w:val="20"/>
                <w:szCs w:val="20"/>
                <w:color w:val="auto"/>
              </w:rPr>
            </w:pPr>
            <w:r>
              <w:rPr>
                <w:rFonts w:ascii="Arial" w:cs="Arial" w:eastAsia="Arial" w:hAnsi="Arial"/>
                <w:sz w:val="13"/>
                <w:szCs w:val="13"/>
                <w:color w:val="FFFFFF"/>
              </w:rPr>
              <w:t>Termination by United</w:t>
            </w:r>
          </w:p>
        </w:tc>
        <w:tc>
          <w:tcPr>
            <w:tcW w:w="1700" w:type="dxa"/>
            <w:vAlign w:val="bottom"/>
            <w:shd w:val="clear" w:color="auto" w:fill="007DB6"/>
          </w:tcPr>
          <w:p>
            <w:pPr>
              <w:jc w:val="center"/>
              <w:ind w:right="153"/>
              <w:spacing w:after="0"/>
              <w:rPr>
                <w:sz w:val="20"/>
                <w:szCs w:val="20"/>
                <w:color w:val="auto"/>
              </w:rPr>
            </w:pPr>
            <w:r>
              <w:rPr>
                <w:rFonts w:ascii="Arial" w:cs="Arial" w:eastAsia="Arial" w:hAnsi="Arial"/>
                <w:sz w:val="13"/>
                <w:szCs w:val="13"/>
                <w:color w:val="FFFFFF"/>
              </w:rPr>
              <w:t>Termination by</w:t>
            </w:r>
          </w:p>
        </w:tc>
        <w:tc>
          <w:tcPr>
            <w:tcW w:w="1540" w:type="dxa"/>
            <w:vAlign w:val="bottom"/>
            <w:shd w:val="clear" w:color="auto" w:fill="007DB6"/>
          </w:tcPr>
          <w:p>
            <w:pPr>
              <w:spacing w:after="0"/>
              <w:rPr>
                <w:sz w:val="13"/>
                <w:szCs w:val="13"/>
                <w:color w:val="auto"/>
              </w:rPr>
            </w:pPr>
          </w:p>
        </w:tc>
        <w:tc>
          <w:tcPr>
            <w:tcW w:w="1380" w:type="dxa"/>
            <w:vAlign w:val="bottom"/>
            <w:shd w:val="clear" w:color="auto" w:fill="007DB6"/>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1660" w:type="dxa"/>
            <w:vAlign w:val="bottom"/>
            <w:shd w:val="clear" w:color="auto" w:fill="007DB6"/>
          </w:tcPr>
          <w:p>
            <w:pPr>
              <w:spacing w:after="0"/>
              <w:rPr>
                <w:sz w:val="6"/>
                <w:szCs w:val="6"/>
                <w:color w:val="auto"/>
              </w:rPr>
            </w:pPr>
          </w:p>
        </w:tc>
        <w:tc>
          <w:tcPr>
            <w:tcW w:w="1440" w:type="dxa"/>
            <w:vAlign w:val="bottom"/>
            <w:shd w:val="clear" w:color="auto" w:fill="007DB6"/>
          </w:tcPr>
          <w:p>
            <w:pPr>
              <w:spacing w:after="0"/>
              <w:rPr>
                <w:sz w:val="6"/>
                <w:szCs w:val="6"/>
                <w:color w:val="auto"/>
              </w:rPr>
            </w:pPr>
          </w:p>
        </w:tc>
        <w:tc>
          <w:tcPr>
            <w:tcW w:w="1680" w:type="dxa"/>
            <w:vAlign w:val="bottom"/>
            <w:vMerge w:val="restart"/>
            <w:shd w:val="clear" w:color="auto" w:fill="007DB6"/>
          </w:tcPr>
          <w:p>
            <w:pPr>
              <w:jc w:val="center"/>
              <w:ind w:right="74"/>
              <w:spacing w:after="0"/>
              <w:rPr>
                <w:sz w:val="20"/>
                <w:szCs w:val="20"/>
                <w:color w:val="auto"/>
              </w:rPr>
            </w:pPr>
            <w:r>
              <w:rPr>
                <w:rFonts w:ascii="Arial" w:cs="Arial" w:eastAsia="Arial" w:hAnsi="Arial"/>
                <w:sz w:val="13"/>
                <w:szCs w:val="13"/>
                <w:color w:val="FFFFFF"/>
              </w:rPr>
              <w:t>Termination by United</w:t>
            </w:r>
          </w:p>
        </w:tc>
        <w:tc>
          <w:tcPr>
            <w:tcW w:w="1840" w:type="dxa"/>
            <w:vAlign w:val="bottom"/>
            <w:vMerge w:val="continue"/>
            <w:shd w:val="clear" w:color="auto" w:fill="007DB6"/>
          </w:tcPr>
          <w:p>
            <w:pPr>
              <w:spacing w:after="0"/>
              <w:rPr>
                <w:sz w:val="6"/>
                <w:szCs w:val="6"/>
                <w:color w:val="auto"/>
              </w:rPr>
            </w:pPr>
          </w:p>
        </w:tc>
        <w:tc>
          <w:tcPr>
            <w:tcW w:w="1700" w:type="dxa"/>
            <w:vAlign w:val="bottom"/>
            <w:vMerge w:val="restart"/>
            <w:shd w:val="clear" w:color="auto" w:fill="007DB6"/>
          </w:tcPr>
          <w:p>
            <w:pPr>
              <w:jc w:val="center"/>
              <w:ind w:right="93"/>
              <w:spacing w:after="0"/>
              <w:rPr>
                <w:sz w:val="20"/>
                <w:szCs w:val="20"/>
                <w:color w:val="auto"/>
              </w:rPr>
            </w:pPr>
            <w:r>
              <w:rPr>
                <w:rFonts w:ascii="Arial" w:cs="Arial" w:eastAsia="Arial" w:hAnsi="Arial"/>
                <w:sz w:val="13"/>
                <w:szCs w:val="13"/>
                <w:color w:val="FFFFFF"/>
              </w:rPr>
              <w:t>United Community</w:t>
            </w:r>
          </w:p>
        </w:tc>
        <w:tc>
          <w:tcPr>
            <w:tcW w:w="1540" w:type="dxa"/>
            <w:vAlign w:val="bottom"/>
            <w:vMerge w:val="restart"/>
            <w:shd w:val="clear" w:color="auto" w:fill="007DB6"/>
          </w:tcPr>
          <w:p>
            <w:pPr>
              <w:jc w:val="center"/>
              <w:ind w:right="74"/>
              <w:spacing w:after="0"/>
              <w:rPr>
                <w:sz w:val="20"/>
                <w:szCs w:val="20"/>
                <w:color w:val="auto"/>
              </w:rPr>
            </w:pPr>
            <w:r>
              <w:rPr>
                <w:rFonts w:ascii="Arial" w:cs="Arial" w:eastAsia="Arial" w:hAnsi="Arial"/>
                <w:sz w:val="13"/>
                <w:szCs w:val="13"/>
                <w:color w:val="FFFFFF"/>
              </w:rPr>
              <w:t>Termination Due to</w:t>
            </w:r>
          </w:p>
        </w:tc>
        <w:tc>
          <w:tcPr>
            <w:tcW w:w="1380" w:type="dxa"/>
            <w:vAlign w:val="bottom"/>
            <w:vMerge w:val="restart"/>
            <w:shd w:val="clear" w:color="auto" w:fill="007DB6"/>
          </w:tcPr>
          <w:p>
            <w:pPr>
              <w:jc w:val="center"/>
              <w:spacing w:after="0"/>
              <w:rPr>
                <w:sz w:val="20"/>
                <w:szCs w:val="20"/>
                <w:color w:val="auto"/>
              </w:rPr>
            </w:pPr>
            <w:r>
              <w:rPr>
                <w:rFonts w:ascii="Arial" w:cs="Arial" w:eastAsia="Arial" w:hAnsi="Arial"/>
                <w:sz w:val="13"/>
                <w:szCs w:val="13"/>
                <w:color w:val="FFFFFF"/>
              </w:rPr>
              <w:t>Termination Due to</w:t>
            </w:r>
          </w:p>
        </w:tc>
        <w:tc>
          <w:tcPr>
            <w:tcW w:w="0" w:type="dxa"/>
            <w:vAlign w:val="bottom"/>
          </w:tcPr>
          <w:p>
            <w:pPr>
              <w:spacing w:after="0"/>
              <w:rPr>
                <w:sz w:val="1"/>
                <w:szCs w:val="1"/>
                <w:color w:val="auto"/>
              </w:rPr>
            </w:pPr>
          </w:p>
        </w:tc>
      </w:tr>
      <w:tr>
        <w:trPr>
          <w:trHeight w:val="75"/>
        </w:trPr>
        <w:tc>
          <w:tcPr>
            <w:tcW w:w="1660" w:type="dxa"/>
            <w:vAlign w:val="bottom"/>
            <w:shd w:val="clear" w:color="auto" w:fill="007DB6"/>
          </w:tcPr>
          <w:p>
            <w:pPr>
              <w:spacing w:after="0"/>
              <w:rPr>
                <w:sz w:val="6"/>
                <w:szCs w:val="6"/>
                <w:color w:val="auto"/>
              </w:rPr>
            </w:pPr>
          </w:p>
        </w:tc>
        <w:tc>
          <w:tcPr>
            <w:tcW w:w="1440" w:type="dxa"/>
            <w:vAlign w:val="bottom"/>
            <w:shd w:val="clear" w:color="auto" w:fill="007DB6"/>
          </w:tcPr>
          <w:p>
            <w:pPr>
              <w:spacing w:after="0"/>
              <w:rPr>
                <w:sz w:val="6"/>
                <w:szCs w:val="6"/>
                <w:color w:val="auto"/>
              </w:rPr>
            </w:pPr>
          </w:p>
        </w:tc>
        <w:tc>
          <w:tcPr>
            <w:tcW w:w="1680" w:type="dxa"/>
            <w:vAlign w:val="bottom"/>
            <w:vMerge w:val="continue"/>
            <w:shd w:val="clear" w:color="auto" w:fill="007DB6"/>
          </w:tcPr>
          <w:p>
            <w:pPr>
              <w:spacing w:after="0"/>
              <w:rPr>
                <w:sz w:val="6"/>
                <w:szCs w:val="6"/>
                <w:color w:val="auto"/>
              </w:rPr>
            </w:pPr>
          </w:p>
        </w:tc>
        <w:tc>
          <w:tcPr>
            <w:tcW w:w="1840" w:type="dxa"/>
            <w:vAlign w:val="bottom"/>
            <w:vMerge w:val="restart"/>
            <w:shd w:val="clear" w:color="auto" w:fill="007DB6"/>
          </w:tcPr>
          <w:p>
            <w:pPr>
              <w:jc w:val="center"/>
              <w:ind w:right="53"/>
              <w:spacing w:after="0"/>
              <w:rPr>
                <w:sz w:val="20"/>
                <w:szCs w:val="20"/>
                <w:color w:val="auto"/>
              </w:rPr>
            </w:pPr>
            <w:r>
              <w:rPr>
                <w:rFonts w:ascii="Arial" w:cs="Arial" w:eastAsia="Arial" w:hAnsi="Arial"/>
                <w:sz w:val="13"/>
                <w:szCs w:val="13"/>
                <w:color w:val="FFFFFF"/>
              </w:rPr>
              <w:t>Community Without</w:t>
            </w:r>
          </w:p>
        </w:tc>
        <w:tc>
          <w:tcPr>
            <w:tcW w:w="1700" w:type="dxa"/>
            <w:vAlign w:val="bottom"/>
            <w:vMerge w:val="continue"/>
            <w:shd w:val="clear" w:color="auto" w:fill="007DB6"/>
          </w:tcPr>
          <w:p>
            <w:pPr>
              <w:spacing w:after="0"/>
              <w:rPr>
                <w:sz w:val="6"/>
                <w:szCs w:val="6"/>
                <w:color w:val="auto"/>
              </w:rPr>
            </w:pPr>
          </w:p>
        </w:tc>
        <w:tc>
          <w:tcPr>
            <w:tcW w:w="1540" w:type="dxa"/>
            <w:vAlign w:val="bottom"/>
            <w:vMerge w:val="continue"/>
            <w:shd w:val="clear" w:color="auto" w:fill="007DB6"/>
          </w:tcPr>
          <w:p>
            <w:pPr>
              <w:spacing w:after="0"/>
              <w:rPr>
                <w:sz w:val="6"/>
                <w:szCs w:val="6"/>
                <w:color w:val="auto"/>
              </w:rPr>
            </w:pPr>
          </w:p>
        </w:tc>
        <w:tc>
          <w:tcPr>
            <w:tcW w:w="1380" w:type="dxa"/>
            <w:vAlign w:val="bottom"/>
            <w:vMerge w:val="continue"/>
            <w:shd w:val="clear" w:color="auto" w:fill="007DB6"/>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660" w:type="dxa"/>
            <w:vAlign w:val="bottom"/>
            <w:shd w:val="clear" w:color="auto" w:fill="007DB6"/>
          </w:tcPr>
          <w:p>
            <w:pPr>
              <w:spacing w:after="0"/>
              <w:rPr>
                <w:sz w:val="6"/>
                <w:szCs w:val="6"/>
                <w:color w:val="auto"/>
              </w:rPr>
            </w:pPr>
          </w:p>
        </w:tc>
        <w:tc>
          <w:tcPr>
            <w:tcW w:w="1440" w:type="dxa"/>
            <w:vAlign w:val="bottom"/>
            <w:vMerge w:val="restart"/>
            <w:shd w:val="clear" w:color="auto" w:fill="007DB6"/>
          </w:tcPr>
          <w:p>
            <w:pPr>
              <w:jc w:val="right"/>
              <w:ind w:right="93"/>
              <w:spacing w:after="0" w:line="232" w:lineRule="exact"/>
              <w:rPr>
                <w:sz w:val="20"/>
                <w:szCs w:val="20"/>
                <w:color w:val="auto"/>
              </w:rPr>
            </w:pPr>
            <w:r>
              <w:rPr>
                <w:rFonts w:ascii="Arial" w:cs="Arial" w:eastAsia="Arial" w:hAnsi="Arial"/>
                <w:sz w:val="13"/>
                <w:szCs w:val="13"/>
                <w:color w:val="FFFFFF"/>
              </w:rPr>
              <w:t>Retirement ($)</w:t>
            </w:r>
            <w:r>
              <w:rPr>
                <w:rFonts w:ascii="Arial" w:cs="Arial" w:eastAsia="Arial" w:hAnsi="Arial"/>
                <w:sz w:val="22"/>
                <w:szCs w:val="22"/>
                <w:color w:val="FFFFFF"/>
                <w:vertAlign w:val="superscript"/>
              </w:rPr>
              <w:t>1,2</w:t>
            </w:r>
          </w:p>
        </w:tc>
        <w:tc>
          <w:tcPr>
            <w:tcW w:w="1680" w:type="dxa"/>
            <w:vAlign w:val="bottom"/>
            <w:vMerge w:val="restart"/>
            <w:shd w:val="clear" w:color="auto" w:fill="007DB6"/>
          </w:tcPr>
          <w:p>
            <w:pPr>
              <w:jc w:val="center"/>
              <w:ind w:right="34"/>
              <w:spacing w:after="0"/>
              <w:rPr>
                <w:sz w:val="20"/>
                <w:szCs w:val="20"/>
                <w:color w:val="auto"/>
              </w:rPr>
            </w:pPr>
            <w:r>
              <w:rPr>
                <w:rFonts w:ascii="Arial" w:cs="Arial" w:eastAsia="Arial" w:hAnsi="Arial"/>
                <w:sz w:val="13"/>
                <w:szCs w:val="13"/>
                <w:color w:val="FFFFFF"/>
              </w:rPr>
              <w:t>Community for Cause</w:t>
            </w:r>
          </w:p>
        </w:tc>
        <w:tc>
          <w:tcPr>
            <w:tcW w:w="1840" w:type="dxa"/>
            <w:vAlign w:val="bottom"/>
            <w:vMerge w:val="continue"/>
            <w:shd w:val="clear" w:color="auto" w:fill="007DB6"/>
          </w:tcPr>
          <w:p>
            <w:pPr>
              <w:spacing w:after="0"/>
              <w:rPr>
                <w:sz w:val="6"/>
                <w:szCs w:val="6"/>
                <w:color w:val="auto"/>
              </w:rPr>
            </w:pPr>
          </w:p>
        </w:tc>
        <w:tc>
          <w:tcPr>
            <w:tcW w:w="1700" w:type="dxa"/>
            <w:vAlign w:val="bottom"/>
            <w:vMerge w:val="restart"/>
            <w:shd w:val="clear" w:color="auto" w:fill="007DB6"/>
          </w:tcPr>
          <w:p>
            <w:pPr>
              <w:jc w:val="center"/>
              <w:ind w:right="113"/>
              <w:spacing w:after="0"/>
              <w:rPr>
                <w:sz w:val="20"/>
                <w:szCs w:val="20"/>
                <w:color w:val="auto"/>
              </w:rPr>
            </w:pPr>
            <w:r>
              <w:rPr>
                <w:rFonts w:ascii="Arial" w:cs="Arial" w:eastAsia="Arial" w:hAnsi="Arial"/>
                <w:sz w:val="13"/>
                <w:szCs w:val="13"/>
                <w:color w:val="FFFFFF"/>
              </w:rPr>
              <w:t>Without Cause or by</w:t>
            </w:r>
          </w:p>
        </w:tc>
        <w:tc>
          <w:tcPr>
            <w:tcW w:w="1540" w:type="dxa"/>
            <w:vAlign w:val="bottom"/>
            <w:vMerge w:val="restart"/>
            <w:shd w:val="clear" w:color="auto" w:fill="007DB6"/>
          </w:tcPr>
          <w:p>
            <w:pPr>
              <w:jc w:val="center"/>
              <w:ind w:right="74"/>
              <w:spacing w:after="0"/>
              <w:rPr>
                <w:sz w:val="20"/>
                <w:szCs w:val="20"/>
                <w:color w:val="auto"/>
              </w:rPr>
            </w:pPr>
            <w:r>
              <w:rPr>
                <w:rFonts w:ascii="Arial" w:cs="Arial" w:eastAsia="Arial" w:hAnsi="Arial"/>
                <w:sz w:val="13"/>
                <w:szCs w:val="13"/>
                <w:color w:val="FFFFFF"/>
              </w:rPr>
              <w:t>Death or Disability</w:t>
            </w:r>
          </w:p>
        </w:tc>
        <w:tc>
          <w:tcPr>
            <w:tcW w:w="1380" w:type="dxa"/>
            <w:vAlign w:val="bottom"/>
            <w:vMerge w:val="restart"/>
            <w:shd w:val="clear" w:color="auto" w:fill="007DB6"/>
          </w:tcPr>
          <w:p>
            <w:pPr>
              <w:jc w:val="center"/>
              <w:spacing w:after="0"/>
              <w:rPr>
                <w:sz w:val="20"/>
                <w:szCs w:val="20"/>
                <w:color w:val="auto"/>
              </w:rPr>
            </w:pPr>
            <w:r>
              <w:rPr>
                <w:rFonts w:ascii="Arial" w:cs="Arial" w:eastAsia="Arial" w:hAnsi="Arial"/>
                <w:sz w:val="13"/>
                <w:szCs w:val="13"/>
                <w:color w:val="FFFFFF"/>
              </w:rPr>
              <w:t>Death or Disability</w:t>
            </w:r>
          </w:p>
        </w:tc>
        <w:tc>
          <w:tcPr>
            <w:tcW w:w="0" w:type="dxa"/>
            <w:vAlign w:val="bottom"/>
          </w:tcPr>
          <w:p>
            <w:pPr>
              <w:spacing w:after="0"/>
              <w:rPr>
                <w:sz w:val="1"/>
                <w:szCs w:val="1"/>
                <w:color w:val="auto"/>
              </w:rPr>
            </w:pPr>
          </w:p>
        </w:tc>
      </w:tr>
      <w:tr>
        <w:trPr>
          <w:trHeight w:val="75"/>
        </w:trPr>
        <w:tc>
          <w:tcPr>
            <w:tcW w:w="1660" w:type="dxa"/>
            <w:vAlign w:val="bottom"/>
            <w:vMerge w:val="restart"/>
            <w:shd w:val="clear" w:color="auto" w:fill="007DB6"/>
          </w:tcPr>
          <w:p>
            <w:pPr>
              <w:ind w:left="80"/>
              <w:spacing w:after="0"/>
              <w:rPr>
                <w:sz w:val="20"/>
                <w:szCs w:val="20"/>
                <w:color w:val="auto"/>
              </w:rPr>
            </w:pPr>
            <w:r>
              <w:rPr>
                <w:rFonts w:ascii="Arial" w:cs="Arial" w:eastAsia="Arial" w:hAnsi="Arial"/>
                <w:sz w:val="13"/>
                <w:szCs w:val="13"/>
                <w:color w:val="FFFFFF"/>
              </w:rPr>
              <w:t>Name</w:t>
            </w:r>
          </w:p>
        </w:tc>
        <w:tc>
          <w:tcPr>
            <w:tcW w:w="1440" w:type="dxa"/>
            <w:vAlign w:val="bottom"/>
            <w:vMerge w:val="continue"/>
            <w:shd w:val="clear" w:color="auto" w:fill="007DB6"/>
          </w:tcPr>
          <w:p>
            <w:pPr>
              <w:spacing w:after="0"/>
              <w:rPr>
                <w:sz w:val="6"/>
                <w:szCs w:val="6"/>
                <w:color w:val="auto"/>
              </w:rPr>
            </w:pPr>
          </w:p>
        </w:tc>
        <w:tc>
          <w:tcPr>
            <w:tcW w:w="1680" w:type="dxa"/>
            <w:vAlign w:val="bottom"/>
            <w:vMerge w:val="continue"/>
            <w:shd w:val="clear" w:color="auto" w:fill="007DB6"/>
          </w:tcPr>
          <w:p>
            <w:pPr>
              <w:spacing w:after="0"/>
              <w:rPr>
                <w:sz w:val="6"/>
                <w:szCs w:val="6"/>
                <w:color w:val="auto"/>
              </w:rPr>
            </w:pPr>
          </w:p>
        </w:tc>
        <w:tc>
          <w:tcPr>
            <w:tcW w:w="1840" w:type="dxa"/>
            <w:vAlign w:val="bottom"/>
            <w:vMerge w:val="restart"/>
            <w:shd w:val="clear" w:color="auto" w:fill="007DB6"/>
          </w:tcPr>
          <w:p>
            <w:pPr>
              <w:jc w:val="center"/>
              <w:ind w:right="73"/>
              <w:spacing w:after="0"/>
              <w:rPr>
                <w:sz w:val="20"/>
                <w:szCs w:val="20"/>
                <w:color w:val="auto"/>
              </w:rPr>
            </w:pPr>
            <w:r>
              <w:rPr>
                <w:rFonts w:ascii="Arial" w:cs="Arial" w:eastAsia="Arial" w:hAnsi="Arial"/>
                <w:sz w:val="13"/>
                <w:szCs w:val="13"/>
                <w:color w:val="FFFFFF"/>
              </w:rPr>
              <w:t>Cause or by Executive</w:t>
            </w:r>
          </w:p>
        </w:tc>
        <w:tc>
          <w:tcPr>
            <w:tcW w:w="1700" w:type="dxa"/>
            <w:vAlign w:val="bottom"/>
            <w:vMerge w:val="continue"/>
            <w:shd w:val="clear" w:color="auto" w:fill="007DB6"/>
          </w:tcPr>
          <w:p>
            <w:pPr>
              <w:spacing w:after="0"/>
              <w:rPr>
                <w:sz w:val="6"/>
                <w:szCs w:val="6"/>
                <w:color w:val="auto"/>
              </w:rPr>
            </w:pPr>
          </w:p>
        </w:tc>
        <w:tc>
          <w:tcPr>
            <w:tcW w:w="1540" w:type="dxa"/>
            <w:vAlign w:val="bottom"/>
            <w:vMerge w:val="continue"/>
            <w:shd w:val="clear" w:color="auto" w:fill="007DB6"/>
          </w:tcPr>
          <w:p>
            <w:pPr>
              <w:spacing w:after="0"/>
              <w:rPr>
                <w:sz w:val="6"/>
                <w:szCs w:val="6"/>
                <w:color w:val="auto"/>
              </w:rPr>
            </w:pPr>
          </w:p>
        </w:tc>
        <w:tc>
          <w:tcPr>
            <w:tcW w:w="1380" w:type="dxa"/>
            <w:vAlign w:val="bottom"/>
            <w:vMerge w:val="continue"/>
            <w:shd w:val="clear" w:color="auto" w:fill="007DB6"/>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660" w:type="dxa"/>
            <w:vAlign w:val="bottom"/>
            <w:vMerge w:val="continue"/>
            <w:shd w:val="clear" w:color="auto" w:fill="007DB6"/>
          </w:tcPr>
          <w:p>
            <w:pPr>
              <w:spacing w:after="0"/>
              <w:rPr>
                <w:sz w:val="7"/>
                <w:szCs w:val="7"/>
                <w:color w:val="auto"/>
              </w:rPr>
            </w:pPr>
          </w:p>
        </w:tc>
        <w:tc>
          <w:tcPr>
            <w:tcW w:w="1440" w:type="dxa"/>
            <w:vAlign w:val="bottom"/>
            <w:vMerge w:val="continue"/>
            <w:shd w:val="clear" w:color="auto" w:fill="007DB6"/>
          </w:tcPr>
          <w:p>
            <w:pPr>
              <w:spacing w:after="0"/>
              <w:rPr>
                <w:sz w:val="7"/>
                <w:szCs w:val="7"/>
                <w:color w:val="auto"/>
              </w:rPr>
            </w:pPr>
          </w:p>
        </w:tc>
        <w:tc>
          <w:tcPr>
            <w:tcW w:w="1680" w:type="dxa"/>
            <w:vAlign w:val="bottom"/>
            <w:vMerge w:val="restart"/>
            <w:shd w:val="clear" w:color="auto" w:fill="007DB6"/>
          </w:tcPr>
          <w:p>
            <w:pPr>
              <w:jc w:val="center"/>
              <w:ind w:right="14"/>
              <w:spacing w:after="0" w:line="148" w:lineRule="exact"/>
              <w:rPr>
                <w:sz w:val="20"/>
                <w:szCs w:val="20"/>
                <w:color w:val="auto"/>
              </w:rPr>
            </w:pPr>
            <w:r>
              <w:rPr>
                <w:rFonts w:ascii="Arial" w:cs="Arial" w:eastAsia="Arial" w:hAnsi="Arial"/>
                <w:sz w:val="13"/>
                <w:szCs w:val="13"/>
                <w:color w:val="FFFFFF"/>
              </w:rPr>
              <w:t>or by Executive Without</w:t>
            </w:r>
          </w:p>
        </w:tc>
        <w:tc>
          <w:tcPr>
            <w:tcW w:w="1840" w:type="dxa"/>
            <w:vAlign w:val="bottom"/>
            <w:vMerge w:val="continue"/>
            <w:shd w:val="clear" w:color="auto" w:fill="007DB6"/>
          </w:tcPr>
          <w:p>
            <w:pPr>
              <w:spacing w:after="0"/>
              <w:rPr>
                <w:sz w:val="7"/>
                <w:szCs w:val="7"/>
                <w:color w:val="auto"/>
              </w:rPr>
            </w:pPr>
          </w:p>
        </w:tc>
        <w:tc>
          <w:tcPr>
            <w:tcW w:w="1700" w:type="dxa"/>
            <w:vAlign w:val="bottom"/>
            <w:vMerge w:val="restart"/>
            <w:shd w:val="clear" w:color="auto" w:fill="007DB6"/>
          </w:tcPr>
          <w:p>
            <w:pPr>
              <w:jc w:val="center"/>
              <w:ind w:right="113"/>
              <w:spacing w:after="0" w:line="148" w:lineRule="exact"/>
              <w:rPr>
                <w:sz w:val="20"/>
                <w:szCs w:val="20"/>
                <w:color w:val="auto"/>
              </w:rPr>
            </w:pPr>
            <w:r>
              <w:rPr>
                <w:rFonts w:ascii="Arial" w:cs="Arial" w:eastAsia="Arial" w:hAnsi="Arial"/>
                <w:sz w:val="13"/>
                <w:szCs w:val="13"/>
                <w:color w:val="FFFFFF"/>
              </w:rPr>
              <w:t>Executive for Good</w:t>
            </w:r>
          </w:p>
        </w:tc>
        <w:tc>
          <w:tcPr>
            <w:tcW w:w="1540" w:type="dxa"/>
            <w:vAlign w:val="bottom"/>
            <w:vMerge w:val="restart"/>
            <w:shd w:val="clear" w:color="auto" w:fill="007DB6"/>
          </w:tcPr>
          <w:p>
            <w:pPr>
              <w:jc w:val="center"/>
              <w:ind w:right="74"/>
              <w:spacing w:after="0" w:line="148" w:lineRule="exact"/>
              <w:rPr>
                <w:sz w:val="20"/>
                <w:szCs w:val="20"/>
                <w:color w:val="auto"/>
              </w:rPr>
            </w:pPr>
            <w:r>
              <w:rPr>
                <w:rFonts w:ascii="Arial" w:cs="Arial" w:eastAsia="Arial" w:hAnsi="Arial"/>
                <w:sz w:val="13"/>
                <w:szCs w:val="13"/>
                <w:color w:val="FFFFFF"/>
              </w:rPr>
              <w:t>Before Change in</w:t>
            </w:r>
          </w:p>
        </w:tc>
        <w:tc>
          <w:tcPr>
            <w:tcW w:w="1380" w:type="dxa"/>
            <w:vAlign w:val="bottom"/>
            <w:vMerge w:val="restart"/>
            <w:shd w:val="clear" w:color="auto" w:fill="007DB6"/>
          </w:tcPr>
          <w:p>
            <w:pPr>
              <w:jc w:val="center"/>
              <w:spacing w:after="0" w:line="148" w:lineRule="exact"/>
              <w:rPr>
                <w:sz w:val="20"/>
                <w:szCs w:val="20"/>
                <w:color w:val="auto"/>
              </w:rPr>
            </w:pPr>
            <w:r>
              <w:rPr>
                <w:rFonts w:ascii="Arial" w:cs="Arial" w:eastAsia="Arial" w:hAnsi="Arial"/>
                <w:sz w:val="13"/>
                <w:szCs w:val="13"/>
                <w:color w:val="FFFFFF"/>
              </w:rPr>
              <w:t>After Change in</w:t>
            </w:r>
          </w:p>
        </w:tc>
        <w:tc>
          <w:tcPr>
            <w:tcW w:w="0" w:type="dxa"/>
            <w:vAlign w:val="bottom"/>
          </w:tcPr>
          <w:p>
            <w:pPr>
              <w:spacing w:after="0"/>
              <w:rPr>
                <w:sz w:val="1"/>
                <w:szCs w:val="1"/>
                <w:color w:val="auto"/>
              </w:rPr>
            </w:pPr>
          </w:p>
        </w:tc>
      </w:tr>
      <w:tr>
        <w:trPr>
          <w:trHeight w:val="65"/>
        </w:trPr>
        <w:tc>
          <w:tcPr>
            <w:tcW w:w="1660" w:type="dxa"/>
            <w:vAlign w:val="bottom"/>
            <w:shd w:val="clear" w:color="auto" w:fill="007DB6"/>
          </w:tcPr>
          <w:p>
            <w:pPr>
              <w:spacing w:after="0"/>
              <w:rPr>
                <w:sz w:val="5"/>
                <w:szCs w:val="5"/>
                <w:color w:val="auto"/>
              </w:rPr>
            </w:pPr>
          </w:p>
        </w:tc>
        <w:tc>
          <w:tcPr>
            <w:tcW w:w="1440" w:type="dxa"/>
            <w:vAlign w:val="bottom"/>
            <w:shd w:val="clear" w:color="auto" w:fill="007DB6"/>
          </w:tcPr>
          <w:p>
            <w:pPr>
              <w:spacing w:after="0"/>
              <w:rPr>
                <w:sz w:val="5"/>
                <w:szCs w:val="5"/>
                <w:color w:val="auto"/>
              </w:rPr>
            </w:pPr>
          </w:p>
        </w:tc>
        <w:tc>
          <w:tcPr>
            <w:tcW w:w="1680" w:type="dxa"/>
            <w:vAlign w:val="bottom"/>
            <w:vMerge w:val="continue"/>
            <w:shd w:val="clear" w:color="auto" w:fill="007DB6"/>
          </w:tcPr>
          <w:p>
            <w:pPr>
              <w:spacing w:after="0"/>
              <w:rPr>
                <w:sz w:val="5"/>
                <w:szCs w:val="5"/>
                <w:color w:val="auto"/>
              </w:rPr>
            </w:pPr>
          </w:p>
        </w:tc>
        <w:tc>
          <w:tcPr>
            <w:tcW w:w="1840" w:type="dxa"/>
            <w:vAlign w:val="bottom"/>
            <w:vMerge w:val="restart"/>
            <w:shd w:val="clear" w:color="auto" w:fill="007DB6"/>
          </w:tcPr>
          <w:p>
            <w:pPr>
              <w:jc w:val="center"/>
              <w:ind w:right="53"/>
              <w:spacing w:after="0"/>
              <w:rPr>
                <w:sz w:val="20"/>
                <w:szCs w:val="20"/>
                <w:color w:val="auto"/>
              </w:rPr>
            </w:pPr>
            <w:r>
              <w:rPr>
                <w:rFonts w:ascii="Arial" w:cs="Arial" w:eastAsia="Arial" w:hAnsi="Arial"/>
                <w:sz w:val="13"/>
                <w:szCs w:val="13"/>
                <w:color w:val="FFFFFF"/>
              </w:rPr>
              <w:t>for Good Reason Before</w:t>
            </w:r>
          </w:p>
        </w:tc>
        <w:tc>
          <w:tcPr>
            <w:tcW w:w="1700" w:type="dxa"/>
            <w:vAlign w:val="bottom"/>
            <w:vMerge w:val="continue"/>
            <w:shd w:val="clear" w:color="auto" w:fill="007DB6"/>
          </w:tcPr>
          <w:p>
            <w:pPr>
              <w:spacing w:after="0"/>
              <w:rPr>
                <w:sz w:val="5"/>
                <w:szCs w:val="5"/>
                <w:color w:val="auto"/>
              </w:rPr>
            </w:pPr>
          </w:p>
        </w:tc>
        <w:tc>
          <w:tcPr>
            <w:tcW w:w="1540" w:type="dxa"/>
            <w:vAlign w:val="bottom"/>
            <w:vMerge w:val="continue"/>
            <w:shd w:val="clear" w:color="auto" w:fill="007DB6"/>
          </w:tcPr>
          <w:p>
            <w:pPr>
              <w:spacing w:after="0"/>
              <w:rPr>
                <w:sz w:val="5"/>
                <w:szCs w:val="5"/>
                <w:color w:val="auto"/>
              </w:rPr>
            </w:pPr>
          </w:p>
        </w:tc>
        <w:tc>
          <w:tcPr>
            <w:tcW w:w="1380" w:type="dxa"/>
            <w:vAlign w:val="bottom"/>
            <w:vMerge w:val="continue"/>
            <w:shd w:val="clear" w:color="auto" w:fill="007DB6"/>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660" w:type="dxa"/>
            <w:vAlign w:val="bottom"/>
            <w:shd w:val="clear" w:color="auto" w:fill="007DB6"/>
          </w:tcPr>
          <w:p>
            <w:pPr>
              <w:spacing w:after="0"/>
              <w:rPr>
                <w:sz w:val="9"/>
                <w:szCs w:val="9"/>
                <w:color w:val="auto"/>
              </w:rPr>
            </w:pPr>
          </w:p>
        </w:tc>
        <w:tc>
          <w:tcPr>
            <w:tcW w:w="1440" w:type="dxa"/>
            <w:vAlign w:val="bottom"/>
            <w:shd w:val="clear" w:color="auto" w:fill="007DB6"/>
          </w:tcPr>
          <w:p>
            <w:pPr>
              <w:spacing w:after="0"/>
              <w:rPr>
                <w:sz w:val="9"/>
                <w:szCs w:val="9"/>
                <w:color w:val="auto"/>
              </w:rPr>
            </w:pPr>
          </w:p>
        </w:tc>
        <w:tc>
          <w:tcPr>
            <w:tcW w:w="1680" w:type="dxa"/>
            <w:vAlign w:val="bottom"/>
            <w:vMerge w:val="restart"/>
            <w:shd w:val="clear" w:color="auto" w:fill="007DB6"/>
          </w:tcPr>
          <w:p>
            <w:pPr>
              <w:jc w:val="right"/>
              <w:ind w:right="274"/>
              <w:spacing w:after="0"/>
              <w:rPr>
                <w:sz w:val="20"/>
                <w:szCs w:val="20"/>
                <w:color w:val="auto"/>
              </w:rPr>
            </w:pPr>
            <w:r>
              <w:rPr>
                <w:rFonts w:ascii="Arial" w:cs="Arial" w:eastAsia="Arial" w:hAnsi="Arial"/>
                <w:sz w:val="11"/>
                <w:szCs w:val="11"/>
                <w:color w:val="FFFFFF"/>
              </w:rPr>
              <w:t>2</w:t>
            </w:r>
          </w:p>
        </w:tc>
        <w:tc>
          <w:tcPr>
            <w:tcW w:w="1840" w:type="dxa"/>
            <w:vAlign w:val="bottom"/>
            <w:vMerge w:val="continue"/>
            <w:shd w:val="clear" w:color="auto" w:fill="007DB6"/>
          </w:tcPr>
          <w:p>
            <w:pPr>
              <w:spacing w:after="0"/>
              <w:rPr>
                <w:sz w:val="9"/>
                <w:szCs w:val="9"/>
                <w:color w:val="auto"/>
              </w:rPr>
            </w:pPr>
          </w:p>
        </w:tc>
        <w:tc>
          <w:tcPr>
            <w:tcW w:w="1700" w:type="dxa"/>
            <w:vAlign w:val="bottom"/>
            <w:vMerge w:val="restart"/>
            <w:shd w:val="clear" w:color="auto" w:fill="007DB6"/>
          </w:tcPr>
          <w:p>
            <w:pPr>
              <w:jc w:val="center"/>
              <w:ind w:right="113"/>
              <w:spacing w:after="0" w:line="136" w:lineRule="exact"/>
              <w:rPr>
                <w:sz w:val="20"/>
                <w:szCs w:val="20"/>
                <w:color w:val="auto"/>
              </w:rPr>
            </w:pPr>
            <w:r>
              <w:rPr>
                <w:rFonts w:ascii="Arial" w:cs="Arial" w:eastAsia="Arial" w:hAnsi="Arial"/>
                <w:sz w:val="13"/>
                <w:szCs w:val="13"/>
                <w:color w:val="FFFFFF"/>
              </w:rPr>
              <w:t>Reason After Change</w:t>
            </w:r>
          </w:p>
        </w:tc>
        <w:tc>
          <w:tcPr>
            <w:tcW w:w="1540" w:type="dxa"/>
            <w:vAlign w:val="bottom"/>
            <w:vMerge w:val="restart"/>
            <w:shd w:val="clear" w:color="auto" w:fill="007DB6"/>
          </w:tcPr>
          <w:p>
            <w:pPr>
              <w:jc w:val="right"/>
              <w:ind w:right="334"/>
              <w:spacing w:after="0"/>
              <w:rPr>
                <w:sz w:val="20"/>
                <w:szCs w:val="20"/>
                <w:color w:val="auto"/>
              </w:rPr>
            </w:pPr>
            <w:r>
              <w:rPr>
                <w:rFonts w:ascii="Arial" w:cs="Arial" w:eastAsia="Arial" w:hAnsi="Arial"/>
                <w:sz w:val="11"/>
                <w:szCs w:val="11"/>
                <w:color w:val="FFFFFF"/>
              </w:rPr>
              <w:t>2,3,6</w:t>
            </w:r>
          </w:p>
        </w:tc>
        <w:tc>
          <w:tcPr>
            <w:tcW w:w="1380" w:type="dxa"/>
            <w:vAlign w:val="bottom"/>
            <w:vMerge w:val="restart"/>
            <w:shd w:val="clear" w:color="auto" w:fill="007DB6"/>
          </w:tcPr>
          <w:p>
            <w:pPr>
              <w:jc w:val="right"/>
              <w:ind w:right="214"/>
              <w:spacing w:after="0"/>
              <w:rPr>
                <w:sz w:val="20"/>
                <w:szCs w:val="20"/>
                <w:color w:val="auto"/>
              </w:rPr>
            </w:pPr>
            <w:r>
              <w:rPr>
                <w:rFonts w:ascii="Arial" w:cs="Arial" w:eastAsia="Arial" w:hAnsi="Arial"/>
                <w:sz w:val="11"/>
                <w:szCs w:val="11"/>
                <w:color w:val="FFFFFF"/>
              </w:rPr>
              <w:t>2,3,7</w:t>
            </w:r>
          </w:p>
        </w:tc>
        <w:tc>
          <w:tcPr>
            <w:tcW w:w="0" w:type="dxa"/>
            <w:vAlign w:val="bottom"/>
          </w:tcPr>
          <w:p>
            <w:pPr>
              <w:spacing w:after="0"/>
              <w:rPr>
                <w:sz w:val="1"/>
                <w:szCs w:val="1"/>
                <w:color w:val="auto"/>
              </w:rPr>
            </w:pPr>
          </w:p>
        </w:tc>
      </w:tr>
      <w:tr>
        <w:trPr>
          <w:trHeight w:val="25"/>
        </w:trPr>
        <w:tc>
          <w:tcPr>
            <w:tcW w:w="1660" w:type="dxa"/>
            <w:vAlign w:val="bottom"/>
            <w:shd w:val="clear" w:color="auto" w:fill="007DB6"/>
          </w:tcPr>
          <w:p>
            <w:pPr>
              <w:spacing w:after="0"/>
              <w:rPr>
                <w:sz w:val="2"/>
                <w:szCs w:val="2"/>
                <w:color w:val="auto"/>
              </w:rPr>
            </w:pPr>
          </w:p>
        </w:tc>
        <w:tc>
          <w:tcPr>
            <w:tcW w:w="1440" w:type="dxa"/>
            <w:vAlign w:val="bottom"/>
            <w:shd w:val="clear" w:color="auto" w:fill="007DB6"/>
          </w:tcPr>
          <w:p>
            <w:pPr>
              <w:spacing w:after="0"/>
              <w:rPr>
                <w:sz w:val="2"/>
                <w:szCs w:val="2"/>
                <w:color w:val="auto"/>
              </w:rPr>
            </w:pPr>
          </w:p>
        </w:tc>
        <w:tc>
          <w:tcPr>
            <w:tcW w:w="1680" w:type="dxa"/>
            <w:vAlign w:val="bottom"/>
            <w:vMerge w:val="continue"/>
            <w:shd w:val="clear" w:color="auto" w:fill="007DB6"/>
          </w:tcPr>
          <w:p>
            <w:pPr>
              <w:spacing w:after="0"/>
              <w:rPr>
                <w:sz w:val="2"/>
                <w:szCs w:val="2"/>
                <w:color w:val="auto"/>
              </w:rPr>
            </w:pPr>
          </w:p>
        </w:tc>
        <w:tc>
          <w:tcPr>
            <w:tcW w:w="1840" w:type="dxa"/>
            <w:vAlign w:val="bottom"/>
            <w:shd w:val="clear" w:color="auto" w:fill="007DB6"/>
          </w:tcPr>
          <w:p>
            <w:pPr>
              <w:spacing w:after="0"/>
              <w:rPr>
                <w:sz w:val="2"/>
                <w:szCs w:val="2"/>
                <w:color w:val="auto"/>
              </w:rPr>
            </w:pPr>
          </w:p>
        </w:tc>
        <w:tc>
          <w:tcPr>
            <w:tcW w:w="1700" w:type="dxa"/>
            <w:vAlign w:val="bottom"/>
            <w:vMerge w:val="continue"/>
            <w:shd w:val="clear" w:color="auto" w:fill="007DB6"/>
          </w:tcPr>
          <w:p>
            <w:pPr>
              <w:spacing w:after="0"/>
              <w:rPr>
                <w:sz w:val="2"/>
                <w:szCs w:val="2"/>
                <w:color w:val="auto"/>
              </w:rPr>
            </w:pPr>
          </w:p>
        </w:tc>
        <w:tc>
          <w:tcPr>
            <w:tcW w:w="1540" w:type="dxa"/>
            <w:vAlign w:val="bottom"/>
            <w:vMerge w:val="continue"/>
            <w:shd w:val="clear" w:color="auto" w:fill="007DB6"/>
          </w:tcPr>
          <w:p>
            <w:pPr>
              <w:spacing w:after="0"/>
              <w:rPr>
                <w:sz w:val="2"/>
                <w:szCs w:val="2"/>
                <w:color w:val="auto"/>
              </w:rPr>
            </w:pPr>
          </w:p>
        </w:tc>
        <w:tc>
          <w:tcPr>
            <w:tcW w:w="1380" w:type="dxa"/>
            <w:vAlign w:val="bottom"/>
            <w:vMerge w:val="continue"/>
            <w:shd w:val="clear" w:color="auto" w:fill="007DB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660" w:type="dxa"/>
            <w:vAlign w:val="bottom"/>
            <w:shd w:val="clear" w:color="auto" w:fill="007DB6"/>
          </w:tcPr>
          <w:p>
            <w:pPr>
              <w:spacing w:after="0"/>
              <w:rPr>
                <w:sz w:val="19"/>
                <w:szCs w:val="19"/>
                <w:color w:val="auto"/>
              </w:rPr>
            </w:pPr>
          </w:p>
        </w:tc>
        <w:tc>
          <w:tcPr>
            <w:tcW w:w="1440" w:type="dxa"/>
            <w:vAlign w:val="bottom"/>
            <w:shd w:val="clear" w:color="auto" w:fill="007DB6"/>
          </w:tcPr>
          <w:p>
            <w:pPr>
              <w:spacing w:after="0"/>
              <w:rPr>
                <w:sz w:val="19"/>
                <w:szCs w:val="19"/>
                <w:color w:val="auto"/>
              </w:rPr>
            </w:pPr>
          </w:p>
        </w:tc>
        <w:tc>
          <w:tcPr>
            <w:tcW w:w="1680" w:type="dxa"/>
            <w:vAlign w:val="bottom"/>
            <w:shd w:val="clear" w:color="auto" w:fill="007DB6"/>
          </w:tcPr>
          <w:p>
            <w:pPr>
              <w:jc w:val="center"/>
              <w:ind w:right="94"/>
              <w:spacing w:after="0"/>
              <w:rPr>
                <w:sz w:val="20"/>
                <w:szCs w:val="20"/>
                <w:color w:val="auto"/>
              </w:rPr>
            </w:pPr>
            <w:r>
              <w:rPr>
                <w:rFonts w:ascii="Arial" w:cs="Arial" w:eastAsia="Arial" w:hAnsi="Arial"/>
                <w:sz w:val="13"/>
                <w:szCs w:val="13"/>
                <w:color w:val="FFFFFF"/>
              </w:rPr>
              <w:t>Good Reason ($)</w:t>
            </w:r>
          </w:p>
        </w:tc>
        <w:tc>
          <w:tcPr>
            <w:tcW w:w="1840" w:type="dxa"/>
            <w:vAlign w:val="bottom"/>
            <w:shd w:val="clear" w:color="auto" w:fill="007DB6"/>
          </w:tcPr>
          <w:p>
            <w:pPr>
              <w:jc w:val="center"/>
              <w:ind w:right="53"/>
              <w:spacing w:after="0" w:line="225" w:lineRule="exact"/>
              <w:rPr>
                <w:sz w:val="20"/>
                <w:szCs w:val="20"/>
                <w:color w:val="auto"/>
              </w:rPr>
            </w:pPr>
            <w:r>
              <w:rPr>
                <w:rFonts w:ascii="Arial" w:cs="Arial" w:eastAsia="Arial" w:hAnsi="Arial"/>
                <w:sz w:val="13"/>
                <w:szCs w:val="13"/>
                <w:color w:val="FFFFFF"/>
                <w:w w:val="96"/>
              </w:rPr>
              <w:t>Change in Control ($)</w:t>
            </w:r>
            <w:r>
              <w:rPr>
                <w:rFonts w:ascii="Arial" w:cs="Arial" w:eastAsia="Arial" w:hAnsi="Arial"/>
                <w:sz w:val="22"/>
                <w:szCs w:val="22"/>
                <w:color w:val="FFFFFF"/>
                <w:w w:val="96"/>
                <w:vertAlign w:val="superscript"/>
              </w:rPr>
              <w:t>2,3,4</w:t>
            </w:r>
          </w:p>
        </w:tc>
        <w:tc>
          <w:tcPr>
            <w:tcW w:w="1700" w:type="dxa"/>
            <w:vAlign w:val="bottom"/>
            <w:shd w:val="clear" w:color="auto" w:fill="007DB6"/>
          </w:tcPr>
          <w:p>
            <w:pPr>
              <w:jc w:val="center"/>
              <w:ind w:right="113"/>
              <w:spacing w:after="0" w:line="225" w:lineRule="exact"/>
              <w:rPr>
                <w:sz w:val="20"/>
                <w:szCs w:val="20"/>
                <w:color w:val="auto"/>
              </w:rPr>
            </w:pPr>
            <w:r>
              <w:rPr>
                <w:rFonts w:ascii="Arial" w:cs="Arial" w:eastAsia="Arial" w:hAnsi="Arial"/>
                <w:sz w:val="13"/>
                <w:szCs w:val="13"/>
                <w:color w:val="FFFFFF"/>
                <w:w w:val="93"/>
              </w:rPr>
              <w:t>in Control ($)</w:t>
            </w:r>
            <w:r>
              <w:rPr>
                <w:rFonts w:ascii="Arial" w:cs="Arial" w:eastAsia="Arial" w:hAnsi="Arial"/>
                <w:sz w:val="22"/>
                <w:szCs w:val="22"/>
                <w:color w:val="FFFFFF"/>
                <w:w w:val="93"/>
                <w:vertAlign w:val="superscript"/>
              </w:rPr>
              <w:t>2, 3, 5</w:t>
            </w:r>
          </w:p>
        </w:tc>
        <w:tc>
          <w:tcPr>
            <w:tcW w:w="1540" w:type="dxa"/>
            <w:vAlign w:val="bottom"/>
            <w:shd w:val="clear" w:color="auto" w:fill="007DB6"/>
          </w:tcPr>
          <w:p>
            <w:pPr>
              <w:jc w:val="right"/>
              <w:ind w:right="594"/>
              <w:spacing w:after="0"/>
              <w:rPr>
                <w:sz w:val="20"/>
                <w:szCs w:val="20"/>
                <w:color w:val="auto"/>
              </w:rPr>
            </w:pPr>
            <w:r>
              <w:rPr>
                <w:rFonts w:ascii="Arial" w:cs="Arial" w:eastAsia="Arial" w:hAnsi="Arial"/>
                <w:sz w:val="13"/>
                <w:szCs w:val="13"/>
                <w:color w:val="FFFFFF"/>
              </w:rPr>
              <w:t>Control ($)</w:t>
            </w:r>
          </w:p>
        </w:tc>
        <w:tc>
          <w:tcPr>
            <w:tcW w:w="1380" w:type="dxa"/>
            <w:vAlign w:val="bottom"/>
            <w:shd w:val="clear" w:color="auto" w:fill="007DB6"/>
          </w:tcPr>
          <w:p>
            <w:pPr>
              <w:jc w:val="right"/>
              <w:ind w:right="454"/>
              <w:spacing w:after="0"/>
              <w:rPr>
                <w:sz w:val="20"/>
                <w:szCs w:val="20"/>
                <w:color w:val="auto"/>
              </w:rPr>
            </w:pPr>
            <w:r>
              <w:rPr>
                <w:rFonts w:ascii="Arial" w:cs="Arial" w:eastAsia="Arial" w:hAnsi="Arial"/>
                <w:sz w:val="13"/>
                <w:szCs w:val="13"/>
                <w:color w:val="FFFFFF"/>
              </w:rPr>
              <w:t>Control ($)</w:t>
            </w:r>
          </w:p>
        </w:tc>
        <w:tc>
          <w:tcPr>
            <w:tcW w:w="0" w:type="dxa"/>
            <w:vAlign w:val="bottom"/>
          </w:tcPr>
          <w:p>
            <w:pPr>
              <w:spacing w:after="0"/>
              <w:rPr>
                <w:sz w:val="1"/>
                <w:szCs w:val="1"/>
                <w:color w:val="auto"/>
              </w:rPr>
            </w:pPr>
          </w:p>
        </w:tc>
      </w:tr>
      <w:tr>
        <w:trPr>
          <w:trHeight w:val="221"/>
        </w:trPr>
        <w:tc>
          <w:tcPr>
            <w:tcW w:w="1660" w:type="dxa"/>
            <w:vAlign w:val="bottom"/>
          </w:tcPr>
          <w:p>
            <w:pPr>
              <w:ind w:left="80"/>
              <w:spacing w:after="0"/>
              <w:rPr>
                <w:sz w:val="20"/>
                <w:szCs w:val="20"/>
                <w:color w:val="auto"/>
              </w:rPr>
            </w:pPr>
            <w:r>
              <w:rPr>
                <w:rFonts w:ascii="Arial" w:cs="Arial" w:eastAsia="Arial" w:hAnsi="Arial"/>
                <w:sz w:val="13"/>
                <w:szCs w:val="13"/>
                <w:color w:val="474C55"/>
              </w:rPr>
              <w:t>H. Lynn Harton</w:t>
            </w:r>
          </w:p>
        </w:tc>
        <w:tc>
          <w:tcPr>
            <w:tcW w:w="1440" w:type="dxa"/>
            <w:vAlign w:val="bottom"/>
          </w:tcPr>
          <w:p>
            <w:pPr>
              <w:jc w:val="right"/>
              <w:ind w:right="33"/>
              <w:spacing w:after="0"/>
              <w:rPr>
                <w:sz w:val="20"/>
                <w:szCs w:val="20"/>
                <w:color w:val="auto"/>
              </w:rPr>
            </w:pPr>
            <w:r>
              <w:rPr>
                <w:rFonts w:ascii="Arial" w:cs="Arial" w:eastAsia="Arial" w:hAnsi="Arial"/>
                <w:sz w:val="13"/>
                <w:szCs w:val="13"/>
                <w:color w:val="474C55"/>
              </w:rPr>
              <w:t>$ -</w:t>
            </w:r>
          </w:p>
        </w:tc>
        <w:tc>
          <w:tcPr>
            <w:tcW w:w="1680" w:type="dxa"/>
            <w:vAlign w:val="bottom"/>
          </w:tcPr>
          <w:p>
            <w:pPr>
              <w:jc w:val="right"/>
              <w:ind w:right="34"/>
              <w:spacing w:after="0"/>
              <w:rPr>
                <w:sz w:val="20"/>
                <w:szCs w:val="20"/>
                <w:color w:val="auto"/>
              </w:rPr>
            </w:pPr>
            <w:r>
              <w:rPr>
                <w:rFonts w:ascii="Arial" w:cs="Arial" w:eastAsia="Arial" w:hAnsi="Arial"/>
                <w:sz w:val="13"/>
                <w:szCs w:val="13"/>
                <w:color w:val="474C55"/>
              </w:rPr>
              <w:t>$ -</w:t>
            </w:r>
          </w:p>
        </w:tc>
        <w:tc>
          <w:tcPr>
            <w:tcW w:w="1840" w:type="dxa"/>
            <w:vAlign w:val="bottom"/>
          </w:tcPr>
          <w:p>
            <w:pPr>
              <w:jc w:val="right"/>
              <w:ind w:right="73"/>
              <w:spacing w:after="0"/>
              <w:rPr>
                <w:sz w:val="20"/>
                <w:szCs w:val="20"/>
                <w:color w:val="auto"/>
              </w:rPr>
            </w:pPr>
            <w:r>
              <w:rPr>
                <w:rFonts w:ascii="Arial" w:cs="Arial" w:eastAsia="Arial" w:hAnsi="Arial"/>
                <w:sz w:val="13"/>
                <w:szCs w:val="13"/>
                <w:color w:val="474C55"/>
              </w:rPr>
              <w:t>$ 10,557,632</w:t>
            </w:r>
          </w:p>
        </w:tc>
        <w:tc>
          <w:tcPr>
            <w:tcW w:w="1700" w:type="dxa"/>
            <w:vAlign w:val="bottom"/>
          </w:tcPr>
          <w:p>
            <w:pPr>
              <w:jc w:val="right"/>
              <w:ind w:right="73"/>
              <w:spacing w:after="0"/>
              <w:rPr>
                <w:sz w:val="20"/>
                <w:szCs w:val="20"/>
                <w:color w:val="auto"/>
              </w:rPr>
            </w:pPr>
            <w:r>
              <w:rPr>
                <w:rFonts w:ascii="Arial" w:cs="Arial" w:eastAsia="Arial" w:hAnsi="Arial"/>
                <w:sz w:val="13"/>
                <w:szCs w:val="13"/>
                <w:color w:val="474C55"/>
              </w:rPr>
              <w:t>$ 13,754,801</w:t>
            </w:r>
          </w:p>
        </w:tc>
        <w:tc>
          <w:tcPr>
            <w:tcW w:w="1540" w:type="dxa"/>
            <w:vAlign w:val="bottom"/>
          </w:tcPr>
          <w:p>
            <w:pPr>
              <w:jc w:val="right"/>
              <w:ind w:right="54"/>
              <w:spacing w:after="0"/>
              <w:rPr>
                <w:sz w:val="20"/>
                <w:szCs w:val="20"/>
                <w:color w:val="auto"/>
              </w:rPr>
            </w:pPr>
            <w:r>
              <w:rPr>
                <w:rFonts w:ascii="Arial" w:cs="Arial" w:eastAsia="Arial" w:hAnsi="Arial"/>
                <w:sz w:val="13"/>
                <w:szCs w:val="13"/>
                <w:color w:val="474C55"/>
              </w:rPr>
              <w:t>$ 3,741,819</w:t>
            </w:r>
          </w:p>
        </w:tc>
        <w:tc>
          <w:tcPr>
            <w:tcW w:w="1380" w:type="dxa"/>
            <w:vAlign w:val="bottom"/>
          </w:tcPr>
          <w:p>
            <w:pPr>
              <w:jc w:val="right"/>
              <w:spacing w:after="0"/>
              <w:rPr>
                <w:sz w:val="20"/>
                <w:szCs w:val="20"/>
                <w:color w:val="auto"/>
              </w:rPr>
            </w:pPr>
            <w:r>
              <w:rPr>
                <w:rFonts w:ascii="Arial" w:cs="Arial" w:eastAsia="Arial" w:hAnsi="Arial"/>
                <w:sz w:val="13"/>
                <w:szCs w:val="13"/>
                <w:color w:val="474C55"/>
              </w:rPr>
              <w:t>$ 4,836,467</w:t>
            </w:r>
          </w:p>
        </w:tc>
        <w:tc>
          <w:tcPr>
            <w:tcW w:w="0" w:type="dxa"/>
            <w:vAlign w:val="bottom"/>
          </w:tcPr>
          <w:p>
            <w:pPr>
              <w:spacing w:after="0"/>
              <w:rPr>
                <w:sz w:val="1"/>
                <w:szCs w:val="1"/>
                <w:color w:val="auto"/>
              </w:rPr>
            </w:pPr>
          </w:p>
        </w:tc>
      </w:tr>
      <w:tr>
        <w:trPr>
          <w:trHeight w:val="229"/>
        </w:trPr>
        <w:tc>
          <w:tcPr>
            <w:tcW w:w="1660" w:type="dxa"/>
            <w:vAlign w:val="bottom"/>
            <w:shd w:val="clear" w:color="auto" w:fill="E5E6E6"/>
          </w:tcPr>
          <w:p>
            <w:pPr>
              <w:ind w:left="80"/>
              <w:spacing w:after="0"/>
              <w:rPr>
                <w:sz w:val="20"/>
                <w:szCs w:val="20"/>
                <w:color w:val="auto"/>
              </w:rPr>
            </w:pPr>
            <w:r>
              <w:rPr>
                <w:rFonts w:ascii="Arial" w:cs="Arial" w:eastAsia="Arial" w:hAnsi="Arial"/>
                <w:sz w:val="13"/>
                <w:szCs w:val="13"/>
                <w:color w:val="474C55"/>
              </w:rPr>
              <w:t>Jefferson L. Harralson</w:t>
            </w:r>
          </w:p>
        </w:tc>
        <w:tc>
          <w:tcPr>
            <w:tcW w:w="1440" w:type="dxa"/>
            <w:vAlign w:val="bottom"/>
            <w:shd w:val="clear" w:color="auto" w:fill="E5E6E6"/>
          </w:tcPr>
          <w:p>
            <w:pPr>
              <w:jc w:val="right"/>
              <w:ind w:right="33"/>
              <w:spacing w:after="0"/>
              <w:rPr>
                <w:sz w:val="20"/>
                <w:szCs w:val="20"/>
                <w:color w:val="auto"/>
              </w:rPr>
            </w:pPr>
            <w:r>
              <w:rPr>
                <w:rFonts w:ascii="Arial" w:cs="Arial" w:eastAsia="Arial" w:hAnsi="Arial"/>
                <w:sz w:val="13"/>
                <w:szCs w:val="13"/>
                <w:color w:val="474C55"/>
              </w:rPr>
              <w:t>-</w:t>
            </w:r>
          </w:p>
        </w:tc>
        <w:tc>
          <w:tcPr>
            <w:tcW w:w="1680" w:type="dxa"/>
            <w:vAlign w:val="bottom"/>
            <w:shd w:val="clear" w:color="auto" w:fill="E5E6E6"/>
          </w:tcPr>
          <w:p>
            <w:pPr>
              <w:jc w:val="right"/>
              <w:ind w:right="34"/>
              <w:spacing w:after="0"/>
              <w:rPr>
                <w:sz w:val="20"/>
                <w:szCs w:val="20"/>
                <w:color w:val="auto"/>
              </w:rPr>
            </w:pPr>
            <w:r>
              <w:rPr>
                <w:rFonts w:ascii="Arial" w:cs="Arial" w:eastAsia="Arial" w:hAnsi="Arial"/>
                <w:sz w:val="13"/>
                <w:szCs w:val="13"/>
                <w:color w:val="474C55"/>
              </w:rPr>
              <w:t>-</w:t>
            </w:r>
          </w:p>
        </w:tc>
        <w:tc>
          <w:tcPr>
            <w:tcW w:w="1840" w:type="dxa"/>
            <w:vAlign w:val="bottom"/>
            <w:shd w:val="clear" w:color="auto" w:fill="E5E6E6"/>
          </w:tcPr>
          <w:p>
            <w:pPr>
              <w:jc w:val="right"/>
              <w:ind w:right="73"/>
              <w:spacing w:after="0"/>
              <w:rPr>
                <w:sz w:val="20"/>
                <w:szCs w:val="20"/>
                <w:color w:val="auto"/>
              </w:rPr>
            </w:pPr>
            <w:r>
              <w:rPr>
                <w:rFonts w:ascii="Arial" w:cs="Arial" w:eastAsia="Arial" w:hAnsi="Arial"/>
                <w:sz w:val="13"/>
                <w:szCs w:val="13"/>
                <w:color w:val="474C55"/>
              </w:rPr>
              <w:t>687,096</w:t>
            </w:r>
          </w:p>
        </w:tc>
        <w:tc>
          <w:tcPr>
            <w:tcW w:w="1700" w:type="dxa"/>
            <w:vAlign w:val="bottom"/>
            <w:shd w:val="clear" w:color="auto" w:fill="E5E6E6"/>
          </w:tcPr>
          <w:p>
            <w:pPr>
              <w:jc w:val="right"/>
              <w:ind w:right="73"/>
              <w:spacing w:after="0"/>
              <w:rPr>
                <w:sz w:val="20"/>
                <w:szCs w:val="20"/>
                <w:color w:val="auto"/>
              </w:rPr>
            </w:pPr>
            <w:r>
              <w:rPr>
                <w:rFonts w:ascii="Arial" w:cs="Arial" w:eastAsia="Arial" w:hAnsi="Arial"/>
                <w:sz w:val="13"/>
                <w:szCs w:val="13"/>
                <w:color w:val="474C55"/>
              </w:rPr>
              <w:t>3,748,803</w:t>
            </w:r>
          </w:p>
        </w:tc>
        <w:tc>
          <w:tcPr>
            <w:tcW w:w="1540" w:type="dxa"/>
            <w:vAlign w:val="bottom"/>
            <w:shd w:val="clear" w:color="auto" w:fill="E5E6E6"/>
          </w:tcPr>
          <w:p>
            <w:pPr>
              <w:jc w:val="right"/>
              <w:ind w:right="54"/>
              <w:spacing w:after="0"/>
              <w:rPr>
                <w:sz w:val="20"/>
                <w:szCs w:val="20"/>
                <w:color w:val="auto"/>
              </w:rPr>
            </w:pPr>
            <w:r>
              <w:rPr>
                <w:rFonts w:ascii="Arial" w:cs="Arial" w:eastAsia="Arial" w:hAnsi="Arial"/>
                <w:sz w:val="13"/>
                <w:szCs w:val="13"/>
                <w:color w:val="474C55"/>
              </w:rPr>
              <w:t>559,157</w:t>
            </w:r>
          </w:p>
        </w:tc>
        <w:tc>
          <w:tcPr>
            <w:tcW w:w="1380" w:type="dxa"/>
            <w:vAlign w:val="bottom"/>
            <w:shd w:val="clear" w:color="auto" w:fill="E5E6E6"/>
          </w:tcPr>
          <w:p>
            <w:pPr>
              <w:jc w:val="right"/>
              <w:spacing w:after="0"/>
              <w:rPr>
                <w:sz w:val="20"/>
                <w:szCs w:val="20"/>
                <w:color w:val="auto"/>
              </w:rPr>
            </w:pPr>
            <w:r>
              <w:rPr>
                <w:rFonts w:ascii="Arial" w:cs="Arial" w:eastAsia="Arial" w:hAnsi="Arial"/>
                <w:sz w:val="13"/>
                <w:szCs w:val="13"/>
                <w:color w:val="474C55"/>
              </w:rPr>
              <w:t>1,366,663</w:t>
            </w:r>
          </w:p>
        </w:tc>
        <w:tc>
          <w:tcPr>
            <w:tcW w:w="0" w:type="dxa"/>
            <w:vAlign w:val="bottom"/>
          </w:tcPr>
          <w:p>
            <w:pPr>
              <w:spacing w:after="0"/>
              <w:rPr>
                <w:sz w:val="1"/>
                <w:szCs w:val="1"/>
                <w:color w:val="auto"/>
              </w:rPr>
            </w:pPr>
          </w:p>
        </w:tc>
      </w:tr>
      <w:tr>
        <w:trPr>
          <w:trHeight w:val="221"/>
        </w:trPr>
        <w:tc>
          <w:tcPr>
            <w:tcW w:w="1660" w:type="dxa"/>
            <w:vAlign w:val="bottom"/>
          </w:tcPr>
          <w:p>
            <w:pPr>
              <w:ind w:left="80"/>
              <w:spacing w:after="0"/>
              <w:rPr>
                <w:sz w:val="20"/>
                <w:szCs w:val="20"/>
                <w:color w:val="auto"/>
              </w:rPr>
            </w:pPr>
            <w:r>
              <w:rPr>
                <w:rFonts w:ascii="Arial" w:cs="Arial" w:eastAsia="Arial" w:hAnsi="Arial"/>
                <w:sz w:val="13"/>
                <w:szCs w:val="13"/>
                <w:color w:val="474C55"/>
              </w:rPr>
              <w:t>Richard W. Bradshaw</w:t>
            </w:r>
          </w:p>
        </w:tc>
        <w:tc>
          <w:tcPr>
            <w:tcW w:w="1440" w:type="dxa"/>
            <w:vAlign w:val="bottom"/>
          </w:tcPr>
          <w:p>
            <w:pPr>
              <w:jc w:val="right"/>
              <w:ind w:right="33"/>
              <w:spacing w:after="0"/>
              <w:rPr>
                <w:sz w:val="20"/>
                <w:szCs w:val="20"/>
                <w:color w:val="auto"/>
              </w:rPr>
            </w:pPr>
            <w:r>
              <w:rPr>
                <w:rFonts w:ascii="Arial" w:cs="Arial" w:eastAsia="Arial" w:hAnsi="Arial"/>
                <w:sz w:val="13"/>
                <w:szCs w:val="13"/>
                <w:color w:val="474C55"/>
              </w:rPr>
              <w:t>-</w:t>
            </w:r>
          </w:p>
        </w:tc>
        <w:tc>
          <w:tcPr>
            <w:tcW w:w="1680" w:type="dxa"/>
            <w:vAlign w:val="bottom"/>
          </w:tcPr>
          <w:p>
            <w:pPr>
              <w:jc w:val="right"/>
              <w:ind w:right="34"/>
              <w:spacing w:after="0"/>
              <w:rPr>
                <w:sz w:val="20"/>
                <w:szCs w:val="20"/>
                <w:color w:val="auto"/>
              </w:rPr>
            </w:pPr>
            <w:r>
              <w:rPr>
                <w:rFonts w:ascii="Arial" w:cs="Arial" w:eastAsia="Arial" w:hAnsi="Arial"/>
                <w:sz w:val="13"/>
                <w:szCs w:val="13"/>
                <w:color w:val="474C55"/>
              </w:rPr>
              <w:t>-</w:t>
            </w:r>
          </w:p>
        </w:tc>
        <w:tc>
          <w:tcPr>
            <w:tcW w:w="1840" w:type="dxa"/>
            <w:vAlign w:val="bottom"/>
          </w:tcPr>
          <w:p>
            <w:pPr>
              <w:jc w:val="right"/>
              <w:ind w:right="73"/>
              <w:spacing w:after="0"/>
              <w:rPr>
                <w:sz w:val="20"/>
                <w:szCs w:val="20"/>
                <w:color w:val="auto"/>
              </w:rPr>
            </w:pPr>
            <w:r>
              <w:rPr>
                <w:rFonts w:ascii="Arial" w:cs="Arial" w:eastAsia="Arial" w:hAnsi="Arial"/>
                <w:sz w:val="13"/>
                <w:szCs w:val="13"/>
                <w:color w:val="474C55"/>
              </w:rPr>
              <w:t>768,841</w:t>
            </w:r>
          </w:p>
        </w:tc>
        <w:tc>
          <w:tcPr>
            <w:tcW w:w="1700" w:type="dxa"/>
            <w:vAlign w:val="bottom"/>
          </w:tcPr>
          <w:p>
            <w:pPr>
              <w:jc w:val="right"/>
              <w:ind w:right="73"/>
              <w:spacing w:after="0"/>
              <w:rPr>
                <w:sz w:val="20"/>
                <w:szCs w:val="20"/>
                <w:color w:val="auto"/>
              </w:rPr>
            </w:pPr>
            <w:r>
              <w:rPr>
                <w:rFonts w:ascii="Arial" w:cs="Arial" w:eastAsia="Arial" w:hAnsi="Arial"/>
                <w:sz w:val="13"/>
                <w:szCs w:val="13"/>
                <w:color w:val="474C55"/>
              </w:rPr>
              <w:t>4,892,468</w:t>
            </w:r>
          </w:p>
        </w:tc>
        <w:tc>
          <w:tcPr>
            <w:tcW w:w="1540" w:type="dxa"/>
            <w:vAlign w:val="bottom"/>
          </w:tcPr>
          <w:p>
            <w:pPr>
              <w:jc w:val="right"/>
              <w:ind w:right="54"/>
              <w:spacing w:after="0"/>
              <w:rPr>
                <w:sz w:val="20"/>
                <w:szCs w:val="20"/>
                <w:color w:val="auto"/>
              </w:rPr>
            </w:pPr>
            <w:r>
              <w:rPr>
                <w:rFonts w:ascii="Arial" w:cs="Arial" w:eastAsia="Arial" w:hAnsi="Arial"/>
                <w:sz w:val="13"/>
                <w:szCs w:val="13"/>
                <w:color w:val="474C55"/>
              </w:rPr>
              <w:t>624,940</w:t>
            </w:r>
          </w:p>
        </w:tc>
        <w:tc>
          <w:tcPr>
            <w:tcW w:w="1380" w:type="dxa"/>
            <w:vAlign w:val="bottom"/>
          </w:tcPr>
          <w:p>
            <w:pPr>
              <w:jc w:val="right"/>
              <w:spacing w:after="0"/>
              <w:rPr>
                <w:sz w:val="20"/>
                <w:szCs w:val="20"/>
                <w:color w:val="auto"/>
              </w:rPr>
            </w:pPr>
            <w:r>
              <w:rPr>
                <w:rFonts w:ascii="Arial" w:cs="Arial" w:eastAsia="Arial" w:hAnsi="Arial"/>
                <w:sz w:val="13"/>
                <w:szCs w:val="13"/>
                <w:color w:val="474C55"/>
              </w:rPr>
              <w:t>1,738,578</w:t>
            </w:r>
          </w:p>
        </w:tc>
        <w:tc>
          <w:tcPr>
            <w:tcW w:w="0" w:type="dxa"/>
            <w:vAlign w:val="bottom"/>
          </w:tcPr>
          <w:p>
            <w:pPr>
              <w:spacing w:after="0"/>
              <w:rPr>
                <w:sz w:val="1"/>
                <w:szCs w:val="1"/>
                <w:color w:val="auto"/>
              </w:rPr>
            </w:pPr>
          </w:p>
        </w:tc>
      </w:tr>
      <w:tr>
        <w:trPr>
          <w:trHeight w:val="229"/>
        </w:trPr>
        <w:tc>
          <w:tcPr>
            <w:tcW w:w="1660" w:type="dxa"/>
            <w:vAlign w:val="bottom"/>
            <w:shd w:val="clear" w:color="auto" w:fill="E5E6E6"/>
          </w:tcPr>
          <w:p>
            <w:pPr>
              <w:ind w:left="80"/>
              <w:spacing w:after="0"/>
              <w:rPr>
                <w:sz w:val="20"/>
                <w:szCs w:val="20"/>
                <w:color w:val="auto"/>
              </w:rPr>
            </w:pPr>
            <w:r>
              <w:rPr>
                <w:rFonts w:ascii="Arial" w:cs="Arial" w:eastAsia="Arial" w:hAnsi="Arial"/>
                <w:sz w:val="13"/>
                <w:szCs w:val="13"/>
                <w:color w:val="474C55"/>
              </w:rPr>
              <w:t>Melinda Davis Lux</w:t>
            </w:r>
          </w:p>
        </w:tc>
        <w:tc>
          <w:tcPr>
            <w:tcW w:w="1440" w:type="dxa"/>
            <w:vAlign w:val="bottom"/>
            <w:shd w:val="clear" w:color="auto" w:fill="E5E6E6"/>
          </w:tcPr>
          <w:p>
            <w:pPr>
              <w:jc w:val="right"/>
              <w:ind w:right="33"/>
              <w:spacing w:after="0"/>
              <w:rPr>
                <w:sz w:val="20"/>
                <w:szCs w:val="20"/>
                <w:color w:val="auto"/>
              </w:rPr>
            </w:pPr>
            <w:r>
              <w:rPr>
                <w:rFonts w:ascii="Arial" w:cs="Arial" w:eastAsia="Arial" w:hAnsi="Arial"/>
                <w:sz w:val="13"/>
                <w:szCs w:val="13"/>
                <w:color w:val="474C55"/>
              </w:rPr>
              <w:t>-</w:t>
            </w:r>
          </w:p>
        </w:tc>
        <w:tc>
          <w:tcPr>
            <w:tcW w:w="1680" w:type="dxa"/>
            <w:vAlign w:val="bottom"/>
            <w:shd w:val="clear" w:color="auto" w:fill="E5E6E6"/>
          </w:tcPr>
          <w:p>
            <w:pPr>
              <w:jc w:val="right"/>
              <w:ind w:right="34"/>
              <w:spacing w:after="0"/>
              <w:rPr>
                <w:sz w:val="20"/>
                <w:szCs w:val="20"/>
                <w:color w:val="auto"/>
              </w:rPr>
            </w:pPr>
            <w:r>
              <w:rPr>
                <w:rFonts w:ascii="Arial" w:cs="Arial" w:eastAsia="Arial" w:hAnsi="Arial"/>
                <w:sz w:val="13"/>
                <w:szCs w:val="13"/>
                <w:color w:val="474C55"/>
              </w:rPr>
              <w:t>-</w:t>
            </w:r>
          </w:p>
        </w:tc>
        <w:tc>
          <w:tcPr>
            <w:tcW w:w="1840" w:type="dxa"/>
            <w:vAlign w:val="bottom"/>
            <w:shd w:val="clear" w:color="auto" w:fill="E5E6E6"/>
          </w:tcPr>
          <w:p>
            <w:pPr>
              <w:jc w:val="right"/>
              <w:ind w:right="73"/>
              <w:spacing w:after="0"/>
              <w:rPr>
                <w:sz w:val="20"/>
                <w:szCs w:val="20"/>
                <w:color w:val="auto"/>
              </w:rPr>
            </w:pPr>
            <w:r>
              <w:rPr>
                <w:rFonts w:ascii="Arial" w:cs="Arial" w:eastAsia="Arial" w:hAnsi="Arial"/>
                <w:sz w:val="13"/>
                <w:szCs w:val="13"/>
                <w:color w:val="474C55"/>
              </w:rPr>
              <w:t>501,047</w:t>
            </w:r>
          </w:p>
        </w:tc>
        <w:tc>
          <w:tcPr>
            <w:tcW w:w="1700" w:type="dxa"/>
            <w:vAlign w:val="bottom"/>
            <w:shd w:val="clear" w:color="auto" w:fill="E5E6E6"/>
          </w:tcPr>
          <w:p>
            <w:pPr>
              <w:jc w:val="right"/>
              <w:ind w:right="73"/>
              <w:spacing w:after="0"/>
              <w:rPr>
                <w:sz w:val="20"/>
                <w:szCs w:val="20"/>
                <w:color w:val="auto"/>
              </w:rPr>
            </w:pPr>
            <w:r>
              <w:rPr>
                <w:rFonts w:ascii="Arial" w:cs="Arial" w:eastAsia="Arial" w:hAnsi="Arial"/>
                <w:sz w:val="13"/>
                <w:szCs w:val="13"/>
                <w:color w:val="474C55"/>
              </w:rPr>
              <w:t>3,494,126</w:t>
            </w:r>
          </w:p>
        </w:tc>
        <w:tc>
          <w:tcPr>
            <w:tcW w:w="1540" w:type="dxa"/>
            <w:vAlign w:val="bottom"/>
            <w:shd w:val="clear" w:color="auto" w:fill="E5E6E6"/>
          </w:tcPr>
          <w:p>
            <w:pPr>
              <w:jc w:val="right"/>
              <w:ind w:right="54"/>
              <w:spacing w:after="0"/>
              <w:rPr>
                <w:sz w:val="20"/>
                <w:szCs w:val="20"/>
                <w:color w:val="auto"/>
              </w:rPr>
            </w:pPr>
            <w:r>
              <w:rPr>
                <w:rFonts w:ascii="Arial" w:cs="Arial" w:eastAsia="Arial" w:hAnsi="Arial"/>
                <w:sz w:val="13"/>
                <w:szCs w:val="13"/>
                <w:color w:val="474C55"/>
              </w:rPr>
              <w:t>445,555</w:t>
            </w:r>
          </w:p>
        </w:tc>
        <w:tc>
          <w:tcPr>
            <w:tcW w:w="1380" w:type="dxa"/>
            <w:vAlign w:val="bottom"/>
            <w:shd w:val="clear" w:color="auto" w:fill="E5E6E6"/>
          </w:tcPr>
          <w:p>
            <w:pPr>
              <w:jc w:val="right"/>
              <w:spacing w:after="0"/>
              <w:rPr>
                <w:sz w:val="20"/>
                <w:szCs w:val="20"/>
                <w:color w:val="auto"/>
              </w:rPr>
            </w:pPr>
            <w:r>
              <w:rPr>
                <w:rFonts w:ascii="Arial" w:cs="Arial" w:eastAsia="Arial" w:hAnsi="Arial"/>
                <w:sz w:val="13"/>
                <w:szCs w:val="13"/>
                <w:color w:val="474C55"/>
              </w:rPr>
              <w:t>1,282,237</w:t>
            </w:r>
          </w:p>
        </w:tc>
        <w:tc>
          <w:tcPr>
            <w:tcW w:w="0" w:type="dxa"/>
            <w:vAlign w:val="bottom"/>
          </w:tcPr>
          <w:p>
            <w:pPr>
              <w:spacing w:after="0"/>
              <w:rPr>
                <w:sz w:val="1"/>
                <w:szCs w:val="1"/>
                <w:color w:val="auto"/>
              </w:rPr>
            </w:pPr>
          </w:p>
        </w:tc>
      </w:tr>
      <w:tr>
        <w:trPr>
          <w:trHeight w:val="221"/>
        </w:trPr>
        <w:tc>
          <w:tcPr>
            <w:tcW w:w="1660" w:type="dxa"/>
            <w:vAlign w:val="bottom"/>
            <w:tcBorders>
              <w:bottom w:val="single" w:sz="8" w:color="E5E6E6"/>
            </w:tcBorders>
          </w:tcPr>
          <w:p>
            <w:pPr>
              <w:ind w:left="80"/>
              <w:spacing w:after="0"/>
              <w:rPr>
                <w:sz w:val="20"/>
                <w:szCs w:val="20"/>
                <w:color w:val="auto"/>
              </w:rPr>
            </w:pPr>
            <w:r>
              <w:rPr>
                <w:rFonts w:ascii="Arial" w:cs="Arial" w:eastAsia="Arial" w:hAnsi="Arial"/>
                <w:sz w:val="13"/>
                <w:szCs w:val="13"/>
                <w:color w:val="474C55"/>
              </w:rPr>
              <w:t>Robert A. Edwards</w:t>
            </w:r>
          </w:p>
        </w:tc>
        <w:tc>
          <w:tcPr>
            <w:tcW w:w="1440" w:type="dxa"/>
            <w:vAlign w:val="bottom"/>
            <w:tcBorders>
              <w:bottom w:val="single" w:sz="8" w:color="E5E6E6"/>
            </w:tcBorders>
          </w:tcPr>
          <w:p>
            <w:pPr>
              <w:jc w:val="right"/>
              <w:ind w:right="33"/>
              <w:spacing w:after="0"/>
              <w:rPr>
                <w:sz w:val="20"/>
                <w:szCs w:val="20"/>
                <w:color w:val="auto"/>
              </w:rPr>
            </w:pPr>
            <w:r>
              <w:rPr>
                <w:rFonts w:ascii="Arial" w:cs="Arial" w:eastAsia="Arial" w:hAnsi="Arial"/>
                <w:sz w:val="13"/>
                <w:szCs w:val="13"/>
                <w:color w:val="474C55"/>
              </w:rPr>
              <w:t>-</w:t>
            </w:r>
          </w:p>
        </w:tc>
        <w:tc>
          <w:tcPr>
            <w:tcW w:w="1680" w:type="dxa"/>
            <w:vAlign w:val="bottom"/>
            <w:tcBorders>
              <w:bottom w:val="single" w:sz="8" w:color="E5E6E6"/>
            </w:tcBorders>
          </w:tcPr>
          <w:p>
            <w:pPr>
              <w:jc w:val="right"/>
              <w:ind w:right="34"/>
              <w:spacing w:after="0"/>
              <w:rPr>
                <w:sz w:val="20"/>
                <w:szCs w:val="20"/>
                <w:color w:val="auto"/>
              </w:rPr>
            </w:pPr>
            <w:r>
              <w:rPr>
                <w:rFonts w:ascii="Arial" w:cs="Arial" w:eastAsia="Arial" w:hAnsi="Arial"/>
                <w:sz w:val="13"/>
                <w:szCs w:val="13"/>
                <w:color w:val="474C55"/>
              </w:rPr>
              <w:t>-</w:t>
            </w:r>
          </w:p>
        </w:tc>
        <w:tc>
          <w:tcPr>
            <w:tcW w:w="1840" w:type="dxa"/>
            <w:vAlign w:val="bottom"/>
            <w:tcBorders>
              <w:bottom w:val="single" w:sz="8" w:color="E5E6E6"/>
            </w:tcBorders>
          </w:tcPr>
          <w:p>
            <w:pPr>
              <w:jc w:val="right"/>
              <w:ind w:right="73"/>
              <w:spacing w:after="0"/>
              <w:rPr>
                <w:sz w:val="20"/>
                <w:szCs w:val="20"/>
                <w:color w:val="auto"/>
              </w:rPr>
            </w:pPr>
            <w:r>
              <w:rPr>
                <w:rFonts w:ascii="Arial" w:cs="Arial" w:eastAsia="Arial" w:hAnsi="Arial"/>
                <w:sz w:val="13"/>
                <w:szCs w:val="13"/>
                <w:color w:val="474C55"/>
              </w:rPr>
              <w:t>484,020</w:t>
            </w:r>
          </w:p>
        </w:tc>
        <w:tc>
          <w:tcPr>
            <w:tcW w:w="1700" w:type="dxa"/>
            <w:vAlign w:val="bottom"/>
            <w:tcBorders>
              <w:bottom w:val="single" w:sz="8" w:color="E5E6E6"/>
            </w:tcBorders>
          </w:tcPr>
          <w:p>
            <w:pPr>
              <w:jc w:val="right"/>
              <w:ind w:right="73"/>
              <w:spacing w:after="0"/>
              <w:rPr>
                <w:sz w:val="20"/>
                <w:szCs w:val="20"/>
                <w:color w:val="auto"/>
              </w:rPr>
            </w:pPr>
            <w:r>
              <w:rPr>
                <w:rFonts w:ascii="Arial" w:cs="Arial" w:eastAsia="Arial" w:hAnsi="Arial"/>
                <w:sz w:val="13"/>
                <w:szCs w:val="13"/>
                <w:color w:val="474C55"/>
              </w:rPr>
              <w:t>2,827,936</w:t>
            </w:r>
          </w:p>
        </w:tc>
        <w:tc>
          <w:tcPr>
            <w:tcW w:w="1540" w:type="dxa"/>
            <w:vAlign w:val="bottom"/>
            <w:tcBorders>
              <w:bottom w:val="single" w:sz="8" w:color="E5E6E6"/>
            </w:tcBorders>
          </w:tcPr>
          <w:p>
            <w:pPr>
              <w:jc w:val="right"/>
              <w:ind w:right="54"/>
              <w:spacing w:after="0"/>
              <w:rPr>
                <w:sz w:val="20"/>
                <w:szCs w:val="20"/>
                <w:color w:val="auto"/>
              </w:rPr>
            </w:pPr>
            <w:r>
              <w:rPr>
                <w:rFonts w:ascii="Arial" w:cs="Arial" w:eastAsia="Arial" w:hAnsi="Arial"/>
                <w:sz w:val="13"/>
                <w:szCs w:val="13"/>
                <w:color w:val="474C55"/>
              </w:rPr>
              <w:t>390,337</w:t>
            </w:r>
          </w:p>
        </w:tc>
        <w:tc>
          <w:tcPr>
            <w:tcW w:w="1380" w:type="dxa"/>
            <w:vAlign w:val="bottom"/>
            <w:tcBorders>
              <w:bottom w:val="single" w:sz="8" w:color="E5E6E6"/>
            </w:tcBorders>
          </w:tcPr>
          <w:p>
            <w:pPr>
              <w:jc w:val="right"/>
              <w:spacing w:after="0"/>
              <w:rPr>
                <w:sz w:val="20"/>
                <w:szCs w:val="20"/>
                <w:color w:val="auto"/>
              </w:rPr>
            </w:pPr>
            <w:r>
              <w:rPr>
                <w:rFonts w:ascii="Arial" w:cs="Arial" w:eastAsia="Arial" w:hAnsi="Arial"/>
                <w:sz w:val="13"/>
                <w:szCs w:val="13"/>
                <w:color w:val="474C55"/>
              </w:rPr>
              <w:t>952,672</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20" w:right="120" w:hanging="245"/>
        <w:spacing w:after="0" w:line="183" w:lineRule="auto"/>
        <w:tabs>
          <w:tab w:leader="none" w:pos="320" w:val="left"/>
        </w:tabs>
        <w:numPr>
          <w:ilvl w:val="0"/>
          <w:numId w:val="58"/>
        </w:numPr>
        <w:rPr>
          <w:rFonts w:ascii="Arial" w:cs="Arial" w:eastAsia="Arial" w:hAnsi="Arial"/>
          <w:sz w:val="22"/>
          <w:szCs w:val="22"/>
          <w:color w:val="474C55"/>
          <w:vertAlign w:val="superscript"/>
        </w:rPr>
      </w:pPr>
      <w:r>
        <w:rPr>
          <w:rFonts w:ascii="Arial" w:cs="Arial" w:eastAsia="Arial" w:hAnsi="Arial"/>
          <w:sz w:val="13"/>
          <w:szCs w:val="13"/>
          <w:color w:val="474C55"/>
        </w:rPr>
        <w:t>Although Messrs. Harton and Bradshaw will receive TRSUs, beginning in 2025, that vest upon retirement at age 67, there are no other benefits payable to Messrs. Harton or Bradshaw or to any of our other NEOs upon retirement, except as described under Pension Benefits and Nonqualified Deferred Compensation.</w:t>
      </w:r>
    </w:p>
    <w:p>
      <w:pPr>
        <w:ind w:left="320" w:hanging="245"/>
        <w:spacing w:after="0" w:line="180" w:lineRule="auto"/>
        <w:tabs>
          <w:tab w:leader="none" w:pos="320" w:val="left"/>
        </w:tabs>
        <w:numPr>
          <w:ilvl w:val="0"/>
          <w:numId w:val="59"/>
        </w:numPr>
        <w:rPr>
          <w:rFonts w:ascii="Arial" w:cs="Arial" w:eastAsia="Arial" w:hAnsi="Arial"/>
          <w:sz w:val="18"/>
          <w:szCs w:val="18"/>
          <w:color w:val="474C55"/>
          <w:vertAlign w:val="superscript"/>
        </w:rPr>
      </w:pPr>
      <w:r>
        <w:rPr>
          <w:rFonts w:ascii="Arial" w:cs="Arial" w:eastAsia="Arial" w:hAnsi="Arial"/>
          <w:sz w:val="11"/>
          <w:szCs w:val="11"/>
          <w:color w:val="474C55"/>
        </w:rPr>
        <w:t>In all cases of termination (including termination for “cause” and a resignation other than for “good reason”), a NEO also would receive:</w:t>
      </w:r>
    </w:p>
    <w:p>
      <w:pPr>
        <w:ind w:left="820" w:right="240" w:hanging="244"/>
        <w:spacing w:after="0" w:line="241" w:lineRule="auto"/>
        <w:tabs>
          <w:tab w:leader="none" w:pos="820" w:val="left"/>
        </w:tabs>
        <w:numPr>
          <w:ilvl w:val="1"/>
          <w:numId w:val="59"/>
        </w:numPr>
        <w:rPr>
          <w:rFonts w:ascii="Arial" w:cs="Arial" w:eastAsia="Arial" w:hAnsi="Arial"/>
          <w:sz w:val="13"/>
          <w:szCs w:val="13"/>
          <w:color w:val="474C55"/>
        </w:rPr>
      </w:pPr>
      <w:r>
        <w:rPr>
          <w:rFonts w:ascii="Arial" w:cs="Arial" w:eastAsia="Arial" w:hAnsi="Arial"/>
          <w:sz w:val="13"/>
          <w:szCs w:val="13"/>
          <w:color w:val="474C55"/>
        </w:rPr>
        <w:t>“Accrued obligations” consisting of: (i) annual base salary through the date of termination to the extent not theretofore paid; (ii) any incentive award earned for a prior fiscal year but not yet paid (or, if not determined, an incentive award determined on the same basis as other executive officers with any individual performance goals to be deemed achieved at not less than target); (iii) any accrued and unused paid time off to the extent not theretofore paid and (iv) any unreimbursed business expenses incurred prior to the date of termination; and</w:t>
      </w:r>
    </w:p>
    <w:p>
      <w:pPr>
        <w:jc w:val="both"/>
        <w:ind w:left="820" w:right="140" w:hanging="244"/>
        <w:spacing w:after="0" w:line="251" w:lineRule="auto"/>
        <w:tabs>
          <w:tab w:leader="none" w:pos="820" w:val="left"/>
        </w:tabs>
        <w:numPr>
          <w:ilvl w:val="1"/>
          <w:numId w:val="59"/>
        </w:numPr>
        <w:rPr>
          <w:rFonts w:ascii="Arial" w:cs="Arial" w:eastAsia="Arial" w:hAnsi="Arial"/>
          <w:sz w:val="13"/>
          <w:szCs w:val="13"/>
          <w:color w:val="474C55"/>
        </w:rPr>
      </w:pPr>
      <w:r>
        <w:rPr>
          <w:rFonts w:ascii="Arial" w:cs="Arial" w:eastAsia="Arial" w:hAnsi="Arial"/>
          <w:sz w:val="13"/>
          <w:szCs w:val="13"/>
          <w:color w:val="474C55"/>
        </w:rPr>
        <w:t>“Other benefits” consisting of, to the extent not theretofore paid or provided, any other amounts or benefits required to be paid or provided or which a NEO is eligible to receive through the date of termination in accordance with the terms of any of United’s plans, programs, policies, practices, contracts or agreements that do not discriminate in scope, terms or operation in favor of executive officers and are available generally to all salaried employees.</w:t>
      </w:r>
    </w:p>
    <w:p>
      <w:pPr>
        <w:spacing w:after="0" w:line="29" w:lineRule="exact"/>
        <w:rPr>
          <w:sz w:val="20"/>
          <w:szCs w:val="20"/>
          <w:color w:val="auto"/>
        </w:rPr>
      </w:pPr>
    </w:p>
    <w:p>
      <w:pPr>
        <w:ind w:left="320" w:hanging="245"/>
        <w:spacing w:after="0"/>
        <w:tabs>
          <w:tab w:leader="none" w:pos="320" w:val="left"/>
        </w:tabs>
        <w:numPr>
          <w:ilvl w:val="0"/>
          <w:numId w:val="60"/>
        </w:numPr>
        <w:rPr>
          <w:rFonts w:ascii="Arial" w:cs="Arial" w:eastAsia="Arial" w:hAnsi="Arial"/>
          <w:sz w:val="22"/>
          <w:szCs w:val="22"/>
          <w:color w:val="474C55"/>
          <w:vertAlign w:val="superscript"/>
        </w:rPr>
      </w:pPr>
      <w:r>
        <w:rPr>
          <w:rFonts w:ascii="Arial" w:cs="Arial" w:eastAsia="Arial" w:hAnsi="Arial"/>
          <w:sz w:val="13"/>
          <w:szCs w:val="13"/>
          <w:color w:val="474C55"/>
        </w:rPr>
        <w:t>Stock Awards</w:t>
      </w:r>
    </w:p>
    <w:p>
      <w:pPr>
        <w:ind w:left="820" w:right="20" w:hanging="244"/>
        <w:spacing w:after="0" w:line="241" w:lineRule="auto"/>
        <w:tabs>
          <w:tab w:leader="none" w:pos="820" w:val="left"/>
        </w:tabs>
        <w:numPr>
          <w:ilvl w:val="2"/>
          <w:numId w:val="60"/>
        </w:numPr>
        <w:rPr>
          <w:rFonts w:ascii="Arial" w:cs="Arial" w:eastAsia="Arial" w:hAnsi="Arial"/>
          <w:sz w:val="13"/>
          <w:szCs w:val="13"/>
          <w:color w:val="474C55"/>
        </w:rPr>
      </w:pPr>
      <w:r>
        <w:rPr>
          <w:rFonts w:ascii="Arial" w:cs="Arial" w:eastAsia="Arial" w:hAnsi="Arial"/>
          <w:sz w:val="13"/>
          <w:szCs w:val="13"/>
          <w:color w:val="474C55"/>
        </w:rPr>
        <w:t>The value of all stock awards set forth in this table were determined based upon the closing price ($32.31) of United Community’s stock on the New York Stock Exchange on December 31, 2024. As stated in footnote 3 to the Summary Compensation Table on page 47, in 2022, to better align the timing of stock award grants with annual compensation discussions, we changed the timing of long-term equity incentive award grants and, as a result, there were no grants of annual long-term equity incentive awards to NEOs in 2022.</w:t>
      </w:r>
    </w:p>
    <w:p>
      <w:pPr>
        <w:spacing w:after="0" w:line="150" w:lineRule="exact"/>
        <w:rPr>
          <w:rFonts w:ascii="Arial" w:cs="Arial" w:eastAsia="Arial" w:hAnsi="Arial"/>
          <w:sz w:val="13"/>
          <w:szCs w:val="13"/>
          <w:color w:val="474C55"/>
        </w:rPr>
      </w:pPr>
    </w:p>
    <w:p>
      <w:pPr>
        <w:ind w:left="820" w:hanging="244"/>
        <w:spacing w:after="0"/>
        <w:tabs>
          <w:tab w:leader="none" w:pos="820" w:val="left"/>
        </w:tabs>
        <w:numPr>
          <w:ilvl w:val="2"/>
          <w:numId w:val="60"/>
        </w:numPr>
        <w:rPr>
          <w:rFonts w:ascii="Arial" w:cs="Arial" w:eastAsia="Arial" w:hAnsi="Arial"/>
          <w:sz w:val="13"/>
          <w:szCs w:val="13"/>
          <w:color w:val="474C55"/>
        </w:rPr>
      </w:pPr>
      <w:r>
        <w:rPr>
          <w:rFonts w:ascii="Arial" w:cs="Arial" w:eastAsia="Arial" w:hAnsi="Arial"/>
          <w:sz w:val="13"/>
          <w:szCs w:val="13"/>
          <w:color w:val="474C55"/>
        </w:rPr>
        <w:t>TRSUs</w:t>
      </w:r>
    </w:p>
    <w:p>
      <w:pPr>
        <w:ind w:left="1080" w:right="560" w:hanging="254"/>
        <w:spacing w:after="0" w:line="241" w:lineRule="auto"/>
        <w:tabs>
          <w:tab w:leader="none" w:pos="1080" w:val="left"/>
        </w:tabs>
        <w:numPr>
          <w:ilvl w:val="3"/>
          <w:numId w:val="60"/>
        </w:numPr>
        <w:rPr>
          <w:rFonts w:ascii="Arial" w:cs="Arial" w:eastAsia="Arial" w:hAnsi="Arial"/>
          <w:sz w:val="13"/>
          <w:szCs w:val="13"/>
          <w:color w:val="474C55"/>
        </w:rPr>
      </w:pPr>
      <w:r>
        <w:rPr>
          <w:rFonts w:ascii="Arial" w:cs="Arial" w:eastAsia="Arial" w:hAnsi="Arial"/>
          <w:sz w:val="13"/>
          <w:szCs w:val="13"/>
          <w:color w:val="474C55"/>
        </w:rPr>
        <w:t>With respect to TRSUs granted prior to 2023 (whether before or after a change in control): (i) upon termination of employment due to death or disability, unvested awards vesting in the year of termination and the following year will vest; (ii) upon termination by the company without “cause” or by a NEO for “good reason,” each NEO’s awards would continue to vest on the original vesting schedule as if each was employed.</w:t>
      </w:r>
    </w:p>
    <w:p>
      <w:pPr>
        <w:ind w:left="1080" w:right="540" w:hanging="254"/>
        <w:spacing w:after="0" w:line="241" w:lineRule="auto"/>
        <w:tabs>
          <w:tab w:leader="none" w:pos="1080" w:val="left"/>
        </w:tabs>
        <w:numPr>
          <w:ilvl w:val="3"/>
          <w:numId w:val="60"/>
        </w:numPr>
        <w:rPr>
          <w:rFonts w:ascii="Arial" w:cs="Arial" w:eastAsia="Arial" w:hAnsi="Arial"/>
          <w:sz w:val="13"/>
          <w:szCs w:val="13"/>
          <w:color w:val="474C55"/>
        </w:rPr>
      </w:pPr>
      <w:r>
        <w:rPr>
          <w:rFonts w:ascii="Arial" w:cs="Arial" w:eastAsia="Arial" w:hAnsi="Arial"/>
          <w:sz w:val="13"/>
          <w:szCs w:val="13"/>
          <w:color w:val="474C55"/>
        </w:rPr>
        <w:t>With respect to TRSUs granted during or after 2023 (whether before or after a change in control), all unvested awards vest immediately upon either a termination of employment due to death or disability, a termination by the NEO for “good reason” or a termination by the company without “cause.”</w:t>
      </w:r>
    </w:p>
    <w:p>
      <w:pPr>
        <w:ind w:left="580" w:hanging="255"/>
        <w:spacing w:after="0"/>
        <w:tabs>
          <w:tab w:leader="none" w:pos="580" w:val="left"/>
        </w:tabs>
        <w:numPr>
          <w:ilvl w:val="1"/>
          <w:numId w:val="61"/>
        </w:numPr>
        <w:rPr>
          <w:rFonts w:ascii="Arial" w:cs="Arial" w:eastAsia="Arial" w:hAnsi="Arial"/>
          <w:sz w:val="13"/>
          <w:szCs w:val="13"/>
          <w:color w:val="474C55"/>
        </w:rPr>
      </w:pPr>
      <w:r>
        <w:rPr>
          <w:rFonts w:ascii="Arial" w:cs="Arial" w:eastAsia="Arial" w:hAnsi="Arial"/>
          <w:sz w:val="13"/>
          <w:szCs w:val="13"/>
          <w:color w:val="474C55"/>
        </w:rPr>
        <w:t>PRSUs</w:t>
      </w:r>
    </w:p>
    <w:p>
      <w:pPr>
        <w:ind w:left="1080" w:right="540" w:hanging="254"/>
        <w:spacing w:after="0" w:line="241" w:lineRule="auto"/>
        <w:tabs>
          <w:tab w:leader="none" w:pos="1080" w:val="left"/>
        </w:tabs>
        <w:numPr>
          <w:ilvl w:val="3"/>
          <w:numId w:val="61"/>
        </w:numPr>
        <w:rPr>
          <w:rFonts w:ascii="Arial" w:cs="Arial" w:eastAsia="Arial" w:hAnsi="Arial"/>
          <w:sz w:val="13"/>
          <w:szCs w:val="13"/>
          <w:color w:val="474C55"/>
        </w:rPr>
      </w:pPr>
      <w:r>
        <w:rPr>
          <w:rFonts w:ascii="Arial" w:cs="Arial" w:eastAsia="Arial" w:hAnsi="Arial"/>
          <w:sz w:val="13"/>
          <w:szCs w:val="13"/>
          <w:color w:val="474C55"/>
        </w:rPr>
        <w:t>With respect to PRSUs granted prior to 2023, upon termination of employment due to death or disability, unvested awards vesting in the year of termination and the following year will vest.</w:t>
      </w:r>
    </w:p>
    <w:p>
      <w:pPr>
        <w:ind w:left="1080" w:right="160" w:hanging="254"/>
        <w:spacing w:after="0" w:line="241" w:lineRule="auto"/>
        <w:tabs>
          <w:tab w:leader="none" w:pos="1080" w:val="left"/>
        </w:tabs>
        <w:numPr>
          <w:ilvl w:val="3"/>
          <w:numId w:val="61"/>
        </w:numPr>
        <w:rPr>
          <w:rFonts w:ascii="Arial" w:cs="Arial" w:eastAsia="Arial" w:hAnsi="Arial"/>
          <w:sz w:val="13"/>
          <w:szCs w:val="13"/>
          <w:color w:val="474C55"/>
        </w:rPr>
      </w:pPr>
      <w:r>
        <w:rPr>
          <w:rFonts w:ascii="Arial" w:cs="Arial" w:eastAsia="Arial" w:hAnsi="Arial"/>
          <w:sz w:val="13"/>
          <w:szCs w:val="13"/>
          <w:color w:val="474C55"/>
        </w:rPr>
        <w:t>With respect to PRSUs granted during or after 2023, upon termination of employment due to death or disability, all earned but unvested PRSUs will vest in full as of the termination date. Additionally, if prior to a change in control, such a termination occurs prior to the completion of the performance period, all earned but unvested PRSUs that would have been earned assuming a target performance level will vest as of the termination date and, if after a change in control, all unvested PRSUs that would have been earned during any incomplete or remaining performance periods will vest as of the termination date at the greater of the target and actual level of performance.</w:t>
      </w:r>
    </w:p>
    <w:p>
      <w:pPr>
        <w:ind w:left="1080" w:right="160" w:hanging="254"/>
        <w:spacing w:after="0" w:line="241" w:lineRule="auto"/>
        <w:tabs>
          <w:tab w:leader="none" w:pos="1080" w:val="left"/>
        </w:tabs>
        <w:numPr>
          <w:ilvl w:val="3"/>
          <w:numId w:val="61"/>
        </w:numPr>
        <w:rPr>
          <w:rFonts w:ascii="Arial" w:cs="Arial" w:eastAsia="Arial" w:hAnsi="Arial"/>
          <w:sz w:val="13"/>
          <w:szCs w:val="13"/>
          <w:color w:val="474C55"/>
        </w:rPr>
      </w:pPr>
      <w:r>
        <w:rPr>
          <w:rFonts w:ascii="Arial" w:cs="Arial" w:eastAsia="Arial" w:hAnsi="Arial"/>
          <w:sz w:val="13"/>
          <w:szCs w:val="13"/>
          <w:color w:val="474C55"/>
        </w:rPr>
        <w:t>With respect to PRSUs granted prior to 2023, upon termination of employment by the company without “cause” or by a NEO for “good reason,” each NEO’s awards would continue to vest on a pro-rata basis.</w:t>
      </w:r>
    </w:p>
    <w:p>
      <w:pPr>
        <w:ind w:left="1080" w:right="140" w:hanging="254"/>
        <w:spacing w:after="0" w:line="241" w:lineRule="auto"/>
        <w:tabs>
          <w:tab w:leader="none" w:pos="1080" w:val="left"/>
        </w:tabs>
        <w:numPr>
          <w:ilvl w:val="3"/>
          <w:numId w:val="61"/>
        </w:numPr>
        <w:rPr>
          <w:rFonts w:ascii="Arial" w:cs="Arial" w:eastAsia="Arial" w:hAnsi="Arial"/>
          <w:sz w:val="13"/>
          <w:szCs w:val="13"/>
          <w:color w:val="474C55"/>
        </w:rPr>
      </w:pPr>
      <w:r>
        <w:rPr>
          <w:rFonts w:ascii="Arial" w:cs="Arial" w:eastAsia="Arial" w:hAnsi="Arial"/>
          <w:sz w:val="13"/>
          <w:szCs w:val="13"/>
          <w:color w:val="474C55"/>
        </w:rPr>
        <w:t>With respect to PRSUs granted during or after 2023, upon termination of employment by the company without “cause” or by a NEO for “good reason,” all earned but unvested PRSUs will vest in full as of the termination date. Additionally, if prior to a change in control, all unvested PRSUs for any performance period in which the date of termination occurs shall remain outstanding and continue to be eligible to be earned based on the level of achievement of the performance criteria during the performance period (the “Earned PSUs”), with the number that vest to equal to the product of the Earned PSUs and a fraction, the numerator of which is the number of days the NEO was employed during the performance period prior to the date of termination and the denominator being the number of days in the performance period. If after a change in</w:t>
      </w:r>
    </w:p>
    <w:p>
      <w:pPr>
        <w:ind w:left="1080" w:right="120"/>
        <w:spacing w:after="0" w:line="237" w:lineRule="auto"/>
        <w:rPr>
          <w:sz w:val="20"/>
          <w:szCs w:val="20"/>
          <w:color w:val="auto"/>
        </w:rPr>
      </w:pPr>
      <w:r>
        <w:rPr>
          <w:rFonts w:ascii="Arial" w:cs="Arial" w:eastAsia="Arial" w:hAnsi="Arial"/>
          <w:sz w:val="13"/>
          <w:szCs w:val="13"/>
          <w:color w:val="474C55"/>
        </w:rPr>
        <w:t>control, all unvested PRSUs that would have been earned during any incomplete or remaining performance periods will vest as of the termination date at the greater of the target and actual level of performance.</w:t>
      </w:r>
    </w:p>
    <w:p>
      <w:pPr>
        <w:jc w:val="both"/>
        <w:ind w:left="320" w:right="60" w:hanging="245"/>
        <w:spacing w:after="0" w:line="197" w:lineRule="auto"/>
        <w:tabs>
          <w:tab w:leader="none" w:pos="320" w:val="left"/>
        </w:tabs>
        <w:numPr>
          <w:ilvl w:val="0"/>
          <w:numId w:val="62"/>
        </w:numPr>
        <w:rPr>
          <w:rFonts w:ascii="Arial" w:cs="Arial" w:eastAsia="Arial" w:hAnsi="Arial"/>
          <w:sz w:val="22"/>
          <w:szCs w:val="22"/>
          <w:color w:val="474C55"/>
          <w:vertAlign w:val="superscript"/>
        </w:rPr>
      </w:pPr>
      <w:r>
        <w:rPr>
          <w:rFonts w:ascii="Arial" w:cs="Arial" w:eastAsia="Arial" w:hAnsi="Arial"/>
          <w:sz w:val="13"/>
          <w:szCs w:val="13"/>
          <w:color w:val="474C55"/>
        </w:rPr>
        <w:t>Represents all compensation that would become due as a result of a termination without “cause” or a termination by the NEO for “good reason” having occurred on December 31, 2024, before a change in control. The amounts for all NEOs other than Mr. Harton represent the value of stock awards that the NEO will receive that were unvested as of December 31, 2024. With respect to Mr. Harton, the amounts include the value of stock awards ($2,631,650) that would become due as well as the following amounts that become due under his</w:t>
      </w:r>
    </w:p>
    <w:p>
      <w:pPr>
        <w:spacing w:after="0" w:line="2" w:lineRule="exact"/>
        <w:rPr>
          <w:sz w:val="20"/>
          <w:szCs w:val="20"/>
          <w:color w:val="auto"/>
        </w:rPr>
      </w:pPr>
    </w:p>
    <w:p>
      <w:pPr>
        <w:ind w:left="320" w:right="120"/>
        <w:spacing w:after="0" w:line="237" w:lineRule="auto"/>
        <w:rPr>
          <w:sz w:val="20"/>
          <w:szCs w:val="20"/>
          <w:color w:val="auto"/>
        </w:rPr>
      </w:pPr>
      <w:r>
        <w:rPr>
          <w:rFonts w:ascii="Arial" w:cs="Arial" w:eastAsia="Arial" w:hAnsi="Arial"/>
          <w:sz w:val="13"/>
          <w:szCs w:val="13"/>
          <w:color w:val="474C55"/>
        </w:rPr>
        <w:t>employment agreement: a lump-sum, pro-rata bonus ($1,545,177), a lump-sum payment representing 2.5x his 2024 salary and target bonus ($6,328,125) and a lump-sum payment for 30 months of continuing health coverage ($52,680).</w:t>
      </w:r>
    </w:p>
    <w:p>
      <w:pPr>
        <w:jc w:val="both"/>
        <w:ind w:left="320" w:right="60" w:hanging="245"/>
        <w:spacing w:after="0"/>
        <w:tabs>
          <w:tab w:leader="none" w:pos="320" w:val="left"/>
        </w:tabs>
        <w:numPr>
          <w:ilvl w:val="0"/>
          <w:numId w:val="63"/>
        </w:numPr>
        <w:rPr>
          <w:rFonts w:ascii="Arial" w:cs="Arial" w:eastAsia="Arial" w:hAnsi="Arial"/>
          <w:sz w:val="22"/>
          <w:szCs w:val="22"/>
          <w:color w:val="474C55"/>
          <w:vertAlign w:val="superscript"/>
        </w:rPr>
      </w:pPr>
      <w:r>
        <w:rPr>
          <w:rFonts w:ascii="Arial" w:cs="Arial" w:eastAsia="Arial" w:hAnsi="Arial"/>
          <w:sz w:val="13"/>
          <w:szCs w:val="13"/>
          <w:color w:val="474C55"/>
        </w:rPr>
        <w:t>Represents all compensation that would become due as a result of a termination without “cause” or a termination by the NEO for “good reason” having occurred on December 31, 2024, following a change in control. The amounts for all NEOs include the value of stock awards that the NEO will receive that were unvested as of December 31, 2024 plus the following benefits:</w:t>
      </w:r>
    </w:p>
    <w:p>
      <w:pPr>
        <w:spacing w:after="0" w:line="52" w:lineRule="exact"/>
        <w:rPr>
          <w:rFonts w:ascii="Arial" w:cs="Arial" w:eastAsia="Arial" w:hAnsi="Arial"/>
          <w:sz w:val="22"/>
          <w:szCs w:val="22"/>
          <w:color w:val="474C55"/>
          <w:vertAlign w:val="superscript"/>
        </w:rPr>
      </w:pPr>
    </w:p>
    <w:p>
      <w:pPr>
        <w:ind w:left="820" w:right="160" w:hanging="244"/>
        <w:spacing w:after="0" w:line="241" w:lineRule="auto"/>
        <w:tabs>
          <w:tab w:leader="none" w:pos="820" w:val="left"/>
        </w:tabs>
        <w:numPr>
          <w:ilvl w:val="1"/>
          <w:numId w:val="63"/>
        </w:numPr>
        <w:rPr>
          <w:rFonts w:ascii="Arial" w:cs="Arial" w:eastAsia="Arial" w:hAnsi="Arial"/>
          <w:sz w:val="13"/>
          <w:szCs w:val="13"/>
          <w:color w:val="474C55"/>
        </w:rPr>
      </w:pPr>
      <w:r>
        <w:rPr>
          <w:rFonts w:ascii="Arial" w:cs="Arial" w:eastAsia="Arial" w:hAnsi="Arial"/>
          <w:sz w:val="13"/>
          <w:szCs w:val="13"/>
          <w:color w:val="474C55"/>
        </w:rPr>
        <w:t>Harton: pro-rata (2024 actual) bonus ($1,545,177); lump-sum payment representing 3.0x his 2024 salary and target bonus ($7,593,750); lump-sum payment for 36 months of continuing health coverage ($63,216); lump-sum payment for 36 months of continuing life insurance benefits, including the conversion premium ($30,855); lump-sum payment for 36 months of continuing club ($4,263 / month) and auto ($1,250 / month) benefits ($198,462); lump-sum payment representing three years of profit sharing contributions ($164,127) and outplacement services (up to $112,500);</w:t>
      </w:r>
    </w:p>
    <w:p>
      <w:pPr>
        <w:ind w:left="820" w:right="260" w:hanging="244"/>
        <w:spacing w:after="0" w:line="241" w:lineRule="auto"/>
        <w:tabs>
          <w:tab w:leader="none" w:pos="820" w:val="left"/>
        </w:tabs>
        <w:numPr>
          <w:ilvl w:val="1"/>
          <w:numId w:val="63"/>
        </w:numPr>
        <w:rPr>
          <w:rFonts w:ascii="Arial" w:cs="Arial" w:eastAsia="Arial" w:hAnsi="Arial"/>
          <w:sz w:val="13"/>
          <w:szCs w:val="13"/>
          <w:color w:val="474C55"/>
        </w:rPr>
      </w:pPr>
      <w:r>
        <w:rPr>
          <w:rFonts w:ascii="Arial" w:cs="Arial" w:eastAsia="Arial" w:hAnsi="Arial"/>
          <w:sz w:val="13"/>
          <w:szCs w:val="13"/>
          <w:color w:val="474C55"/>
        </w:rPr>
        <w:t>Harralson: pro-rata (2024 actual) bonus ($483,469); lump-sum payment representing 2x his 2024 salary and target bonus ($1,980,000); lump-sum payment for 24 months of continuing health coverage ($59,184); lump-sum payment for 24 months of continuing life insurance benefits, including the conversion premium ($21,870); lump-sum payment for 24 months continuing club ($1,325 / month) and auto ($1,250 / month) benefits ($61,800); lump-sum payment representing two years of profit sharing contributions ($53,584) and outplacement services (up to $55,000);</w:t>
      </w:r>
    </w:p>
    <w:p>
      <w:pPr>
        <w:ind w:left="820" w:right="280" w:hanging="244"/>
        <w:spacing w:after="0" w:line="262" w:lineRule="auto"/>
        <w:tabs>
          <w:tab w:leader="none" w:pos="820" w:val="left"/>
        </w:tabs>
        <w:numPr>
          <w:ilvl w:val="1"/>
          <w:numId w:val="63"/>
        </w:numPr>
        <w:rPr>
          <w:rFonts w:ascii="Arial" w:cs="Arial" w:eastAsia="Arial" w:hAnsi="Arial"/>
          <w:sz w:val="13"/>
          <w:szCs w:val="13"/>
          <w:color w:val="474C55"/>
        </w:rPr>
      </w:pPr>
      <w:r>
        <w:rPr>
          <w:rFonts w:ascii="Arial" w:cs="Arial" w:eastAsia="Arial" w:hAnsi="Arial"/>
          <w:sz w:val="13"/>
          <w:szCs w:val="13"/>
          <w:color w:val="474C55"/>
        </w:rPr>
        <w:t>Bradshaw: pro-rata (2024 actual) bonus ($741,865); lump-sum payment representing 2x his 2024 salary and target bonus ($2,700,000); lump-sum payment for 24 months of continuing health coverage ($42,144); lump-sum payment for 24 months of continuing life insurance benefits, including the conversion premium</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bookmarkStart w:id="57" w:name="page58"/>
    <w:bookmarkEnd w:id="57"/>
    <w:p>
      <w:pPr>
        <w:ind w:left="820" w:right="280"/>
        <w:spacing w:after="0" w:line="250" w:lineRule="auto"/>
        <w:rPr>
          <w:sz w:val="20"/>
          <w:szCs w:val="20"/>
          <w:color w:val="auto"/>
        </w:rPr>
      </w:pPr>
      <w:r>
        <w:rPr>
          <w:rFonts w:ascii="Arial" w:cs="Arial" w:eastAsia="Arial" w:hAnsi="Arial"/>
          <w:sz w:val="13"/>
          <w:szCs w:val="13"/>
          <w:color w:val="474C55"/>
        </w:rPr>
        <w:t>($26,535); lump sum payment for 24 months continuing club ($1,850 / month) and auto ($1,250 / month) benefits ($74,392); lump-sum payment representing two years of profit sharing contributions ($63,958) and outplacement services (up to $67,500);</w:t>
      </w:r>
    </w:p>
    <w:p>
      <w:pPr>
        <w:spacing w:after="0" w:line="1" w:lineRule="exact"/>
        <w:rPr>
          <w:sz w:val="20"/>
          <w:szCs w:val="20"/>
          <w:color w:val="auto"/>
        </w:rPr>
      </w:pPr>
    </w:p>
    <w:p>
      <w:pPr>
        <w:ind w:left="820" w:right="160" w:hanging="244"/>
        <w:spacing w:after="0" w:line="241" w:lineRule="auto"/>
        <w:tabs>
          <w:tab w:leader="none" w:pos="820" w:val="left"/>
        </w:tabs>
        <w:numPr>
          <w:ilvl w:val="0"/>
          <w:numId w:val="64"/>
        </w:numPr>
        <w:rPr>
          <w:rFonts w:ascii="Arial" w:cs="Arial" w:eastAsia="Arial" w:hAnsi="Arial"/>
          <w:sz w:val="13"/>
          <w:szCs w:val="13"/>
          <w:color w:val="474C55"/>
        </w:rPr>
      </w:pPr>
      <w:r>
        <w:rPr>
          <w:rFonts w:ascii="Arial" w:cs="Arial" w:eastAsia="Arial" w:hAnsi="Arial"/>
          <w:sz w:val="13"/>
          <w:szCs w:val="13"/>
          <w:color w:val="474C55"/>
        </w:rPr>
        <w:t>Davis Lux: pro-rata (2024 actual) bonus ($483,469); lump-sum payment representing 2x her 2024 salary and target bonus ($1,980,000); lump-sum payment for 24 months of continuing health coverage ($51,552); lump-sum payment for 24 months of continuing life insurance benefits, including the conversion premium ($17,604); lump-sum payment for 24 months continuing auto ($1,250 / month) benefits ($30,000); lump-sum payment representing two years of profit sharing contributions ($49,688) and outplacement services (up to $55,000); and</w:t>
      </w:r>
    </w:p>
    <w:p>
      <w:pPr>
        <w:ind w:left="820" w:right="160" w:hanging="244"/>
        <w:spacing w:after="0" w:line="241" w:lineRule="auto"/>
        <w:tabs>
          <w:tab w:leader="none" w:pos="820" w:val="left"/>
        </w:tabs>
        <w:numPr>
          <w:ilvl w:val="0"/>
          <w:numId w:val="64"/>
        </w:numPr>
        <w:rPr>
          <w:rFonts w:ascii="Arial" w:cs="Arial" w:eastAsia="Arial" w:hAnsi="Arial"/>
          <w:sz w:val="13"/>
          <w:szCs w:val="13"/>
          <w:color w:val="474C55"/>
        </w:rPr>
      </w:pPr>
      <w:r>
        <w:rPr>
          <w:rFonts w:ascii="Arial" w:cs="Arial" w:eastAsia="Arial" w:hAnsi="Arial"/>
          <w:sz w:val="13"/>
          <w:szCs w:val="13"/>
          <w:color w:val="474C55"/>
        </w:rPr>
        <w:t>Edwards: pro-rata (2024 actual) bonus ($329,638); lump-sum payment representing 2x his 2024 salary and target bonus ($1,600,000); lump-sum payment for 24 months of continuing health coverage ($42,144); lump-sum payment for 24 months of continuing life insurance benefits, including the conversion premium ($22,683); lump-sum payment for 24 months continuing auto ($1,000 / month) benefits ($24,000); lump-sum payment representing two years of profit sharing contributions ($47,520) and outplacement</w:t>
      </w:r>
    </w:p>
    <w:p>
      <w:pPr>
        <w:ind w:left="820"/>
        <w:spacing w:after="0" w:line="233" w:lineRule="auto"/>
        <w:rPr>
          <w:sz w:val="20"/>
          <w:szCs w:val="20"/>
          <w:color w:val="auto"/>
        </w:rPr>
      </w:pPr>
      <w:r>
        <w:rPr>
          <w:rFonts w:ascii="Arial" w:cs="Arial" w:eastAsia="Arial" w:hAnsi="Arial"/>
          <w:sz w:val="13"/>
          <w:szCs w:val="13"/>
          <w:color w:val="474C55"/>
        </w:rPr>
        <w:t>services (up to $50,000).</w:t>
      </w:r>
    </w:p>
    <w:p>
      <w:pPr>
        <w:jc w:val="both"/>
        <w:ind w:left="320" w:right="60" w:hanging="245"/>
        <w:spacing w:after="0" w:line="205" w:lineRule="auto"/>
        <w:tabs>
          <w:tab w:leader="none" w:pos="320" w:val="left"/>
        </w:tabs>
        <w:numPr>
          <w:ilvl w:val="0"/>
          <w:numId w:val="65"/>
        </w:numPr>
        <w:rPr>
          <w:rFonts w:ascii="Arial" w:cs="Arial" w:eastAsia="Arial" w:hAnsi="Arial"/>
          <w:sz w:val="22"/>
          <w:szCs w:val="22"/>
          <w:color w:val="474C55"/>
          <w:vertAlign w:val="superscript"/>
        </w:rPr>
      </w:pPr>
      <w:r>
        <w:rPr>
          <w:rFonts w:ascii="Arial" w:cs="Arial" w:eastAsia="Arial" w:hAnsi="Arial"/>
          <w:sz w:val="13"/>
          <w:szCs w:val="13"/>
          <w:color w:val="474C55"/>
        </w:rPr>
        <w:t>Represents all compensation that would become due, either to the NEO of, if applicable, to the NEO’s estate, as a result of a termination resulting from death or disability having occurred on December 31, 2024, prior to a change in control. The amounts for all NEOs represent the value of stock awards that the NEO would have received that were unvested as of December 31, 2024, plus, in the case of Mr. Harton, a pro-rata (2024 actual) bonus ($1,545,177). In addition, in the event of termination as a result of disability, Mr. Harton will receive a lump-sum payment for 30 months of health benefits ($52,680).</w:t>
      </w:r>
    </w:p>
    <w:p>
      <w:pPr>
        <w:spacing w:after="0" w:line="1" w:lineRule="exact"/>
        <w:rPr>
          <w:sz w:val="20"/>
          <w:szCs w:val="20"/>
          <w:color w:val="auto"/>
        </w:rPr>
      </w:pPr>
    </w:p>
    <w:p>
      <w:pPr>
        <w:jc w:val="both"/>
        <w:ind w:left="320" w:right="60" w:hanging="245"/>
        <w:spacing w:after="0"/>
        <w:tabs>
          <w:tab w:leader="none" w:pos="320" w:val="left"/>
        </w:tabs>
        <w:numPr>
          <w:ilvl w:val="0"/>
          <w:numId w:val="66"/>
        </w:numPr>
        <w:rPr>
          <w:rFonts w:ascii="Arial" w:cs="Arial" w:eastAsia="Arial" w:hAnsi="Arial"/>
          <w:sz w:val="22"/>
          <w:szCs w:val="22"/>
          <w:color w:val="474C55"/>
          <w:vertAlign w:val="superscript"/>
        </w:rPr>
      </w:pPr>
      <w:r>
        <w:rPr>
          <w:rFonts w:ascii="Arial" w:cs="Arial" w:eastAsia="Arial" w:hAnsi="Arial"/>
          <w:sz w:val="13"/>
          <w:szCs w:val="13"/>
          <w:color w:val="474C55"/>
        </w:rPr>
        <w:t>Represents all compensation that would become due, either to the NEO of, if applicable, to the NEO’s estate, as a result of a termination resulting from death or disability having occurred on December 31, 2024, after a change in control. The amounts for all NEOs represent the value of stock awards that the NEO would have received that were unvested as of December 31, 2024, plus a pro-rata (2024 actual) bonus in the following amounts: Harton ($1,545,177); Harralson ($483,469); Bradshaw ($741,685); Davis-Lux ($483,469) and Edwards ($329,638).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9519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179" w:lineRule="exact"/>
        <w:rPr>
          <w:sz w:val="20"/>
          <w:szCs w:val="20"/>
          <w:color w:val="auto"/>
        </w:rPr>
      </w:pPr>
    </w:p>
    <w:p>
      <w:pPr>
        <w:ind w:right="340"/>
        <w:spacing w:after="0" w:line="255" w:lineRule="auto"/>
        <w:rPr>
          <w:sz w:val="20"/>
          <w:szCs w:val="20"/>
          <w:color w:val="auto"/>
        </w:rPr>
      </w:pPr>
      <w:r>
        <w:rPr>
          <w:rFonts w:ascii="Arial" w:cs="Arial" w:eastAsia="Arial" w:hAnsi="Arial"/>
          <w:sz w:val="15"/>
          <w:szCs w:val="15"/>
          <w:color w:val="474C55"/>
        </w:rPr>
        <w:t>Other than the Change-in-Control Continuity Agreements that we have with our NEOs, the Harton Employment Agreement, the Bradshaw Employment Agreement and provisions set forth in our equity award agreements, United Community has no other employment or severance agreements with its NEOs. Therefore, except as previously described above, no severance benefit is payable, and there is no continuation of benefit coverage in the event of a NEO’s voluntary or involuntary termination, retirement, disability or death.</w:t>
      </w:r>
    </w:p>
    <w:p>
      <w:pPr>
        <w:spacing w:after="0" w:line="155" w:lineRule="exact"/>
        <w:rPr>
          <w:sz w:val="20"/>
          <w:szCs w:val="20"/>
          <w:color w:val="auto"/>
        </w:rPr>
      </w:pPr>
    </w:p>
    <w:p>
      <w:pPr>
        <w:ind w:right="620"/>
        <w:spacing w:after="0" w:line="279" w:lineRule="auto"/>
        <w:rPr>
          <w:sz w:val="20"/>
          <w:szCs w:val="20"/>
          <w:color w:val="auto"/>
        </w:rPr>
      </w:pPr>
      <w:r>
        <w:rPr>
          <w:rFonts w:ascii="Arial" w:cs="Arial" w:eastAsia="Arial" w:hAnsi="Arial"/>
          <w:sz w:val="15"/>
          <w:szCs w:val="15"/>
          <w:color w:val="474C55"/>
        </w:rPr>
        <w:t>Under our agreements, change in control generally means any one of the events listed below (defined terms used below that are not otherwise defined have the meanings given to them in the Change-in-Control Continuity Agreements):</w:t>
      </w:r>
    </w:p>
    <w:p>
      <w:pPr>
        <w:spacing w:after="0" w:line="24" w:lineRule="exact"/>
        <w:rPr>
          <w:sz w:val="20"/>
          <w:szCs w:val="20"/>
          <w:color w:val="auto"/>
        </w:rPr>
      </w:pPr>
    </w:p>
    <w:p>
      <w:pPr>
        <w:ind w:left="600" w:right="500" w:hanging="300"/>
        <w:spacing w:after="0" w:line="261" w:lineRule="auto"/>
        <w:tabs>
          <w:tab w:leader="none" w:pos="600" w:val="left"/>
        </w:tabs>
        <w:numPr>
          <w:ilvl w:val="0"/>
          <w:numId w:val="67"/>
        </w:numPr>
        <w:rPr>
          <w:rFonts w:ascii="Arial" w:cs="Arial" w:eastAsia="Arial" w:hAnsi="Arial"/>
          <w:sz w:val="15"/>
          <w:szCs w:val="15"/>
          <w:color w:val="474C55"/>
        </w:rPr>
      </w:pPr>
      <w:r>
        <w:rPr>
          <w:rFonts w:ascii="Arial" w:cs="Arial" w:eastAsia="Arial" w:hAnsi="Arial"/>
          <w:sz w:val="15"/>
          <w:szCs w:val="15"/>
          <w:color w:val="474C55"/>
        </w:rPr>
        <w:t>An acquisition (other than by or from the Company or certain of its affiliates) of 30% or more of either (1) the then outstanding shares of common stock of the Company or (2) the combined voting power of the then-outstanding voting securities of the Company entitled to vote generally in the election of directors by any person;</w:t>
      </w:r>
    </w:p>
    <w:p>
      <w:pPr>
        <w:spacing w:after="0" w:line="37" w:lineRule="exact"/>
        <w:rPr>
          <w:rFonts w:ascii="Arial" w:cs="Arial" w:eastAsia="Arial" w:hAnsi="Arial"/>
          <w:sz w:val="15"/>
          <w:szCs w:val="15"/>
          <w:color w:val="474C55"/>
        </w:rPr>
      </w:pPr>
    </w:p>
    <w:p>
      <w:pPr>
        <w:ind w:left="600" w:right="120" w:hanging="300"/>
        <w:spacing w:after="0" w:line="249" w:lineRule="auto"/>
        <w:tabs>
          <w:tab w:leader="none" w:pos="600" w:val="left"/>
        </w:tabs>
        <w:numPr>
          <w:ilvl w:val="0"/>
          <w:numId w:val="67"/>
        </w:numPr>
        <w:rPr>
          <w:rFonts w:ascii="Arial" w:cs="Arial" w:eastAsia="Arial" w:hAnsi="Arial"/>
          <w:sz w:val="15"/>
          <w:szCs w:val="15"/>
          <w:color w:val="474C55"/>
        </w:rPr>
      </w:pPr>
      <w:r>
        <w:rPr>
          <w:rFonts w:ascii="Arial" w:cs="Arial" w:eastAsia="Arial" w:hAnsi="Arial"/>
          <w:sz w:val="15"/>
          <w:szCs w:val="15"/>
          <w:color w:val="474C55"/>
        </w:rPr>
        <w:t>A change in the composition of the Board such that the individuals who, as of the effective date of the agreements, constitute the Board (the “Incumbent Board”) cease for any reason to constitute at least a majority of the Board; provided, however, that any individual who becomes a member of the Board after such effective date whose election, or nomination for election by our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w:t>
      </w:r>
    </w:p>
    <w:p>
      <w:pPr>
        <w:spacing w:after="0" w:line="48" w:lineRule="exact"/>
        <w:rPr>
          <w:rFonts w:ascii="Arial" w:cs="Arial" w:eastAsia="Arial" w:hAnsi="Arial"/>
          <w:sz w:val="15"/>
          <w:szCs w:val="15"/>
          <w:color w:val="474C55"/>
        </w:rPr>
      </w:pPr>
    </w:p>
    <w:p>
      <w:pPr>
        <w:ind w:left="600" w:right="160" w:hanging="300"/>
        <w:spacing w:after="0" w:line="246" w:lineRule="auto"/>
        <w:tabs>
          <w:tab w:leader="none" w:pos="600" w:val="left"/>
        </w:tabs>
        <w:numPr>
          <w:ilvl w:val="0"/>
          <w:numId w:val="67"/>
        </w:numPr>
        <w:rPr>
          <w:rFonts w:ascii="Arial" w:cs="Arial" w:eastAsia="Arial" w:hAnsi="Arial"/>
          <w:sz w:val="15"/>
          <w:szCs w:val="15"/>
          <w:color w:val="474C55"/>
        </w:rPr>
      </w:pPr>
      <w:r>
        <w:rPr>
          <w:rFonts w:ascii="Arial" w:cs="Arial" w:eastAsia="Arial" w:hAnsi="Arial"/>
          <w:sz w:val="15"/>
          <w:szCs w:val="15"/>
          <w:color w:val="474C55"/>
        </w:rPr>
        <w:t>The consummation of a reorganization, merger, statutory share exchange or consolidation or similar transaction involving the Company or any of its subsidiaries, or sale or other disposition of all or substantially all of the Company’s assets, or the acquisition of assets or securities of another entity by the Company or any of its subsidiaries (a “Business Combination”), in each case, unless, following such Business Combination: (A) all or substantially all of the individuals and entities who were the beneficial owners, respectively, of the Company’s outstanding common stock and the Company’s outstanding voting securities immediately before such Business Combination beneficially own, directly or indirectly, more than 50% of, respectively, the then-outstanding shares of common stock (or, for a noncorporate entity, equivalent securities) and the combined voting power of the then-outstanding voting securities entitled to vote generally in the election of directors (or, for a noncorporate entity, equivalent securities), as the case may be, of the entity resulting from such Business Combination (including an entity that, as a result of such transaction, owns the Company or all or substantially all of the Company’s assets either directly or through one or more subsidiaries) in substantially the same proportions as their ownership, immediately before such Business Combination of the outstanding company common stock and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30%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before the Business Combination; and (C) at least a majority of the members of the board of directors (or, for a noncorporate entity, equivalent body or committee) of the entity resulting from such Business Combination were members of the Board at the time of the execution of the initial agreement, or of the action of the Board, providing for such Business Combination; or</w:t>
      </w:r>
    </w:p>
    <w:p>
      <w:pPr>
        <w:spacing w:after="0" w:line="48" w:lineRule="exact"/>
        <w:rPr>
          <w:rFonts w:ascii="Arial" w:cs="Arial" w:eastAsia="Arial" w:hAnsi="Arial"/>
          <w:sz w:val="15"/>
          <w:szCs w:val="15"/>
          <w:color w:val="474C55"/>
        </w:rPr>
      </w:pPr>
    </w:p>
    <w:p>
      <w:pPr>
        <w:ind w:left="600" w:hanging="300"/>
        <w:spacing w:after="0"/>
        <w:tabs>
          <w:tab w:leader="none" w:pos="600" w:val="left"/>
        </w:tabs>
        <w:numPr>
          <w:ilvl w:val="0"/>
          <w:numId w:val="67"/>
        </w:numPr>
        <w:rPr>
          <w:rFonts w:ascii="Arial" w:cs="Arial" w:eastAsia="Arial" w:hAnsi="Arial"/>
          <w:sz w:val="15"/>
          <w:szCs w:val="15"/>
          <w:color w:val="474C55"/>
        </w:rPr>
      </w:pPr>
      <w:r>
        <w:rPr>
          <w:rFonts w:ascii="Arial" w:cs="Arial" w:eastAsia="Arial" w:hAnsi="Arial"/>
          <w:sz w:val="15"/>
          <w:szCs w:val="15"/>
          <w:color w:val="474C55"/>
        </w:rPr>
        <w:t>The approval by our shareholders of a complete liquidation or dissolution of the Company.</w:t>
      </w:r>
    </w:p>
    <w:p>
      <w:pPr>
        <w:spacing w:after="0" w:line="186" w:lineRule="exact"/>
        <w:rPr>
          <w:sz w:val="20"/>
          <w:szCs w:val="20"/>
          <w:color w:val="auto"/>
        </w:rPr>
      </w:pPr>
    </w:p>
    <w:p>
      <w:pPr>
        <w:ind w:right="720"/>
        <w:spacing w:after="0" w:line="236" w:lineRule="auto"/>
        <w:rPr>
          <w:sz w:val="20"/>
          <w:szCs w:val="20"/>
          <w:color w:val="auto"/>
        </w:rPr>
      </w:pPr>
      <w:r>
        <w:rPr>
          <w:rFonts w:ascii="Arial" w:cs="Arial" w:eastAsia="Arial" w:hAnsi="Arial"/>
          <w:sz w:val="17"/>
          <w:szCs w:val="17"/>
          <w:color w:val="474C55"/>
        </w:rPr>
        <w:t xml:space="preserve">The foregoing is only a summary of the change-in-control provisions of our various agreements, which are filed or incorporated by reference as exhibits to our Annual Report on Form 10-K. We encourage you to review those agreements for additional information </w:t>
      </w:r>
      <w:r>
        <w:rPr>
          <w:rFonts w:ascii="Arial" w:cs="Arial" w:eastAsia="Arial" w:hAnsi="Arial"/>
          <w:sz w:val="15"/>
          <w:szCs w:val="15"/>
          <w:color w:val="474C55"/>
        </w:rPr>
        <w:t>regarding the severance</w:t>
      </w:r>
      <w:r>
        <w:rPr>
          <w:rFonts w:ascii="Arial" w:cs="Arial" w:eastAsia="Arial" w:hAnsi="Arial"/>
          <w:sz w:val="17"/>
          <w:szCs w:val="17"/>
          <w:color w:val="474C55"/>
        </w:rPr>
        <w:t xml:space="preserve"> </w:t>
      </w:r>
      <w:r>
        <w:rPr>
          <w:rFonts w:ascii="Arial" w:cs="Arial" w:eastAsia="Arial" w:hAnsi="Arial"/>
          <w:sz w:val="15"/>
          <w:szCs w:val="15"/>
          <w:color w:val="474C55"/>
        </w:rPr>
        <w:t>arrangements applicable to our NEOs.</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58" w:name="page59"/>
    <w:bookmarkEnd w:id="58"/>
    <w:p>
      <w:pPr>
        <w:spacing w:after="0"/>
        <w:rPr>
          <w:sz w:val="20"/>
          <w:szCs w:val="20"/>
          <w:color w:val="auto"/>
        </w:rPr>
      </w:pPr>
      <w:r>
        <w:rPr>
          <w:rFonts w:ascii="Arial" w:cs="Arial" w:eastAsia="Arial" w:hAnsi="Arial"/>
          <w:sz w:val="24"/>
          <w:szCs w:val="24"/>
          <w:b w:val="1"/>
          <w:bCs w:val="1"/>
          <w:color w:val="017AB5"/>
        </w:rPr>
        <w:t>Compensation Committee Interlocks and Insider Participation</w:t>
      </w:r>
    </w:p>
    <w:p>
      <w:pPr>
        <w:spacing w:after="0" w:line="20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474C55"/>
        </w:rPr>
        <w:t>No member who was a member of our Talent and Compensation Committee during all or a portion of 2024: (1) was at any time during 2024 an officer or employee, or was at any time prior to 2024 an officer, of United Community or any of our subsidiaries or (2) had any relationship requiring disclosure under Transactions with Management and Others. Also, none of our executive officers serves, or in the past fiscal year has served, as a director or compensation committee (or equivalent committee) member of any entity that has an executive officer serving as a United Community director or Talent and Compensation Committee member.</w:t>
      </w:r>
    </w:p>
    <w:p>
      <w:pPr>
        <w:spacing w:after="0" w:line="143" w:lineRule="exact"/>
        <w:rPr>
          <w:sz w:val="20"/>
          <w:szCs w:val="20"/>
          <w:color w:val="auto"/>
        </w:rPr>
      </w:pPr>
    </w:p>
    <w:p>
      <w:pPr>
        <w:spacing w:after="0"/>
        <w:rPr>
          <w:sz w:val="20"/>
          <w:szCs w:val="20"/>
          <w:color w:val="auto"/>
        </w:rPr>
      </w:pPr>
      <w:r>
        <w:rPr>
          <w:rFonts w:ascii="Arial" w:cs="Arial" w:eastAsia="Arial" w:hAnsi="Arial"/>
          <w:sz w:val="24"/>
          <w:szCs w:val="24"/>
          <w:b w:val="1"/>
          <w:bCs w:val="1"/>
          <w:color w:val="017AB5"/>
        </w:rPr>
        <w:t>Compensation Risk Considerations</w:t>
      </w:r>
    </w:p>
    <w:p>
      <w:pPr>
        <w:spacing w:after="0" w:line="200"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474C55"/>
        </w:rPr>
        <w:t>SEC rules require the Talent and Compensation Committee to annually review our compensation policies and practices to determine if such policies and practices are reasonably likely to have a material adverse impact on us. The Talent and Compensation Committee also considers whether our employee compensation arrangements encourage excessive or unnecessary risk-taking by our executive officers, senior management and other key employees and amends such arrangements, if necessary. As part of its review, the Talent and Compensation Committee considers the various risks to which we are subject including market, liquidity, interest rate, operational, credit, reputational, compliance and strategic risks and how our incentive compensation programs, policies and practices may contribute to risk. The Talent and Compensation Committee also considers our controls and actions taken to mitigate and monitor those risks.</w:t>
      </w:r>
    </w:p>
    <w:p>
      <w:pPr>
        <w:spacing w:after="0" w:line="156" w:lineRule="exact"/>
        <w:rPr>
          <w:sz w:val="20"/>
          <w:szCs w:val="20"/>
          <w:color w:val="auto"/>
        </w:rPr>
      </w:pPr>
    </w:p>
    <w:p>
      <w:pPr>
        <w:ind w:right="880"/>
        <w:spacing w:after="0" w:line="245" w:lineRule="auto"/>
        <w:rPr>
          <w:sz w:val="20"/>
          <w:szCs w:val="20"/>
          <w:color w:val="auto"/>
        </w:rPr>
      </w:pPr>
      <w:r>
        <w:rPr>
          <w:rFonts w:ascii="Arial" w:cs="Arial" w:eastAsia="Arial" w:hAnsi="Arial"/>
          <w:sz w:val="17"/>
          <w:szCs w:val="17"/>
          <w:color w:val="474C55"/>
        </w:rPr>
        <w:t>For 2024, following the completion of a detailed analysis, the Talent and Compensation Committee concluded that our compensation policies and practices appropriately balance risk and reward and align employee interests with shareholder interests based on the following observations:</w:t>
      </w:r>
    </w:p>
    <w:p>
      <w:pPr>
        <w:spacing w:after="0" w:line="2" w:lineRule="exact"/>
        <w:rPr>
          <w:sz w:val="20"/>
          <w:szCs w:val="20"/>
          <w:color w:val="auto"/>
        </w:rPr>
      </w:pPr>
    </w:p>
    <w:p>
      <w:pPr>
        <w:ind w:left="600" w:right="200" w:hanging="300"/>
        <w:spacing w:after="0" w:line="257" w:lineRule="auto"/>
        <w:tabs>
          <w:tab w:leader="none" w:pos="600" w:val="left"/>
        </w:tabs>
        <w:numPr>
          <w:ilvl w:val="0"/>
          <w:numId w:val="68"/>
        </w:numPr>
        <w:rPr>
          <w:rFonts w:ascii="Arial" w:cs="Arial" w:eastAsia="Arial" w:hAnsi="Arial"/>
          <w:sz w:val="14"/>
          <w:szCs w:val="14"/>
          <w:color w:val="474C55"/>
        </w:rPr>
      </w:pPr>
      <w:r>
        <w:rPr>
          <w:rFonts w:ascii="Arial" w:cs="Arial" w:eastAsia="Arial" w:hAnsi="Arial"/>
          <w:sz w:val="16"/>
          <w:szCs w:val="16"/>
          <w:color w:val="474C55"/>
        </w:rPr>
        <w:t>Pay for our executive officers is structured to consist of both fixed (annual base salary) and variable (annual cash and long-term equity incentives) compensation. The Talent and Compensation Committee believes that the variable elements provide an appropriate percentage of overall compensation to motivate executive officers to focus on our performance while the fixed element serves to provide an appropriate and fair compensation level that does not encourage executive officers to take unnecessary or excessive risks in achievement of goals.</w:t>
      </w:r>
    </w:p>
    <w:p>
      <w:pPr>
        <w:ind w:left="600" w:right="240" w:hanging="300"/>
        <w:spacing w:after="0" w:line="253" w:lineRule="auto"/>
        <w:tabs>
          <w:tab w:leader="none" w:pos="600" w:val="left"/>
        </w:tabs>
        <w:numPr>
          <w:ilvl w:val="0"/>
          <w:numId w:val="68"/>
        </w:numPr>
        <w:rPr>
          <w:rFonts w:ascii="Arial" w:cs="Arial" w:eastAsia="Arial" w:hAnsi="Arial"/>
          <w:sz w:val="15"/>
          <w:szCs w:val="15"/>
          <w:color w:val="474C55"/>
        </w:rPr>
      </w:pPr>
      <w:r>
        <w:rPr>
          <w:rFonts w:ascii="Arial" w:cs="Arial" w:eastAsia="Arial" w:hAnsi="Arial"/>
          <w:sz w:val="17"/>
          <w:szCs w:val="17"/>
          <w:color w:val="474C55"/>
        </w:rPr>
        <w:t>Our compensation program balances short-term and long-term performance and does not place inappropriate focus on achieving short-term results in a way that inhibits long-term, sustained performance.</w:t>
      </w:r>
    </w:p>
    <w:p>
      <w:pPr>
        <w:ind w:left="600" w:right="440" w:hanging="300"/>
        <w:spacing w:after="0" w:line="238" w:lineRule="auto"/>
        <w:tabs>
          <w:tab w:leader="none" w:pos="600" w:val="left"/>
        </w:tabs>
        <w:numPr>
          <w:ilvl w:val="0"/>
          <w:numId w:val="68"/>
        </w:numPr>
        <w:rPr>
          <w:rFonts w:ascii="Arial" w:cs="Arial" w:eastAsia="Arial" w:hAnsi="Arial"/>
          <w:sz w:val="15"/>
          <w:szCs w:val="15"/>
          <w:color w:val="474C55"/>
        </w:rPr>
      </w:pPr>
      <w:r>
        <w:rPr>
          <w:rFonts w:ascii="Arial" w:cs="Arial" w:eastAsia="Arial" w:hAnsi="Arial"/>
          <w:sz w:val="17"/>
          <w:szCs w:val="17"/>
          <w:color w:val="474C55"/>
        </w:rPr>
        <w:t>All incentive programs covering the NEOs, including the annual cash incentive program and the long-term equity incentive program, are reviewed and approved by the Talent and Compensation Committee annually and typically include threshold and target payout and vesting potential. A maximum payout potential is set for the performance-based incentive compensation awards to ensure that payments do not exceed a certain level, thereby maintaining the compensation mix for the NEOs within acceptable ranges and limiting excessive payments under any one element.</w:t>
      </w:r>
    </w:p>
    <w:p>
      <w:pPr>
        <w:spacing w:after="0" w:line="6" w:lineRule="exact"/>
        <w:rPr>
          <w:rFonts w:ascii="Arial" w:cs="Arial" w:eastAsia="Arial" w:hAnsi="Arial"/>
          <w:sz w:val="15"/>
          <w:szCs w:val="15"/>
          <w:color w:val="474C55"/>
        </w:rPr>
      </w:pPr>
    </w:p>
    <w:p>
      <w:pPr>
        <w:ind w:left="600" w:right="240" w:hanging="300"/>
        <w:spacing w:after="0" w:line="253" w:lineRule="auto"/>
        <w:tabs>
          <w:tab w:leader="none" w:pos="600" w:val="left"/>
        </w:tabs>
        <w:numPr>
          <w:ilvl w:val="0"/>
          <w:numId w:val="68"/>
        </w:numPr>
        <w:rPr>
          <w:rFonts w:ascii="Arial" w:cs="Arial" w:eastAsia="Arial" w:hAnsi="Arial"/>
          <w:sz w:val="15"/>
          <w:szCs w:val="15"/>
          <w:color w:val="474C55"/>
        </w:rPr>
      </w:pPr>
      <w:r>
        <w:rPr>
          <w:rFonts w:ascii="Arial" w:cs="Arial" w:eastAsia="Arial" w:hAnsi="Arial"/>
          <w:sz w:val="17"/>
          <w:szCs w:val="17"/>
          <w:color w:val="474C55"/>
        </w:rPr>
        <w:t>We have internal controls over the measurement and calculation of performance metrics which are designed to prevent manipulation of results by any employee including the executive officers.</w:t>
      </w:r>
    </w:p>
    <w:p>
      <w:pPr>
        <w:ind w:left="600" w:right="880" w:hanging="300"/>
        <w:spacing w:after="0" w:line="245" w:lineRule="auto"/>
        <w:tabs>
          <w:tab w:leader="none" w:pos="600" w:val="left"/>
        </w:tabs>
        <w:numPr>
          <w:ilvl w:val="0"/>
          <w:numId w:val="68"/>
        </w:numPr>
        <w:rPr>
          <w:rFonts w:ascii="Arial" w:cs="Arial" w:eastAsia="Arial" w:hAnsi="Arial"/>
          <w:sz w:val="15"/>
          <w:szCs w:val="15"/>
          <w:color w:val="474C55"/>
        </w:rPr>
      </w:pPr>
      <w:r>
        <w:rPr>
          <w:rFonts w:ascii="Arial" w:cs="Arial" w:eastAsia="Arial" w:hAnsi="Arial"/>
          <w:sz w:val="17"/>
          <w:szCs w:val="17"/>
          <w:color w:val="474C55"/>
        </w:rPr>
        <w:t>The Talent and Compensation Committee has the discretion to modify any annual cash incentive payout, subject to Management Incentive Plan parameters, allowing it to consider the circumstances surrounding corporate and/or individual performance and adjust payouts accordingly.</w:t>
      </w:r>
    </w:p>
    <w:p>
      <w:pPr>
        <w:spacing w:after="0" w:line="1" w:lineRule="exact"/>
        <w:rPr>
          <w:rFonts w:ascii="Arial" w:cs="Arial" w:eastAsia="Arial" w:hAnsi="Arial"/>
          <w:sz w:val="15"/>
          <w:szCs w:val="15"/>
          <w:color w:val="474C55"/>
        </w:rPr>
      </w:pPr>
    </w:p>
    <w:p>
      <w:pPr>
        <w:ind w:left="600" w:hanging="300"/>
        <w:spacing w:after="0"/>
        <w:tabs>
          <w:tab w:leader="none" w:pos="600" w:val="left"/>
        </w:tabs>
        <w:numPr>
          <w:ilvl w:val="0"/>
          <w:numId w:val="68"/>
        </w:numPr>
        <w:rPr>
          <w:rFonts w:ascii="Arial" w:cs="Arial" w:eastAsia="Arial" w:hAnsi="Arial"/>
          <w:sz w:val="15"/>
          <w:szCs w:val="15"/>
          <w:color w:val="474C55"/>
        </w:rPr>
      </w:pPr>
      <w:r>
        <w:rPr>
          <w:rFonts w:ascii="Arial" w:cs="Arial" w:eastAsia="Arial" w:hAnsi="Arial"/>
          <w:sz w:val="17"/>
          <w:szCs w:val="17"/>
          <w:color w:val="474C55"/>
        </w:rPr>
        <w:t>There are appropriate internal controls and oversight of the approval and processing of payouts.</w:t>
      </w:r>
    </w:p>
    <w:p>
      <w:pPr>
        <w:spacing w:after="0" w:line="29" w:lineRule="exact"/>
        <w:rPr>
          <w:rFonts w:ascii="Arial" w:cs="Arial" w:eastAsia="Arial" w:hAnsi="Arial"/>
          <w:sz w:val="15"/>
          <w:szCs w:val="15"/>
          <w:color w:val="474C55"/>
        </w:rPr>
      </w:pPr>
    </w:p>
    <w:p>
      <w:pPr>
        <w:ind w:left="600" w:right="420" w:hanging="300"/>
        <w:spacing w:after="0" w:line="245" w:lineRule="auto"/>
        <w:tabs>
          <w:tab w:leader="none" w:pos="600" w:val="left"/>
        </w:tabs>
        <w:numPr>
          <w:ilvl w:val="0"/>
          <w:numId w:val="68"/>
        </w:numPr>
        <w:rPr>
          <w:rFonts w:ascii="Arial" w:cs="Arial" w:eastAsia="Arial" w:hAnsi="Arial"/>
          <w:sz w:val="15"/>
          <w:szCs w:val="15"/>
          <w:color w:val="474C55"/>
        </w:rPr>
      </w:pPr>
      <w:r>
        <w:rPr>
          <w:rFonts w:ascii="Arial" w:cs="Arial" w:eastAsia="Arial" w:hAnsi="Arial"/>
          <w:sz w:val="17"/>
          <w:szCs w:val="17"/>
          <w:color w:val="474C55"/>
        </w:rPr>
        <w:t>Equity incentive compensation generally consists of PRSUs and TRSUs. These grants encourage executive officers to take a long-term perspective on overall corporate performance, which ultimately influences share price appreciation. Equity incentive compensation helps to motivate long-term performance, balancing cash incentive compensation in place to motivate short-term performance.</w:t>
      </w:r>
    </w:p>
    <w:p>
      <w:pPr>
        <w:spacing w:after="0" w:line="1" w:lineRule="exact"/>
        <w:rPr>
          <w:rFonts w:ascii="Arial" w:cs="Arial" w:eastAsia="Arial" w:hAnsi="Arial"/>
          <w:sz w:val="15"/>
          <w:szCs w:val="15"/>
          <w:color w:val="474C55"/>
        </w:rPr>
      </w:pPr>
    </w:p>
    <w:p>
      <w:pPr>
        <w:ind w:left="600" w:right="220" w:hanging="300"/>
        <w:spacing w:after="0" w:line="261" w:lineRule="auto"/>
        <w:tabs>
          <w:tab w:leader="none" w:pos="600" w:val="left"/>
        </w:tabs>
        <w:numPr>
          <w:ilvl w:val="0"/>
          <w:numId w:val="68"/>
        </w:numPr>
        <w:rPr>
          <w:rFonts w:ascii="Arial" w:cs="Arial" w:eastAsia="Arial" w:hAnsi="Arial"/>
          <w:sz w:val="14"/>
          <w:szCs w:val="14"/>
          <w:color w:val="474C55"/>
        </w:rPr>
      </w:pPr>
      <w:r>
        <w:rPr>
          <w:rFonts w:ascii="Arial" w:cs="Arial" w:eastAsia="Arial" w:hAnsi="Arial"/>
          <w:sz w:val="16"/>
          <w:szCs w:val="16"/>
          <w:color w:val="474C55"/>
        </w:rPr>
        <w:t>Incentive compensation plans are designed to promote United Community’s strategic goals; communicate standards for performance and attract, motivate, retain and reward employees while maintaining safe and sound banking practices. The incentive compensation plans are structured to be competitive, fair and equitable, performance-based, sustainable for the long-term and simple to administer and communicate.</w:t>
      </w:r>
    </w:p>
    <w:p>
      <w:pPr>
        <w:ind w:left="600" w:right="200" w:hanging="300"/>
        <w:spacing w:after="0" w:line="236" w:lineRule="auto"/>
        <w:tabs>
          <w:tab w:leader="none" w:pos="600" w:val="left"/>
        </w:tabs>
        <w:numPr>
          <w:ilvl w:val="0"/>
          <w:numId w:val="68"/>
        </w:numPr>
        <w:rPr>
          <w:rFonts w:ascii="Arial" w:cs="Arial" w:eastAsia="Arial" w:hAnsi="Arial"/>
          <w:sz w:val="15"/>
          <w:szCs w:val="15"/>
          <w:color w:val="474C55"/>
        </w:rPr>
      </w:pPr>
      <w:r>
        <w:rPr>
          <w:rFonts w:ascii="Arial" w:cs="Arial" w:eastAsia="Arial" w:hAnsi="Arial"/>
          <w:sz w:val="17"/>
          <w:szCs w:val="17"/>
          <w:color w:val="474C55"/>
        </w:rPr>
        <w:t>All paid incentive compensation is subject to United Community’s right to clawback or recover compensation that has already been paid in the event that: (i) the employee is found to have violated, or attempted to violate, any law, rule, regulation or United Community policy, practice or procedure, (ii) the employee, customer or agent engaged, or attempted to engage, in alleged misconduct, misrepresentation or fraud, (iii) the Company’s financial results are restated due to material noncompliance with any financial reporting requirement under applicable securities laws, which is filed by United Community with the Securities and Exchange Commission or (iv) United Community identifies any errors or omissions involving incentive compensation calculations or payments. Clawback determinations are at the sole discretion of the Bank and are subject to repayment under plan provisions.</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59" w:name="page60"/>
    <w:bookmarkEnd w:id="59"/>
    <w:p>
      <w:pPr>
        <w:spacing w:after="0"/>
        <w:rPr>
          <w:sz w:val="20"/>
          <w:szCs w:val="20"/>
          <w:color w:val="auto"/>
        </w:rPr>
      </w:pPr>
      <w:r>
        <w:rPr>
          <w:rFonts w:ascii="Arial" w:cs="Arial" w:eastAsia="Arial" w:hAnsi="Arial"/>
          <w:sz w:val="24"/>
          <w:szCs w:val="24"/>
          <w:b w:val="1"/>
          <w:bCs w:val="1"/>
          <w:color w:val="017AB5"/>
        </w:rPr>
        <w:t>CEO Pay Ratio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474C55"/>
        </w:rPr>
        <w:t>As required by Item 402(u) of Regulation S-K, we are providing the following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474C55"/>
        </w:rPr>
        <w:t>For fiscal 2024, our last completed fiscal year:</w:t>
      </w:r>
    </w:p>
    <w:p>
      <w:pPr>
        <w:spacing w:after="0" w:line="55" w:lineRule="exact"/>
        <w:rPr>
          <w:sz w:val="20"/>
          <w:szCs w:val="20"/>
          <w:color w:val="auto"/>
        </w:rPr>
      </w:pPr>
    </w:p>
    <w:p>
      <w:pPr>
        <w:ind w:left="520" w:hanging="170"/>
        <w:spacing w:after="0"/>
        <w:tabs>
          <w:tab w:leader="none" w:pos="520" w:val="left"/>
        </w:tabs>
        <w:numPr>
          <w:ilvl w:val="0"/>
          <w:numId w:val="69"/>
        </w:numPr>
        <w:rPr>
          <w:rFonts w:ascii="Arial" w:cs="Arial" w:eastAsia="Arial" w:hAnsi="Arial"/>
          <w:sz w:val="15"/>
          <w:szCs w:val="15"/>
          <w:color w:val="474C55"/>
        </w:rPr>
      </w:pPr>
      <w:r>
        <w:rPr>
          <w:rFonts w:ascii="Arial" w:cs="Arial" w:eastAsia="Arial" w:hAnsi="Arial"/>
          <w:sz w:val="17"/>
          <w:szCs w:val="17"/>
          <w:color w:val="474C55"/>
        </w:rPr>
        <w:t>The median of the annual total compensation of all employees of our company (other than Mr. Harton) was $63,405; and</w:t>
      </w:r>
    </w:p>
    <w:p>
      <w:pPr>
        <w:spacing w:after="0" w:line="54" w:lineRule="exact"/>
        <w:rPr>
          <w:rFonts w:ascii="Arial" w:cs="Arial" w:eastAsia="Arial" w:hAnsi="Arial"/>
          <w:sz w:val="15"/>
          <w:szCs w:val="15"/>
          <w:color w:val="474C55"/>
        </w:rPr>
      </w:pPr>
    </w:p>
    <w:p>
      <w:pPr>
        <w:ind w:left="520" w:hanging="170"/>
        <w:spacing w:after="0"/>
        <w:tabs>
          <w:tab w:leader="none" w:pos="520" w:val="left"/>
        </w:tabs>
        <w:numPr>
          <w:ilvl w:val="0"/>
          <w:numId w:val="69"/>
        </w:numPr>
        <w:rPr>
          <w:rFonts w:ascii="Arial" w:cs="Arial" w:eastAsia="Arial" w:hAnsi="Arial"/>
          <w:sz w:val="15"/>
          <w:szCs w:val="15"/>
          <w:color w:val="474C55"/>
        </w:rPr>
      </w:pPr>
      <w:r>
        <w:rPr>
          <w:rFonts w:ascii="Arial" w:cs="Arial" w:eastAsia="Arial" w:hAnsi="Arial"/>
          <w:sz w:val="17"/>
          <w:szCs w:val="17"/>
          <w:color w:val="474C55"/>
        </w:rPr>
        <w:t>The annual total compensation of Mr. Harton, our President and CEO, was $4,919,248.</w:t>
      </w:r>
    </w:p>
    <w:p>
      <w:pPr>
        <w:spacing w:after="0" w:line="180" w:lineRule="exact"/>
        <w:rPr>
          <w:sz w:val="20"/>
          <w:szCs w:val="20"/>
          <w:color w:val="auto"/>
        </w:rPr>
      </w:pPr>
    </w:p>
    <w:p>
      <w:pPr>
        <w:ind w:right="760"/>
        <w:spacing w:after="0" w:line="261" w:lineRule="auto"/>
        <w:rPr>
          <w:sz w:val="20"/>
          <w:szCs w:val="20"/>
          <w:color w:val="auto"/>
        </w:rPr>
      </w:pPr>
      <w:r>
        <w:rPr>
          <w:rFonts w:ascii="Arial" w:cs="Arial" w:eastAsia="Arial" w:hAnsi="Arial"/>
          <w:sz w:val="17"/>
          <w:szCs w:val="17"/>
          <w:color w:val="474C55"/>
        </w:rPr>
        <w:t>Based on this information, the ratio for 2024 of the annual total compensation of our CEO to the median of the annual total compensation of all employees is 78 to 1.</w:t>
      </w:r>
    </w:p>
    <w:p>
      <w:pPr>
        <w:spacing w:after="0" w:line="138"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474C55"/>
        </w:rPr>
        <w:t>We completed the following steps to identify the median of the annual total compensation of all our employees and to determine the annual total compensation of our median employee and CEO:</w:t>
      </w:r>
    </w:p>
    <w:p>
      <w:pPr>
        <w:spacing w:after="0" w:line="13" w:lineRule="exact"/>
        <w:rPr>
          <w:sz w:val="20"/>
          <w:szCs w:val="20"/>
          <w:color w:val="auto"/>
        </w:rPr>
      </w:pPr>
    </w:p>
    <w:p>
      <w:pPr>
        <w:ind w:left="520" w:right="180" w:hanging="170"/>
        <w:spacing w:after="0" w:line="261" w:lineRule="auto"/>
        <w:tabs>
          <w:tab w:leader="none" w:pos="520" w:val="left"/>
        </w:tabs>
        <w:numPr>
          <w:ilvl w:val="0"/>
          <w:numId w:val="70"/>
        </w:numPr>
        <w:rPr>
          <w:rFonts w:ascii="Arial" w:cs="Arial" w:eastAsia="Arial" w:hAnsi="Arial"/>
          <w:sz w:val="15"/>
          <w:szCs w:val="15"/>
          <w:color w:val="474C55"/>
        </w:rPr>
      </w:pPr>
      <w:r>
        <w:rPr>
          <w:rFonts w:ascii="Arial" w:cs="Arial" w:eastAsia="Arial" w:hAnsi="Arial"/>
          <w:sz w:val="17"/>
          <w:szCs w:val="17"/>
          <w:color w:val="474C55"/>
        </w:rPr>
        <w:t>As of December 31, 2024, our employee population consisted of 3,000 individuals (2,999 excluding the CEO), including any full-time, part-time, temporary or seasonal employees employed on that date.</w:t>
      </w:r>
    </w:p>
    <w:p>
      <w:pPr>
        <w:spacing w:after="0" w:line="12" w:lineRule="exact"/>
        <w:rPr>
          <w:rFonts w:ascii="Arial" w:cs="Arial" w:eastAsia="Arial" w:hAnsi="Arial"/>
          <w:sz w:val="15"/>
          <w:szCs w:val="15"/>
          <w:color w:val="474C55"/>
        </w:rPr>
      </w:pPr>
    </w:p>
    <w:p>
      <w:pPr>
        <w:ind w:left="520" w:right="100" w:hanging="170"/>
        <w:spacing w:after="0"/>
        <w:tabs>
          <w:tab w:leader="none" w:pos="520" w:val="left"/>
        </w:tabs>
        <w:numPr>
          <w:ilvl w:val="0"/>
          <w:numId w:val="70"/>
        </w:numPr>
        <w:rPr>
          <w:rFonts w:ascii="Arial" w:cs="Arial" w:eastAsia="Arial" w:hAnsi="Arial"/>
          <w:sz w:val="15"/>
          <w:szCs w:val="15"/>
          <w:color w:val="474C55"/>
        </w:rPr>
      </w:pPr>
      <w:r>
        <w:rPr>
          <w:rFonts w:ascii="Arial" w:cs="Arial" w:eastAsia="Arial" w:hAnsi="Arial"/>
          <w:sz w:val="17"/>
          <w:szCs w:val="17"/>
          <w:color w:val="474C55"/>
        </w:rPr>
        <w:t>To find the median of the annual total compensation of all our employees (other than our CEO), we used wages from our payroll records as reported to the Internal Revenue Service on Form W-2 for fiscal 2024. In making this determination, we annualized the compensation of full-time and part-time permanent employees who were employed on December 31, 2024 but did not work for us the entire year. No full-time equivalent adjustments were made for part-time employees.</w:t>
      </w:r>
    </w:p>
    <w:p>
      <w:pPr>
        <w:spacing w:after="0" w:line="31" w:lineRule="exact"/>
        <w:rPr>
          <w:rFonts w:ascii="Arial" w:cs="Arial" w:eastAsia="Arial" w:hAnsi="Arial"/>
          <w:sz w:val="15"/>
          <w:szCs w:val="15"/>
          <w:color w:val="474C55"/>
        </w:rPr>
      </w:pPr>
    </w:p>
    <w:p>
      <w:pPr>
        <w:ind w:left="520" w:right="300" w:hanging="170"/>
        <w:spacing w:after="0" w:line="261" w:lineRule="auto"/>
        <w:tabs>
          <w:tab w:leader="none" w:pos="520" w:val="left"/>
        </w:tabs>
        <w:numPr>
          <w:ilvl w:val="0"/>
          <w:numId w:val="70"/>
        </w:numPr>
        <w:rPr>
          <w:rFonts w:ascii="Arial" w:cs="Arial" w:eastAsia="Arial" w:hAnsi="Arial"/>
          <w:sz w:val="15"/>
          <w:szCs w:val="15"/>
          <w:color w:val="474C55"/>
        </w:rPr>
      </w:pPr>
      <w:r>
        <w:rPr>
          <w:rFonts w:ascii="Arial" w:cs="Arial" w:eastAsia="Arial" w:hAnsi="Arial"/>
          <w:sz w:val="17"/>
          <w:szCs w:val="17"/>
          <w:color w:val="474C55"/>
        </w:rPr>
        <w:t>We identified our median employee using this compensation measure and methodology, which was consistently applied to all employees who were included in the calculation.</w:t>
      </w:r>
    </w:p>
    <w:p>
      <w:pPr>
        <w:spacing w:after="0" w:line="12" w:lineRule="exact"/>
        <w:rPr>
          <w:rFonts w:ascii="Arial" w:cs="Arial" w:eastAsia="Arial" w:hAnsi="Arial"/>
          <w:sz w:val="15"/>
          <w:szCs w:val="15"/>
          <w:color w:val="474C55"/>
        </w:rPr>
      </w:pPr>
    </w:p>
    <w:p>
      <w:pPr>
        <w:ind w:left="520" w:right="140" w:hanging="170"/>
        <w:spacing w:after="0" w:line="246" w:lineRule="auto"/>
        <w:tabs>
          <w:tab w:leader="none" w:pos="520" w:val="left"/>
        </w:tabs>
        <w:numPr>
          <w:ilvl w:val="0"/>
          <w:numId w:val="70"/>
        </w:numPr>
        <w:rPr>
          <w:rFonts w:ascii="Arial" w:cs="Arial" w:eastAsia="Arial" w:hAnsi="Arial"/>
          <w:sz w:val="15"/>
          <w:szCs w:val="15"/>
          <w:color w:val="474C55"/>
        </w:rPr>
      </w:pPr>
      <w:r>
        <w:rPr>
          <w:rFonts w:ascii="Arial" w:cs="Arial" w:eastAsia="Arial" w:hAnsi="Arial"/>
          <w:sz w:val="17"/>
          <w:szCs w:val="17"/>
          <w:color w:val="474C55"/>
        </w:rPr>
        <w:t>After identifying the median employee, we added together all of the elements of such employee’s compensation for 2024 in accordance with the requirements of Item 402(c)(2)(x) of Regulation S-K. Total compensation was then annualized based on this employee’s date of hire in 2024, resulting in annual total compensation of $63,405.</w:t>
      </w:r>
    </w:p>
    <w:p>
      <w:pPr>
        <w:spacing w:after="0" w:line="24" w:lineRule="exact"/>
        <w:rPr>
          <w:sz w:val="20"/>
          <w:szCs w:val="20"/>
          <w:color w:val="auto"/>
        </w:rPr>
      </w:pPr>
    </w:p>
    <w:p>
      <w:pPr>
        <w:ind w:left="520" w:right="1100" w:hanging="174"/>
        <w:spacing w:after="0" w:line="261" w:lineRule="auto"/>
        <w:tabs>
          <w:tab w:leader="none" w:pos="500" w:val="left"/>
        </w:tabs>
        <w:rPr>
          <w:sz w:val="20"/>
          <w:szCs w:val="20"/>
          <w:color w:val="auto"/>
        </w:rPr>
      </w:pPr>
      <w:r>
        <w:rPr>
          <w:rFonts w:ascii="Arial" w:cs="Arial" w:eastAsia="Arial" w:hAnsi="Arial"/>
          <w:sz w:val="5"/>
          <w:szCs w:val="5"/>
          <w:color w:val="474C55"/>
        </w:rPr>
        <w:t>·</w:t>
      </w:r>
      <w:r>
        <w:rPr>
          <w:rFonts w:ascii="Arial" w:cs="Arial" w:eastAsia="Arial" w:hAnsi="Arial"/>
          <w:sz w:val="15"/>
          <w:szCs w:val="15"/>
          <w:color w:val="474C55"/>
        </w:rPr>
        <w:t>•</w:t>
      </w:r>
      <w:r>
        <w:rPr>
          <w:sz w:val="20"/>
          <w:szCs w:val="20"/>
          <w:color w:val="auto"/>
        </w:rPr>
        <w:tab/>
      </w:r>
      <w:r>
        <w:rPr>
          <w:rFonts w:ascii="Arial" w:cs="Arial" w:eastAsia="Arial" w:hAnsi="Arial"/>
          <w:sz w:val="17"/>
          <w:szCs w:val="17"/>
          <w:color w:val="474C55"/>
        </w:rPr>
        <w:t>With respect to the annual total compensation of our CEO, we used the amount reported in the Total column of our 2024 Summary Compensation Table.</w:t>
      </w:r>
    </w:p>
    <w:p>
      <w:pPr>
        <w:spacing w:after="0" w:line="124" w:lineRule="exact"/>
        <w:rPr>
          <w:sz w:val="20"/>
          <w:szCs w:val="20"/>
          <w:color w:val="auto"/>
        </w:rPr>
      </w:pPr>
    </w:p>
    <w:p>
      <w:pPr>
        <w:spacing w:after="0"/>
        <w:rPr>
          <w:sz w:val="20"/>
          <w:szCs w:val="20"/>
          <w:color w:val="auto"/>
        </w:rPr>
      </w:pPr>
      <w:r>
        <w:rPr>
          <w:rFonts w:ascii="Arial" w:cs="Arial" w:eastAsia="Arial" w:hAnsi="Arial"/>
          <w:sz w:val="24"/>
          <w:szCs w:val="24"/>
          <w:b w:val="1"/>
          <w:bCs w:val="1"/>
          <w:color w:val="017AB5"/>
        </w:rPr>
        <w:t>Equity Compensation Plan Information</w:t>
      </w:r>
    </w:p>
    <w:p>
      <w:pPr>
        <w:spacing w:after="0" w:line="200" w:lineRule="exact"/>
        <w:rPr>
          <w:sz w:val="20"/>
          <w:szCs w:val="20"/>
          <w:color w:val="auto"/>
        </w:rPr>
      </w:pPr>
    </w:p>
    <w:p>
      <w:pPr>
        <w:ind w:right="780"/>
        <w:spacing w:after="0" w:line="261" w:lineRule="auto"/>
        <w:rPr>
          <w:sz w:val="20"/>
          <w:szCs w:val="20"/>
          <w:color w:val="auto"/>
        </w:rPr>
      </w:pPr>
      <w:r>
        <w:rPr>
          <w:rFonts w:ascii="Arial" w:cs="Arial" w:eastAsia="Arial" w:hAnsi="Arial"/>
          <w:sz w:val="17"/>
          <w:szCs w:val="17"/>
          <w:color w:val="474C55"/>
        </w:rPr>
        <w:t>The following table provides information as of December 31, 2024 regarding securities authorized for issuance under the Company’s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90170</wp:posOffset>
            </wp:positionV>
            <wp:extent cx="8255" cy="8502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5026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90170</wp:posOffset>
            </wp:positionV>
            <wp:extent cx="8255" cy="8502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50265"/>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90170</wp:posOffset>
            </wp:positionV>
            <wp:extent cx="8255" cy="8502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5026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40" w:type="dxa"/>
            <w:vAlign w:val="bottom"/>
            <w:shd w:val="clear" w:color="auto" w:fill="007CB6"/>
          </w:tcPr>
          <w:p>
            <w:pPr>
              <w:spacing w:after="0"/>
              <w:rPr>
                <w:sz w:val="13"/>
                <w:szCs w:val="13"/>
                <w:color w:val="auto"/>
              </w:rPr>
            </w:pPr>
          </w:p>
        </w:tc>
        <w:tc>
          <w:tcPr>
            <w:tcW w:w="2700" w:type="dxa"/>
            <w:vAlign w:val="bottom"/>
            <w:vMerge w:val="restart"/>
            <w:shd w:val="clear" w:color="auto" w:fill="007CB6"/>
          </w:tcPr>
          <w:p>
            <w:pPr>
              <w:jc w:val="center"/>
              <w:ind w:left="102"/>
              <w:spacing w:after="0"/>
              <w:rPr>
                <w:sz w:val="20"/>
                <w:szCs w:val="20"/>
                <w:color w:val="auto"/>
              </w:rPr>
            </w:pPr>
            <w:r>
              <w:rPr>
                <w:rFonts w:ascii="Arial" w:cs="Arial" w:eastAsia="Arial" w:hAnsi="Arial"/>
                <w:sz w:val="12"/>
                <w:szCs w:val="12"/>
                <w:color w:val="FFFFFF"/>
                <w:w w:val="97"/>
              </w:rPr>
              <w:t>Number of securities to be issued</w:t>
            </w:r>
          </w:p>
        </w:tc>
        <w:tc>
          <w:tcPr>
            <w:tcW w:w="2220" w:type="dxa"/>
            <w:vAlign w:val="bottom"/>
            <w:vMerge w:val="restart"/>
            <w:shd w:val="clear" w:color="auto" w:fill="007CB6"/>
          </w:tcPr>
          <w:p>
            <w:pPr>
              <w:jc w:val="center"/>
              <w:ind w:right="182"/>
              <w:spacing w:after="0"/>
              <w:rPr>
                <w:sz w:val="20"/>
                <w:szCs w:val="20"/>
                <w:color w:val="auto"/>
              </w:rPr>
            </w:pPr>
            <w:r>
              <w:rPr>
                <w:rFonts w:ascii="Arial" w:cs="Arial" w:eastAsia="Arial" w:hAnsi="Arial"/>
                <w:sz w:val="12"/>
                <w:szCs w:val="12"/>
                <w:color w:val="FFFFFF"/>
                <w:w w:val="97"/>
              </w:rPr>
              <w:t>Weighted- average exercise</w:t>
            </w:r>
          </w:p>
        </w:tc>
        <w:tc>
          <w:tcPr>
            <w:tcW w:w="2680" w:type="dxa"/>
            <w:vAlign w:val="bottom"/>
            <w:shd w:val="clear" w:color="auto" w:fill="007CB6"/>
          </w:tcPr>
          <w:p>
            <w:pPr>
              <w:jc w:val="center"/>
              <w:ind w:right="42"/>
              <w:spacing w:after="0"/>
              <w:rPr>
                <w:sz w:val="20"/>
                <w:szCs w:val="20"/>
                <w:color w:val="auto"/>
              </w:rPr>
            </w:pPr>
            <w:r>
              <w:rPr>
                <w:rFonts w:ascii="Arial" w:cs="Arial" w:eastAsia="Arial" w:hAnsi="Arial"/>
                <w:sz w:val="12"/>
                <w:szCs w:val="12"/>
                <w:color w:val="FFFFFF"/>
                <w:w w:val="96"/>
              </w:rPr>
              <w:t>Number of securities remaining available</w:t>
            </w:r>
          </w:p>
        </w:tc>
        <w:tc>
          <w:tcPr>
            <w:tcW w:w="0" w:type="dxa"/>
            <w:vAlign w:val="bottom"/>
          </w:tcPr>
          <w:p>
            <w:pPr>
              <w:spacing w:after="0"/>
              <w:rPr>
                <w:sz w:val="1"/>
                <w:szCs w:val="1"/>
                <w:color w:val="auto"/>
              </w:rPr>
            </w:pPr>
          </w:p>
        </w:tc>
      </w:tr>
      <w:tr>
        <w:trPr>
          <w:trHeight w:val="63"/>
        </w:trPr>
        <w:tc>
          <w:tcPr>
            <w:tcW w:w="3640" w:type="dxa"/>
            <w:vAlign w:val="bottom"/>
            <w:shd w:val="clear" w:color="auto" w:fill="007CB6"/>
          </w:tcPr>
          <w:p>
            <w:pPr>
              <w:spacing w:after="0"/>
              <w:rPr>
                <w:sz w:val="5"/>
                <w:szCs w:val="5"/>
                <w:color w:val="auto"/>
              </w:rPr>
            </w:pPr>
          </w:p>
        </w:tc>
        <w:tc>
          <w:tcPr>
            <w:tcW w:w="2700" w:type="dxa"/>
            <w:vAlign w:val="bottom"/>
            <w:vMerge w:val="continue"/>
            <w:shd w:val="clear" w:color="auto" w:fill="007CB6"/>
          </w:tcPr>
          <w:p>
            <w:pPr>
              <w:spacing w:after="0"/>
              <w:rPr>
                <w:sz w:val="5"/>
                <w:szCs w:val="5"/>
                <w:color w:val="auto"/>
              </w:rPr>
            </w:pPr>
          </w:p>
        </w:tc>
        <w:tc>
          <w:tcPr>
            <w:tcW w:w="2220" w:type="dxa"/>
            <w:vAlign w:val="bottom"/>
            <w:vMerge w:val="continue"/>
            <w:shd w:val="clear" w:color="auto" w:fill="007CB6"/>
          </w:tcPr>
          <w:p>
            <w:pPr>
              <w:spacing w:after="0"/>
              <w:rPr>
                <w:sz w:val="5"/>
                <w:szCs w:val="5"/>
                <w:color w:val="auto"/>
              </w:rPr>
            </w:pPr>
          </w:p>
        </w:tc>
        <w:tc>
          <w:tcPr>
            <w:tcW w:w="2680" w:type="dxa"/>
            <w:vAlign w:val="bottom"/>
            <w:vMerge w:val="restart"/>
            <w:shd w:val="clear" w:color="auto" w:fill="007CB6"/>
          </w:tcPr>
          <w:p>
            <w:pPr>
              <w:jc w:val="center"/>
              <w:ind w:right="22"/>
              <w:spacing w:after="0" w:line="125" w:lineRule="exact"/>
              <w:rPr>
                <w:sz w:val="20"/>
                <w:szCs w:val="20"/>
                <w:color w:val="auto"/>
              </w:rPr>
            </w:pPr>
            <w:r>
              <w:rPr>
                <w:rFonts w:ascii="Arial" w:cs="Arial" w:eastAsia="Arial" w:hAnsi="Arial"/>
                <w:sz w:val="12"/>
                <w:szCs w:val="12"/>
                <w:color w:val="FFFFFF"/>
                <w:w w:val="97"/>
              </w:rPr>
              <w:t>for future issuance under equity</w:t>
            </w:r>
          </w:p>
        </w:tc>
        <w:tc>
          <w:tcPr>
            <w:tcW w:w="0" w:type="dxa"/>
            <w:vAlign w:val="bottom"/>
          </w:tcPr>
          <w:p>
            <w:pPr>
              <w:spacing w:after="0"/>
              <w:rPr>
                <w:sz w:val="1"/>
                <w:szCs w:val="1"/>
                <w:color w:val="auto"/>
              </w:rPr>
            </w:pPr>
          </w:p>
        </w:tc>
      </w:tr>
      <w:tr>
        <w:trPr>
          <w:trHeight w:val="63"/>
        </w:trPr>
        <w:tc>
          <w:tcPr>
            <w:tcW w:w="3640" w:type="dxa"/>
            <w:vAlign w:val="bottom"/>
            <w:shd w:val="clear" w:color="auto" w:fill="007CB6"/>
          </w:tcPr>
          <w:p>
            <w:pPr>
              <w:spacing w:after="0"/>
              <w:rPr>
                <w:sz w:val="5"/>
                <w:szCs w:val="5"/>
                <w:color w:val="auto"/>
              </w:rPr>
            </w:pPr>
          </w:p>
        </w:tc>
        <w:tc>
          <w:tcPr>
            <w:tcW w:w="2700" w:type="dxa"/>
            <w:vAlign w:val="bottom"/>
            <w:vMerge w:val="restart"/>
            <w:shd w:val="clear" w:color="auto" w:fill="007CB6"/>
          </w:tcPr>
          <w:p>
            <w:pPr>
              <w:jc w:val="center"/>
              <w:ind w:left="102"/>
              <w:spacing w:after="0" w:line="125" w:lineRule="exact"/>
              <w:rPr>
                <w:sz w:val="20"/>
                <w:szCs w:val="20"/>
                <w:color w:val="auto"/>
              </w:rPr>
            </w:pPr>
            <w:r>
              <w:rPr>
                <w:rFonts w:ascii="Arial" w:cs="Arial" w:eastAsia="Arial" w:hAnsi="Arial"/>
                <w:sz w:val="12"/>
                <w:szCs w:val="12"/>
                <w:color w:val="FFFFFF"/>
                <w:w w:val="97"/>
              </w:rPr>
              <w:t>upon exercise of outstanding</w:t>
            </w:r>
          </w:p>
        </w:tc>
        <w:tc>
          <w:tcPr>
            <w:tcW w:w="2220" w:type="dxa"/>
            <w:vAlign w:val="bottom"/>
            <w:vMerge w:val="restart"/>
            <w:shd w:val="clear" w:color="auto" w:fill="007CB6"/>
          </w:tcPr>
          <w:p>
            <w:pPr>
              <w:jc w:val="center"/>
              <w:ind w:right="182"/>
              <w:spacing w:after="0" w:line="125" w:lineRule="exact"/>
              <w:rPr>
                <w:sz w:val="20"/>
                <w:szCs w:val="20"/>
                <w:color w:val="auto"/>
              </w:rPr>
            </w:pPr>
            <w:r>
              <w:rPr>
                <w:rFonts w:ascii="Arial" w:cs="Arial" w:eastAsia="Arial" w:hAnsi="Arial"/>
                <w:sz w:val="12"/>
                <w:szCs w:val="12"/>
                <w:color w:val="FFFFFF"/>
                <w:w w:val="97"/>
              </w:rPr>
              <w:t>price of outstanding options,</w:t>
            </w:r>
          </w:p>
        </w:tc>
        <w:tc>
          <w:tcPr>
            <w:tcW w:w="2680" w:type="dxa"/>
            <w:vAlign w:val="bottom"/>
            <w:vMerge w:val="continue"/>
            <w:shd w:val="clear" w:color="auto" w:fill="007CB6"/>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3640" w:type="dxa"/>
            <w:vAlign w:val="bottom"/>
            <w:vMerge w:val="restart"/>
            <w:shd w:val="clear" w:color="auto" w:fill="007CB6"/>
          </w:tcPr>
          <w:p>
            <w:pPr>
              <w:ind w:left="1600"/>
              <w:spacing w:after="0" w:line="125" w:lineRule="exact"/>
              <w:rPr>
                <w:sz w:val="20"/>
                <w:szCs w:val="20"/>
                <w:color w:val="auto"/>
              </w:rPr>
            </w:pPr>
            <w:r>
              <w:rPr>
                <w:rFonts w:ascii="Arial" w:cs="Arial" w:eastAsia="Arial" w:hAnsi="Arial"/>
                <w:sz w:val="12"/>
                <w:szCs w:val="12"/>
                <w:color w:val="FFFFFF"/>
              </w:rPr>
              <w:t>Plan Category</w:t>
            </w:r>
          </w:p>
        </w:tc>
        <w:tc>
          <w:tcPr>
            <w:tcW w:w="2700" w:type="dxa"/>
            <w:vAlign w:val="bottom"/>
            <w:vMerge w:val="continue"/>
            <w:shd w:val="clear" w:color="auto" w:fill="007CB6"/>
          </w:tcPr>
          <w:p>
            <w:pPr>
              <w:spacing w:after="0"/>
              <w:rPr>
                <w:sz w:val="5"/>
                <w:szCs w:val="5"/>
                <w:color w:val="auto"/>
              </w:rPr>
            </w:pPr>
          </w:p>
        </w:tc>
        <w:tc>
          <w:tcPr>
            <w:tcW w:w="2220" w:type="dxa"/>
            <w:vAlign w:val="bottom"/>
            <w:vMerge w:val="continue"/>
            <w:shd w:val="clear" w:color="auto" w:fill="007CB6"/>
          </w:tcPr>
          <w:p>
            <w:pPr>
              <w:spacing w:after="0"/>
              <w:rPr>
                <w:sz w:val="5"/>
                <w:szCs w:val="5"/>
                <w:color w:val="auto"/>
              </w:rPr>
            </w:pPr>
          </w:p>
        </w:tc>
        <w:tc>
          <w:tcPr>
            <w:tcW w:w="2680" w:type="dxa"/>
            <w:vAlign w:val="bottom"/>
            <w:vMerge w:val="restart"/>
            <w:shd w:val="clear" w:color="auto" w:fill="007CB6"/>
          </w:tcPr>
          <w:p>
            <w:pPr>
              <w:jc w:val="center"/>
              <w:ind w:right="42"/>
              <w:spacing w:after="0" w:line="125" w:lineRule="exact"/>
              <w:rPr>
                <w:sz w:val="20"/>
                <w:szCs w:val="20"/>
                <w:color w:val="auto"/>
              </w:rPr>
            </w:pPr>
            <w:r>
              <w:rPr>
                <w:rFonts w:ascii="Arial" w:cs="Arial" w:eastAsia="Arial" w:hAnsi="Arial"/>
                <w:sz w:val="12"/>
                <w:szCs w:val="12"/>
                <w:color w:val="FFFFFF"/>
                <w:w w:val="97"/>
              </w:rPr>
              <w:t>compensation plans (excluding securities</w:t>
            </w:r>
          </w:p>
        </w:tc>
        <w:tc>
          <w:tcPr>
            <w:tcW w:w="0" w:type="dxa"/>
            <w:vAlign w:val="bottom"/>
          </w:tcPr>
          <w:p>
            <w:pPr>
              <w:spacing w:after="0"/>
              <w:rPr>
                <w:sz w:val="1"/>
                <w:szCs w:val="1"/>
                <w:color w:val="auto"/>
              </w:rPr>
            </w:pPr>
          </w:p>
        </w:tc>
      </w:tr>
      <w:tr>
        <w:trPr>
          <w:trHeight w:val="63"/>
        </w:trPr>
        <w:tc>
          <w:tcPr>
            <w:tcW w:w="3640" w:type="dxa"/>
            <w:vAlign w:val="bottom"/>
            <w:vMerge w:val="continue"/>
            <w:shd w:val="clear" w:color="auto" w:fill="007CB6"/>
          </w:tcPr>
          <w:p>
            <w:pPr>
              <w:spacing w:after="0"/>
              <w:rPr>
                <w:sz w:val="5"/>
                <w:szCs w:val="5"/>
                <w:color w:val="auto"/>
              </w:rPr>
            </w:pPr>
          </w:p>
        </w:tc>
        <w:tc>
          <w:tcPr>
            <w:tcW w:w="2700" w:type="dxa"/>
            <w:vAlign w:val="bottom"/>
            <w:vMerge w:val="restart"/>
            <w:shd w:val="clear" w:color="auto" w:fill="007CB6"/>
          </w:tcPr>
          <w:p>
            <w:pPr>
              <w:jc w:val="center"/>
              <w:ind w:left="122"/>
              <w:spacing w:after="0" w:line="125" w:lineRule="exact"/>
              <w:rPr>
                <w:sz w:val="20"/>
                <w:szCs w:val="20"/>
                <w:color w:val="auto"/>
              </w:rPr>
            </w:pPr>
            <w:r>
              <w:rPr>
                <w:rFonts w:ascii="Arial" w:cs="Arial" w:eastAsia="Arial" w:hAnsi="Arial"/>
                <w:sz w:val="12"/>
                <w:szCs w:val="12"/>
                <w:color w:val="FFFFFF"/>
                <w:w w:val="97"/>
              </w:rPr>
              <w:t>options, warrants and rights</w:t>
            </w:r>
          </w:p>
        </w:tc>
        <w:tc>
          <w:tcPr>
            <w:tcW w:w="2220" w:type="dxa"/>
            <w:vAlign w:val="bottom"/>
            <w:vMerge w:val="restart"/>
            <w:shd w:val="clear" w:color="auto" w:fill="007CB6"/>
          </w:tcPr>
          <w:p>
            <w:pPr>
              <w:jc w:val="center"/>
              <w:ind w:right="202"/>
              <w:spacing w:after="0" w:line="125" w:lineRule="exact"/>
              <w:rPr>
                <w:sz w:val="20"/>
                <w:szCs w:val="20"/>
                <w:color w:val="auto"/>
              </w:rPr>
            </w:pPr>
            <w:r>
              <w:rPr>
                <w:rFonts w:ascii="Arial" w:cs="Arial" w:eastAsia="Arial" w:hAnsi="Arial"/>
                <w:sz w:val="12"/>
                <w:szCs w:val="12"/>
                <w:color w:val="FFFFFF"/>
                <w:w w:val="97"/>
              </w:rPr>
              <w:t>warrants and rights</w:t>
            </w:r>
          </w:p>
        </w:tc>
        <w:tc>
          <w:tcPr>
            <w:tcW w:w="2680" w:type="dxa"/>
            <w:vAlign w:val="bottom"/>
            <w:vMerge w:val="continue"/>
            <w:shd w:val="clear" w:color="auto" w:fill="007CB6"/>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3640" w:type="dxa"/>
            <w:vAlign w:val="bottom"/>
            <w:shd w:val="clear" w:color="auto" w:fill="007CB6"/>
          </w:tcPr>
          <w:p>
            <w:pPr>
              <w:spacing w:after="0"/>
              <w:rPr>
                <w:sz w:val="5"/>
                <w:szCs w:val="5"/>
                <w:color w:val="auto"/>
              </w:rPr>
            </w:pPr>
          </w:p>
        </w:tc>
        <w:tc>
          <w:tcPr>
            <w:tcW w:w="2700" w:type="dxa"/>
            <w:vAlign w:val="bottom"/>
            <w:vMerge w:val="continue"/>
            <w:shd w:val="clear" w:color="auto" w:fill="007CB6"/>
          </w:tcPr>
          <w:p>
            <w:pPr>
              <w:spacing w:after="0"/>
              <w:rPr>
                <w:sz w:val="5"/>
                <w:szCs w:val="5"/>
                <w:color w:val="auto"/>
              </w:rPr>
            </w:pPr>
          </w:p>
        </w:tc>
        <w:tc>
          <w:tcPr>
            <w:tcW w:w="2220" w:type="dxa"/>
            <w:vAlign w:val="bottom"/>
            <w:vMerge w:val="continue"/>
            <w:shd w:val="clear" w:color="auto" w:fill="007CB6"/>
          </w:tcPr>
          <w:p>
            <w:pPr>
              <w:spacing w:after="0"/>
              <w:rPr>
                <w:sz w:val="5"/>
                <w:szCs w:val="5"/>
                <w:color w:val="auto"/>
              </w:rPr>
            </w:pPr>
          </w:p>
        </w:tc>
        <w:tc>
          <w:tcPr>
            <w:tcW w:w="2680" w:type="dxa"/>
            <w:vAlign w:val="bottom"/>
            <w:vMerge w:val="restart"/>
            <w:shd w:val="clear" w:color="auto" w:fill="007CB6"/>
          </w:tcPr>
          <w:p>
            <w:pPr>
              <w:jc w:val="center"/>
              <w:ind w:right="42"/>
              <w:spacing w:after="0" w:line="125" w:lineRule="exact"/>
              <w:rPr>
                <w:sz w:val="20"/>
                <w:szCs w:val="20"/>
                <w:color w:val="auto"/>
              </w:rPr>
            </w:pPr>
            <w:r>
              <w:rPr>
                <w:rFonts w:ascii="Arial" w:cs="Arial" w:eastAsia="Arial" w:hAnsi="Arial"/>
                <w:sz w:val="12"/>
                <w:szCs w:val="12"/>
                <w:color w:val="FFFFFF"/>
                <w:w w:val="96"/>
              </w:rPr>
              <w:t>reflected in column (a))</w:t>
            </w:r>
          </w:p>
        </w:tc>
        <w:tc>
          <w:tcPr>
            <w:tcW w:w="0" w:type="dxa"/>
            <w:vAlign w:val="bottom"/>
          </w:tcPr>
          <w:p>
            <w:pPr>
              <w:spacing w:after="0"/>
              <w:rPr>
                <w:sz w:val="1"/>
                <w:szCs w:val="1"/>
                <w:color w:val="auto"/>
              </w:rPr>
            </w:pPr>
          </w:p>
        </w:tc>
      </w:tr>
      <w:tr>
        <w:trPr>
          <w:trHeight w:val="63"/>
        </w:trPr>
        <w:tc>
          <w:tcPr>
            <w:tcW w:w="3640" w:type="dxa"/>
            <w:vAlign w:val="bottom"/>
            <w:shd w:val="clear" w:color="auto" w:fill="007CB6"/>
          </w:tcPr>
          <w:p>
            <w:pPr>
              <w:spacing w:after="0"/>
              <w:rPr>
                <w:sz w:val="5"/>
                <w:szCs w:val="5"/>
                <w:color w:val="auto"/>
              </w:rPr>
            </w:pPr>
          </w:p>
        </w:tc>
        <w:tc>
          <w:tcPr>
            <w:tcW w:w="2700" w:type="dxa"/>
            <w:vAlign w:val="bottom"/>
            <w:vMerge w:val="restart"/>
            <w:shd w:val="clear" w:color="auto" w:fill="007CB6"/>
          </w:tcPr>
          <w:p>
            <w:pPr>
              <w:jc w:val="center"/>
              <w:ind w:left="102"/>
              <w:spacing w:after="0"/>
              <w:rPr>
                <w:sz w:val="20"/>
                <w:szCs w:val="20"/>
                <w:color w:val="auto"/>
              </w:rPr>
            </w:pPr>
            <w:r>
              <w:rPr>
                <w:rFonts w:ascii="Arial" w:cs="Arial" w:eastAsia="Arial" w:hAnsi="Arial"/>
                <w:sz w:val="12"/>
                <w:szCs w:val="12"/>
                <w:color w:val="FFFFFF"/>
                <w:w w:val="95"/>
              </w:rPr>
              <w:t>(a)</w:t>
            </w:r>
          </w:p>
        </w:tc>
        <w:tc>
          <w:tcPr>
            <w:tcW w:w="2220" w:type="dxa"/>
            <w:vAlign w:val="bottom"/>
            <w:vMerge w:val="restart"/>
            <w:shd w:val="clear" w:color="auto" w:fill="007CB6"/>
          </w:tcPr>
          <w:p>
            <w:pPr>
              <w:jc w:val="center"/>
              <w:ind w:right="182"/>
              <w:spacing w:after="0"/>
              <w:rPr>
                <w:sz w:val="20"/>
                <w:szCs w:val="20"/>
                <w:color w:val="auto"/>
              </w:rPr>
            </w:pPr>
            <w:r>
              <w:rPr>
                <w:rFonts w:ascii="Arial" w:cs="Arial" w:eastAsia="Arial" w:hAnsi="Arial"/>
                <w:sz w:val="12"/>
                <w:szCs w:val="12"/>
                <w:color w:val="FFFFFF"/>
                <w:w w:val="95"/>
              </w:rPr>
              <w:t>(b)</w:t>
            </w:r>
          </w:p>
        </w:tc>
        <w:tc>
          <w:tcPr>
            <w:tcW w:w="2680" w:type="dxa"/>
            <w:vAlign w:val="bottom"/>
            <w:vMerge w:val="continue"/>
            <w:shd w:val="clear" w:color="auto" w:fill="007CB6"/>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640" w:type="dxa"/>
            <w:vAlign w:val="bottom"/>
            <w:shd w:val="clear" w:color="auto" w:fill="007CB6"/>
          </w:tcPr>
          <w:p>
            <w:pPr>
              <w:spacing w:after="0"/>
              <w:rPr>
                <w:sz w:val="7"/>
                <w:szCs w:val="7"/>
                <w:color w:val="auto"/>
              </w:rPr>
            </w:pPr>
          </w:p>
        </w:tc>
        <w:tc>
          <w:tcPr>
            <w:tcW w:w="2700" w:type="dxa"/>
            <w:vAlign w:val="bottom"/>
            <w:vMerge w:val="continue"/>
            <w:shd w:val="clear" w:color="auto" w:fill="007CB6"/>
          </w:tcPr>
          <w:p>
            <w:pPr>
              <w:spacing w:after="0"/>
              <w:rPr>
                <w:sz w:val="7"/>
                <w:szCs w:val="7"/>
                <w:color w:val="auto"/>
              </w:rPr>
            </w:pPr>
          </w:p>
        </w:tc>
        <w:tc>
          <w:tcPr>
            <w:tcW w:w="2220" w:type="dxa"/>
            <w:vAlign w:val="bottom"/>
            <w:vMerge w:val="continue"/>
            <w:shd w:val="clear" w:color="auto" w:fill="007CB6"/>
          </w:tcPr>
          <w:p>
            <w:pPr>
              <w:spacing w:after="0"/>
              <w:rPr>
                <w:sz w:val="7"/>
                <w:szCs w:val="7"/>
                <w:color w:val="auto"/>
              </w:rPr>
            </w:pPr>
          </w:p>
        </w:tc>
        <w:tc>
          <w:tcPr>
            <w:tcW w:w="2680" w:type="dxa"/>
            <w:vAlign w:val="bottom"/>
            <w:vMerge w:val="restart"/>
            <w:shd w:val="clear" w:color="auto" w:fill="007CB6"/>
          </w:tcPr>
          <w:p>
            <w:pPr>
              <w:jc w:val="center"/>
              <w:ind w:right="42"/>
              <w:spacing w:after="0"/>
              <w:rPr>
                <w:sz w:val="20"/>
                <w:szCs w:val="20"/>
                <w:color w:val="auto"/>
              </w:rPr>
            </w:pPr>
            <w:r>
              <w:rPr>
                <w:rFonts w:ascii="Arial" w:cs="Arial" w:eastAsia="Arial" w:hAnsi="Arial"/>
                <w:sz w:val="12"/>
                <w:szCs w:val="12"/>
                <w:color w:val="FFFFFF"/>
                <w:w w:val="99"/>
              </w:rPr>
              <w:t>(c)</w:t>
            </w:r>
          </w:p>
        </w:tc>
        <w:tc>
          <w:tcPr>
            <w:tcW w:w="0" w:type="dxa"/>
            <w:vAlign w:val="bottom"/>
          </w:tcPr>
          <w:p>
            <w:pPr>
              <w:spacing w:after="0"/>
              <w:rPr>
                <w:sz w:val="1"/>
                <w:szCs w:val="1"/>
                <w:color w:val="auto"/>
              </w:rPr>
            </w:pPr>
          </w:p>
        </w:tc>
      </w:tr>
      <w:tr>
        <w:trPr>
          <w:trHeight w:val="82"/>
        </w:trPr>
        <w:tc>
          <w:tcPr>
            <w:tcW w:w="3640" w:type="dxa"/>
            <w:vAlign w:val="bottom"/>
            <w:tcBorders>
              <w:bottom w:val="single" w:sz="8" w:color="007CB6"/>
            </w:tcBorders>
            <w:shd w:val="clear" w:color="auto" w:fill="007CB6"/>
          </w:tcPr>
          <w:p>
            <w:pPr>
              <w:spacing w:after="0"/>
              <w:rPr>
                <w:sz w:val="7"/>
                <w:szCs w:val="7"/>
                <w:color w:val="auto"/>
              </w:rPr>
            </w:pPr>
          </w:p>
        </w:tc>
        <w:tc>
          <w:tcPr>
            <w:tcW w:w="2700" w:type="dxa"/>
            <w:vAlign w:val="bottom"/>
            <w:tcBorders>
              <w:bottom w:val="single" w:sz="8" w:color="007CB6"/>
            </w:tcBorders>
            <w:shd w:val="clear" w:color="auto" w:fill="007CB6"/>
          </w:tcPr>
          <w:p>
            <w:pPr>
              <w:spacing w:after="0"/>
              <w:rPr>
                <w:sz w:val="7"/>
                <w:szCs w:val="7"/>
                <w:color w:val="auto"/>
              </w:rPr>
            </w:pPr>
          </w:p>
        </w:tc>
        <w:tc>
          <w:tcPr>
            <w:tcW w:w="2220" w:type="dxa"/>
            <w:vAlign w:val="bottom"/>
            <w:tcBorders>
              <w:bottom w:val="single" w:sz="8" w:color="007CB6"/>
            </w:tcBorders>
            <w:shd w:val="clear" w:color="auto" w:fill="007CB6"/>
          </w:tcPr>
          <w:p>
            <w:pPr>
              <w:spacing w:after="0"/>
              <w:rPr>
                <w:sz w:val="7"/>
                <w:szCs w:val="7"/>
                <w:color w:val="auto"/>
              </w:rPr>
            </w:pPr>
          </w:p>
        </w:tc>
        <w:tc>
          <w:tcPr>
            <w:tcW w:w="2680" w:type="dxa"/>
            <w:vAlign w:val="bottom"/>
            <w:tcBorders>
              <w:bottom w:val="single" w:sz="8" w:color="007CB6"/>
            </w:tcBorders>
            <w:vMerge w:val="continue"/>
            <w:shd w:val="clear" w:color="auto" w:fill="007CB6"/>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80"/>
              <w:spacing w:after="0"/>
              <w:rPr>
                <w:sz w:val="20"/>
                <w:szCs w:val="20"/>
                <w:color w:val="auto"/>
              </w:rPr>
            </w:pPr>
            <w:r>
              <w:rPr>
                <w:rFonts w:ascii="Arial" w:cs="Arial" w:eastAsia="Arial" w:hAnsi="Arial"/>
                <w:sz w:val="12"/>
                <w:szCs w:val="12"/>
                <w:color w:val="474C55"/>
              </w:rPr>
              <w:t>Equity compensation plans approved by shareholders</w:t>
            </w:r>
          </w:p>
        </w:tc>
        <w:tc>
          <w:tcPr>
            <w:tcW w:w="2700" w:type="dxa"/>
            <w:vAlign w:val="bottom"/>
          </w:tcPr>
          <w:p>
            <w:pPr>
              <w:jc w:val="right"/>
              <w:ind w:right="182"/>
              <w:spacing w:after="0" w:line="213" w:lineRule="exact"/>
              <w:rPr>
                <w:sz w:val="20"/>
                <w:szCs w:val="20"/>
                <w:color w:val="auto"/>
              </w:rPr>
            </w:pPr>
            <w:r>
              <w:rPr>
                <w:rFonts w:ascii="Arial" w:cs="Arial" w:eastAsia="Arial" w:hAnsi="Arial"/>
                <w:sz w:val="12"/>
                <w:szCs w:val="12"/>
                <w:color w:val="474C55"/>
              </w:rPr>
              <w:t>1,353,044</w:t>
            </w:r>
            <w:r>
              <w:rPr>
                <w:rFonts w:ascii="Arial" w:cs="Arial" w:eastAsia="Arial" w:hAnsi="Arial"/>
                <w:sz w:val="19"/>
                <w:szCs w:val="19"/>
                <w:color w:val="474C55"/>
                <w:vertAlign w:val="superscript"/>
              </w:rPr>
              <w:t>1</w:t>
            </w:r>
          </w:p>
        </w:tc>
        <w:tc>
          <w:tcPr>
            <w:tcW w:w="2220" w:type="dxa"/>
            <w:vAlign w:val="bottom"/>
          </w:tcPr>
          <w:p>
            <w:pPr>
              <w:jc w:val="right"/>
              <w:ind w:right="162"/>
              <w:spacing w:after="0" w:line="213" w:lineRule="exact"/>
              <w:rPr>
                <w:sz w:val="20"/>
                <w:szCs w:val="20"/>
                <w:color w:val="auto"/>
              </w:rPr>
            </w:pPr>
            <w:r>
              <w:rPr>
                <w:rFonts w:ascii="Arial" w:cs="Arial" w:eastAsia="Arial" w:hAnsi="Arial"/>
                <w:sz w:val="12"/>
                <w:szCs w:val="12"/>
                <w:color w:val="474C55"/>
              </w:rPr>
              <w:t>$ 21.18</w:t>
            </w:r>
            <w:r>
              <w:rPr>
                <w:rFonts w:ascii="Arial" w:cs="Arial" w:eastAsia="Arial" w:hAnsi="Arial"/>
                <w:sz w:val="19"/>
                <w:szCs w:val="19"/>
                <w:color w:val="474C55"/>
                <w:vertAlign w:val="superscript"/>
              </w:rPr>
              <w:t>2</w:t>
            </w:r>
          </w:p>
        </w:tc>
        <w:tc>
          <w:tcPr>
            <w:tcW w:w="2680" w:type="dxa"/>
            <w:vAlign w:val="bottom"/>
          </w:tcPr>
          <w:p>
            <w:pPr>
              <w:jc w:val="right"/>
              <w:ind w:right="42"/>
              <w:spacing w:after="0" w:line="213" w:lineRule="exact"/>
              <w:rPr>
                <w:sz w:val="20"/>
                <w:szCs w:val="20"/>
                <w:color w:val="auto"/>
              </w:rPr>
            </w:pPr>
            <w:r>
              <w:rPr>
                <w:rFonts w:ascii="Arial" w:cs="Arial" w:eastAsia="Arial" w:hAnsi="Arial"/>
                <w:sz w:val="12"/>
                <w:szCs w:val="12"/>
                <w:color w:val="474C55"/>
              </w:rPr>
              <w:t>1,787,403</w:t>
            </w:r>
            <w:r>
              <w:rPr>
                <w:rFonts w:ascii="Arial" w:cs="Arial" w:eastAsia="Arial" w:hAnsi="Arial"/>
                <w:sz w:val="19"/>
                <w:szCs w:val="19"/>
                <w:color w:val="474C55"/>
                <w:vertAlign w:val="superscript"/>
              </w:rPr>
              <w:t>3</w:t>
            </w:r>
          </w:p>
        </w:tc>
        <w:tc>
          <w:tcPr>
            <w:tcW w:w="0" w:type="dxa"/>
            <w:vAlign w:val="bottom"/>
          </w:tcPr>
          <w:p>
            <w:pPr>
              <w:spacing w:after="0"/>
              <w:rPr>
                <w:sz w:val="1"/>
                <w:szCs w:val="1"/>
                <w:color w:val="auto"/>
              </w:rPr>
            </w:pPr>
          </w:p>
        </w:tc>
      </w:tr>
      <w:tr>
        <w:trPr>
          <w:trHeight w:val="213"/>
        </w:trPr>
        <w:tc>
          <w:tcPr>
            <w:tcW w:w="3640" w:type="dxa"/>
            <w:vAlign w:val="bottom"/>
            <w:shd w:val="clear" w:color="auto" w:fill="E5E6E6"/>
          </w:tcPr>
          <w:p>
            <w:pPr>
              <w:ind w:left="80"/>
              <w:spacing w:after="0"/>
              <w:rPr>
                <w:sz w:val="20"/>
                <w:szCs w:val="20"/>
                <w:color w:val="auto"/>
              </w:rPr>
            </w:pPr>
            <w:r>
              <w:rPr>
                <w:rFonts w:ascii="Arial" w:cs="Arial" w:eastAsia="Arial" w:hAnsi="Arial"/>
                <w:sz w:val="12"/>
                <w:szCs w:val="12"/>
                <w:color w:val="474C55"/>
              </w:rPr>
              <w:t>Equity compensation plans not approved by shareholders</w:t>
            </w:r>
          </w:p>
        </w:tc>
        <w:tc>
          <w:tcPr>
            <w:tcW w:w="2700" w:type="dxa"/>
            <w:vAlign w:val="bottom"/>
            <w:shd w:val="clear" w:color="auto" w:fill="E5E6E6"/>
          </w:tcPr>
          <w:p>
            <w:pPr>
              <w:jc w:val="right"/>
              <w:ind w:right="182"/>
              <w:spacing w:after="0" w:line="213" w:lineRule="exact"/>
              <w:rPr>
                <w:sz w:val="20"/>
                <w:szCs w:val="20"/>
                <w:color w:val="auto"/>
              </w:rPr>
            </w:pPr>
            <w:r>
              <w:rPr>
                <w:rFonts w:ascii="Arial" w:cs="Arial" w:eastAsia="Arial" w:hAnsi="Arial"/>
                <w:sz w:val="12"/>
                <w:szCs w:val="12"/>
                <w:color w:val="474C55"/>
              </w:rPr>
              <w:t>600,168</w:t>
            </w:r>
            <w:r>
              <w:rPr>
                <w:rFonts w:ascii="Arial" w:cs="Arial" w:eastAsia="Arial" w:hAnsi="Arial"/>
                <w:sz w:val="19"/>
                <w:szCs w:val="19"/>
                <w:color w:val="474C55"/>
                <w:vertAlign w:val="superscript"/>
              </w:rPr>
              <w:t>4</w:t>
            </w:r>
          </w:p>
        </w:tc>
        <w:tc>
          <w:tcPr>
            <w:tcW w:w="2220" w:type="dxa"/>
            <w:vAlign w:val="bottom"/>
            <w:shd w:val="clear" w:color="auto" w:fill="E5E6E6"/>
          </w:tcPr>
          <w:p>
            <w:pPr>
              <w:jc w:val="right"/>
              <w:ind w:right="162"/>
              <w:spacing w:after="0"/>
              <w:rPr>
                <w:sz w:val="20"/>
                <w:szCs w:val="20"/>
                <w:color w:val="auto"/>
              </w:rPr>
            </w:pPr>
            <w:r>
              <w:rPr>
                <w:rFonts w:ascii="Arial" w:cs="Arial" w:eastAsia="Arial" w:hAnsi="Arial"/>
                <w:sz w:val="12"/>
                <w:szCs w:val="12"/>
                <w:color w:val="474C55"/>
              </w:rPr>
              <w:t>N/A</w:t>
            </w:r>
          </w:p>
        </w:tc>
        <w:tc>
          <w:tcPr>
            <w:tcW w:w="2680" w:type="dxa"/>
            <w:vAlign w:val="bottom"/>
            <w:shd w:val="clear" w:color="auto" w:fill="E5E6E6"/>
          </w:tcPr>
          <w:p>
            <w:pPr>
              <w:jc w:val="right"/>
              <w:ind w:right="42"/>
              <w:spacing w:after="0"/>
              <w:rPr>
                <w:sz w:val="20"/>
                <w:szCs w:val="20"/>
                <w:color w:val="auto"/>
              </w:rPr>
            </w:pPr>
            <w:r>
              <w:rPr>
                <w:rFonts w:ascii="Arial" w:cs="Arial" w:eastAsia="Arial" w:hAnsi="Arial"/>
                <w:sz w:val="12"/>
                <w:szCs w:val="12"/>
                <w:color w:val="474C55"/>
              </w:rPr>
              <w:t>—</w:t>
            </w:r>
          </w:p>
        </w:tc>
        <w:tc>
          <w:tcPr>
            <w:tcW w:w="0" w:type="dxa"/>
            <w:vAlign w:val="bottom"/>
          </w:tcPr>
          <w:p>
            <w:pPr>
              <w:spacing w:after="0"/>
              <w:rPr>
                <w:sz w:val="1"/>
                <w:szCs w:val="1"/>
                <w:color w:val="auto"/>
              </w:rPr>
            </w:pPr>
          </w:p>
        </w:tc>
      </w:tr>
      <w:tr>
        <w:trPr>
          <w:trHeight w:val="168"/>
        </w:trPr>
        <w:tc>
          <w:tcPr>
            <w:tcW w:w="3640" w:type="dxa"/>
            <w:vAlign w:val="bottom"/>
            <w:tcBorders>
              <w:bottom w:val="single" w:sz="8" w:color="E5E6E6"/>
            </w:tcBorders>
          </w:tcPr>
          <w:p>
            <w:pPr>
              <w:ind w:left="80"/>
              <w:spacing w:after="0"/>
              <w:rPr>
                <w:sz w:val="20"/>
                <w:szCs w:val="20"/>
                <w:color w:val="auto"/>
              </w:rPr>
            </w:pPr>
            <w:r>
              <w:rPr>
                <w:rFonts w:ascii="Arial" w:cs="Arial" w:eastAsia="Arial" w:hAnsi="Arial"/>
                <w:sz w:val="12"/>
                <w:szCs w:val="12"/>
                <w:color w:val="474C55"/>
              </w:rPr>
              <w:t>Total</w:t>
            </w:r>
          </w:p>
        </w:tc>
        <w:tc>
          <w:tcPr>
            <w:tcW w:w="2700" w:type="dxa"/>
            <w:vAlign w:val="bottom"/>
            <w:tcBorders>
              <w:bottom w:val="single" w:sz="8" w:color="E5E6E6"/>
            </w:tcBorders>
          </w:tcPr>
          <w:p>
            <w:pPr>
              <w:jc w:val="right"/>
              <w:ind w:right="182"/>
              <w:spacing w:after="0"/>
              <w:rPr>
                <w:sz w:val="20"/>
                <w:szCs w:val="20"/>
                <w:color w:val="auto"/>
              </w:rPr>
            </w:pPr>
            <w:r>
              <w:rPr>
                <w:rFonts w:ascii="Arial" w:cs="Arial" w:eastAsia="Arial" w:hAnsi="Arial"/>
                <w:sz w:val="12"/>
                <w:szCs w:val="12"/>
                <w:color w:val="474C55"/>
              </w:rPr>
              <w:t>1,953,212</w:t>
            </w:r>
          </w:p>
        </w:tc>
        <w:tc>
          <w:tcPr>
            <w:tcW w:w="2220" w:type="dxa"/>
            <w:vAlign w:val="bottom"/>
            <w:tcBorders>
              <w:bottom w:val="single" w:sz="8" w:color="E5E6E6"/>
            </w:tcBorders>
          </w:tcPr>
          <w:p>
            <w:pPr>
              <w:jc w:val="right"/>
              <w:ind w:right="162"/>
              <w:spacing w:after="0"/>
              <w:rPr>
                <w:sz w:val="20"/>
                <w:szCs w:val="20"/>
                <w:color w:val="auto"/>
              </w:rPr>
            </w:pPr>
            <w:r>
              <w:rPr>
                <w:rFonts w:ascii="Arial" w:cs="Arial" w:eastAsia="Arial" w:hAnsi="Arial"/>
                <w:sz w:val="12"/>
                <w:szCs w:val="12"/>
                <w:color w:val="474C55"/>
              </w:rPr>
              <w:t>$ 21.18</w:t>
            </w:r>
          </w:p>
        </w:tc>
        <w:tc>
          <w:tcPr>
            <w:tcW w:w="2680" w:type="dxa"/>
            <w:vAlign w:val="bottom"/>
            <w:tcBorders>
              <w:bottom w:val="single" w:sz="8" w:color="E5E6E6"/>
            </w:tcBorders>
          </w:tcPr>
          <w:p>
            <w:pPr>
              <w:jc w:val="right"/>
              <w:ind w:right="42"/>
              <w:spacing w:after="0"/>
              <w:rPr>
                <w:sz w:val="20"/>
                <w:szCs w:val="20"/>
                <w:color w:val="auto"/>
              </w:rPr>
            </w:pPr>
            <w:r>
              <w:rPr>
                <w:rFonts w:ascii="Arial" w:cs="Arial" w:eastAsia="Arial" w:hAnsi="Arial"/>
                <w:sz w:val="12"/>
                <w:szCs w:val="12"/>
                <w:color w:val="474C55"/>
              </w:rPr>
              <w:t>1,787,403</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80" w:hanging="105"/>
        <w:spacing w:after="0"/>
        <w:tabs>
          <w:tab w:leader="none" w:pos="180" w:val="left"/>
        </w:tabs>
        <w:numPr>
          <w:ilvl w:val="0"/>
          <w:numId w:val="71"/>
        </w:numPr>
        <w:rPr>
          <w:rFonts w:ascii="Arial" w:cs="Arial" w:eastAsia="Arial" w:hAnsi="Arial"/>
          <w:sz w:val="10"/>
          <w:szCs w:val="10"/>
          <w:color w:val="474C55"/>
        </w:rPr>
      </w:pPr>
      <w:r>
        <w:rPr>
          <w:rFonts w:ascii="Arial" w:cs="Arial" w:eastAsia="Arial" w:hAnsi="Arial"/>
          <w:sz w:val="13"/>
          <w:szCs w:val="13"/>
          <w:color w:val="474C55"/>
        </w:rPr>
        <w:t>Includes:</w:t>
      </w:r>
    </w:p>
    <w:p>
      <w:pPr>
        <w:spacing w:after="0" w:line="12" w:lineRule="exact"/>
        <w:rPr>
          <w:rFonts w:ascii="Arial" w:cs="Arial" w:eastAsia="Arial" w:hAnsi="Arial"/>
          <w:sz w:val="10"/>
          <w:szCs w:val="10"/>
          <w:color w:val="474C55"/>
        </w:rPr>
      </w:pPr>
    </w:p>
    <w:p>
      <w:pPr>
        <w:ind w:left="360" w:right="440" w:hanging="160"/>
        <w:spacing w:after="0" w:line="220" w:lineRule="auto"/>
        <w:tabs>
          <w:tab w:leader="none" w:pos="360" w:val="left"/>
        </w:tabs>
        <w:numPr>
          <w:ilvl w:val="1"/>
          <w:numId w:val="71"/>
        </w:numPr>
        <w:rPr>
          <w:rFonts w:ascii="Arial" w:cs="Arial" w:eastAsia="Arial" w:hAnsi="Arial"/>
          <w:sz w:val="13"/>
          <w:szCs w:val="13"/>
          <w:color w:val="474C55"/>
        </w:rPr>
      </w:pPr>
      <w:r>
        <w:rPr>
          <w:rFonts w:ascii="Arial" w:cs="Arial" w:eastAsia="Arial" w:hAnsi="Arial"/>
          <w:sz w:val="13"/>
          <w:szCs w:val="13"/>
          <w:color w:val="474C55"/>
        </w:rPr>
        <w:t>131,077 PRSUs based on the number of shares potentially payable under the awards (100% of target) that have not been earned as of December 31, 2024. The number of shares, if any, to be issued pursuant to such awards will be determined based upon performance over the applicable performance period. The PRSUs were all granted under the 2000 Key Employee Stock Option Plan and the 2022 Omnibus Equity Plan;</w:t>
      </w:r>
    </w:p>
    <w:p>
      <w:pPr>
        <w:spacing w:after="0" w:line="1" w:lineRule="exact"/>
        <w:rPr>
          <w:rFonts w:ascii="Arial" w:cs="Arial" w:eastAsia="Arial" w:hAnsi="Arial"/>
          <w:sz w:val="13"/>
          <w:szCs w:val="13"/>
          <w:color w:val="474C55"/>
        </w:rPr>
      </w:pPr>
    </w:p>
    <w:p>
      <w:pPr>
        <w:ind w:left="360" w:right="540" w:hanging="160"/>
        <w:spacing w:after="0" w:line="220" w:lineRule="auto"/>
        <w:tabs>
          <w:tab w:leader="none" w:pos="360" w:val="left"/>
        </w:tabs>
        <w:numPr>
          <w:ilvl w:val="1"/>
          <w:numId w:val="71"/>
        </w:numPr>
        <w:rPr>
          <w:rFonts w:ascii="Arial" w:cs="Arial" w:eastAsia="Arial" w:hAnsi="Arial"/>
          <w:sz w:val="13"/>
          <w:szCs w:val="13"/>
          <w:color w:val="474C55"/>
        </w:rPr>
      </w:pPr>
      <w:r>
        <w:rPr>
          <w:rFonts w:ascii="Arial" w:cs="Arial" w:eastAsia="Arial" w:hAnsi="Arial"/>
          <w:sz w:val="13"/>
          <w:szCs w:val="13"/>
          <w:color w:val="474C55"/>
        </w:rPr>
        <w:t>10,701 PRSUs (62% of target) that were earned as of December 31, 2024. The number of shares to be issued pursuant to such awards was determined based upon performance over the 2024 performance period. The PRSUs were all granted under the 2000 Key Employee Stock Option Plan;</w:t>
      </w:r>
    </w:p>
    <w:p>
      <w:pPr>
        <w:spacing w:after="0" w:line="1" w:lineRule="exact"/>
        <w:rPr>
          <w:rFonts w:ascii="Arial" w:cs="Arial" w:eastAsia="Arial" w:hAnsi="Arial"/>
          <w:sz w:val="13"/>
          <w:szCs w:val="13"/>
          <w:color w:val="474C55"/>
        </w:rPr>
      </w:pPr>
    </w:p>
    <w:p>
      <w:pPr>
        <w:ind w:left="360" w:right="620" w:hanging="160"/>
        <w:spacing w:after="0" w:line="220" w:lineRule="auto"/>
        <w:tabs>
          <w:tab w:leader="none" w:pos="360" w:val="left"/>
        </w:tabs>
        <w:numPr>
          <w:ilvl w:val="1"/>
          <w:numId w:val="71"/>
        </w:numPr>
        <w:rPr>
          <w:rFonts w:ascii="Arial" w:cs="Arial" w:eastAsia="Arial" w:hAnsi="Arial"/>
          <w:sz w:val="13"/>
          <w:szCs w:val="13"/>
          <w:color w:val="474C55"/>
        </w:rPr>
      </w:pPr>
      <w:r>
        <w:rPr>
          <w:rFonts w:ascii="Arial" w:cs="Arial" w:eastAsia="Arial" w:hAnsi="Arial"/>
          <w:sz w:val="13"/>
          <w:szCs w:val="13"/>
          <w:color w:val="474C55"/>
        </w:rPr>
        <w:t>6,814 PRSUs (56% of target) that were earned as of December 31, 2024. The number of shares to be issued pursuant to such awards was determined based upon performance over the 2024 performance period. The PRSUs were all granted under the 2000 Key Employee Stock Option Plan;</w:t>
      </w:r>
    </w:p>
    <w:p>
      <w:pPr>
        <w:spacing w:after="0" w:line="1" w:lineRule="exact"/>
        <w:rPr>
          <w:rFonts w:ascii="Arial" w:cs="Arial" w:eastAsia="Arial" w:hAnsi="Arial"/>
          <w:sz w:val="13"/>
          <w:szCs w:val="13"/>
          <w:color w:val="474C55"/>
        </w:rPr>
      </w:pPr>
    </w:p>
    <w:p>
      <w:pPr>
        <w:ind w:left="360" w:right="540" w:hanging="160"/>
        <w:spacing w:after="0" w:line="220" w:lineRule="auto"/>
        <w:tabs>
          <w:tab w:leader="none" w:pos="360" w:val="left"/>
        </w:tabs>
        <w:numPr>
          <w:ilvl w:val="1"/>
          <w:numId w:val="71"/>
        </w:numPr>
        <w:rPr>
          <w:rFonts w:ascii="Arial" w:cs="Arial" w:eastAsia="Arial" w:hAnsi="Arial"/>
          <w:sz w:val="13"/>
          <w:szCs w:val="13"/>
          <w:color w:val="474C55"/>
        </w:rPr>
      </w:pPr>
      <w:r>
        <w:rPr>
          <w:rFonts w:ascii="Arial" w:cs="Arial" w:eastAsia="Arial" w:hAnsi="Arial"/>
          <w:sz w:val="13"/>
          <w:szCs w:val="13"/>
          <w:color w:val="474C55"/>
        </w:rPr>
        <w:t>25,605 PRSUs (54% of target) that were earned as of December 31, 2024. The number of shares to be issued pursuant to such awards was determined based upon performance over the 2024 performance period. The PRSUs were all granted under the 2022 Omnibus Equity Plan;</w:t>
      </w:r>
    </w:p>
    <w:p>
      <w:pPr>
        <w:spacing w:after="0" w:line="1" w:lineRule="exact"/>
        <w:rPr>
          <w:rFonts w:ascii="Arial" w:cs="Arial" w:eastAsia="Arial" w:hAnsi="Arial"/>
          <w:sz w:val="13"/>
          <w:szCs w:val="13"/>
          <w:color w:val="474C55"/>
        </w:rPr>
      </w:pPr>
    </w:p>
    <w:p>
      <w:pPr>
        <w:ind w:left="360" w:hanging="160"/>
        <w:spacing w:after="0" w:line="220" w:lineRule="auto"/>
        <w:tabs>
          <w:tab w:leader="none" w:pos="360" w:val="left"/>
        </w:tabs>
        <w:numPr>
          <w:ilvl w:val="1"/>
          <w:numId w:val="71"/>
        </w:numPr>
        <w:rPr>
          <w:rFonts w:ascii="Arial" w:cs="Arial" w:eastAsia="Arial" w:hAnsi="Arial"/>
          <w:sz w:val="13"/>
          <w:szCs w:val="13"/>
          <w:color w:val="474C55"/>
        </w:rPr>
      </w:pPr>
      <w:r>
        <w:rPr>
          <w:rFonts w:ascii="Arial" w:cs="Arial" w:eastAsia="Arial" w:hAnsi="Arial"/>
          <w:sz w:val="13"/>
          <w:szCs w:val="13"/>
          <w:color w:val="474C55"/>
        </w:rPr>
        <w:t>894,090 time-based restricted stock units, which were granted under the 2000 Key Employee Stock Option Plan and the 2022 Omnibus Equity Plan; and</w:t>
      </w:r>
    </w:p>
    <w:p>
      <w:pPr>
        <w:ind w:left="360" w:right="980" w:hanging="160"/>
        <w:spacing w:after="0" w:line="220" w:lineRule="auto"/>
        <w:tabs>
          <w:tab w:leader="none" w:pos="360" w:val="left"/>
        </w:tabs>
        <w:numPr>
          <w:ilvl w:val="1"/>
          <w:numId w:val="71"/>
        </w:numPr>
        <w:rPr>
          <w:rFonts w:ascii="Arial" w:cs="Arial" w:eastAsia="Arial" w:hAnsi="Arial"/>
          <w:sz w:val="13"/>
          <w:szCs w:val="13"/>
          <w:color w:val="474C55"/>
        </w:rPr>
      </w:pPr>
      <w:r>
        <w:rPr>
          <w:rFonts w:ascii="Arial" w:cs="Arial" w:eastAsia="Arial" w:hAnsi="Arial"/>
          <w:sz w:val="13"/>
          <w:szCs w:val="13"/>
          <w:color w:val="474C55"/>
        </w:rPr>
        <w:t>284,757 outstanding stock options, which were granted under the 2000 Key Employee Stock Option Plan, the Progress Financial 2008 Stock Incentive Compensation Plan and the Progress Financial 2016 Equity Incentive Plan.</w:t>
      </w:r>
    </w:p>
    <w:p>
      <w:pPr>
        <w:spacing w:after="0" w:line="1" w:lineRule="exact"/>
        <w:rPr>
          <w:sz w:val="20"/>
          <w:szCs w:val="20"/>
          <w:color w:val="auto"/>
        </w:rPr>
      </w:pPr>
    </w:p>
    <w:p>
      <w:pPr>
        <w:ind w:left="180" w:right="280" w:hanging="105"/>
        <w:spacing w:after="0" w:line="261" w:lineRule="auto"/>
        <w:tabs>
          <w:tab w:leader="none" w:pos="180" w:val="left"/>
        </w:tabs>
        <w:numPr>
          <w:ilvl w:val="0"/>
          <w:numId w:val="72"/>
        </w:numPr>
        <w:rPr>
          <w:rFonts w:ascii="Arial" w:cs="Arial" w:eastAsia="Arial" w:hAnsi="Arial"/>
          <w:sz w:val="10"/>
          <w:szCs w:val="10"/>
          <w:color w:val="474C55"/>
        </w:rPr>
      </w:pPr>
      <w:r>
        <w:rPr>
          <w:rFonts w:ascii="Arial" w:cs="Arial" w:eastAsia="Arial" w:hAnsi="Arial"/>
          <w:sz w:val="11"/>
          <w:szCs w:val="11"/>
          <w:color w:val="474C55"/>
        </w:rPr>
        <w:t>The price in column (b) reflects the weighted average price of all outstanding options under the 2000 Key Employee Stock Option Plan, the Progress Financial 2008 Stock Incentive Compensation Plan and the Progress Financial 2016 Equity Incentive Plan that, as of December 31, 2024, had been granted but not forfeited, expired or exercised. PRSUs and TRSUs are not included in</w:t>
      </w:r>
    </w:p>
    <w:p>
      <w:pPr>
        <w:ind w:left="180"/>
        <w:spacing w:after="0" w:line="221" w:lineRule="auto"/>
        <w:rPr>
          <w:sz w:val="20"/>
          <w:szCs w:val="20"/>
          <w:color w:val="auto"/>
        </w:rPr>
      </w:pPr>
      <w:r>
        <w:rPr>
          <w:rFonts w:ascii="Arial" w:cs="Arial" w:eastAsia="Arial" w:hAnsi="Arial"/>
          <w:sz w:val="13"/>
          <w:szCs w:val="13"/>
          <w:color w:val="474C55"/>
        </w:rPr>
        <w:t>determining the weighted average in column (b) because they have no exercise price.</w:t>
      </w:r>
    </w:p>
    <w:p>
      <w:pPr>
        <w:ind w:left="180" w:hanging="105"/>
        <w:spacing w:after="0"/>
        <w:tabs>
          <w:tab w:leader="none" w:pos="180" w:val="left"/>
        </w:tabs>
        <w:numPr>
          <w:ilvl w:val="0"/>
          <w:numId w:val="73"/>
        </w:numPr>
        <w:rPr>
          <w:rFonts w:ascii="Arial" w:cs="Arial" w:eastAsia="Arial" w:hAnsi="Arial"/>
          <w:sz w:val="10"/>
          <w:szCs w:val="10"/>
          <w:color w:val="474C55"/>
        </w:rPr>
      </w:pPr>
      <w:r>
        <w:rPr>
          <w:rFonts w:ascii="Arial" w:cs="Arial" w:eastAsia="Arial" w:hAnsi="Arial"/>
          <w:sz w:val="13"/>
          <w:szCs w:val="13"/>
          <w:color w:val="474C55"/>
        </w:rPr>
        <w:t>Includes securities available for issuance in connection with awards under the 2022 Omnibus Equity Plan.</w:t>
      </w:r>
    </w:p>
    <w:p>
      <w:pPr>
        <w:spacing w:after="0" w:line="1" w:lineRule="exact"/>
        <w:rPr>
          <w:sz w:val="20"/>
          <w:szCs w:val="20"/>
          <w:color w:val="auto"/>
        </w:rPr>
      </w:pPr>
    </w:p>
    <w:p>
      <w:pPr>
        <w:ind w:left="180" w:right="180" w:hanging="105"/>
        <w:spacing w:after="0" w:line="220" w:lineRule="auto"/>
        <w:tabs>
          <w:tab w:leader="none" w:pos="180" w:val="left"/>
        </w:tabs>
        <w:numPr>
          <w:ilvl w:val="0"/>
          <w:numId w:val="74"/>
        </w:numPr>
        <w:rPr>
          <w:rFonts w:ascii="Arial" w:cs="Arial" w:eastAsia="Arial" w:hAnsi="Arial"/>
          <w:sz w:val="10"/>
          <w:szCs w:val="10"/>
          <w:color w:val="474C55"/>
        </w:rPr>
      </w:pPr>
      <w:r>
        <w:rPr>
          <w:rFonts w:ascii="Arial" w:cs="Arial" w:eastAsia="Arial" w:hAnsi="Arial"/>
          <w:sz w:val="13"/>
          <w:szCs w:val="13"/>
          <w:color w:val="474C55"/>
        </w:rPr>
        <w:t>Represents the number of shares of our common stock credited to participant accounts in the Deferred Compensation Plan. The table above does not include any shares that may be credited in the future to participant accounts in the Deferred Compensation Plan. This amount includes:</w:t>
      </w:r>
    </w:p>
    <w:p>
      <w:pPr>
        <w:spacing w:after="0" w:line="1" w:lineRule="exact"/>
        <w:rPr>
          <w:rFonts w:ascii="Arial" w:cs="Arial" w:eastAsia="Arial" w:hAnsi="Arial"/>
          <w:sz w:val="10"/>
          <w:szCs w:val="10"/>
          <w:color w:val="474C55"/>
        </w:rPr>
      </w:pPr>
    </w:p>
    <w:p>
      <w:pPr>
        <w:ind w:left="360" w:right="680" w:hanging="160"/>
        <w:spacing w:after="0" w:line="220" w:lineRule="auto"/>
        <w:tabs>
          <w:tab w:leader="none" w:pos="360" w:val="left"/>
        </w:tabs>
        <w:numPr>
          <w:ilvl w:val="1"/>
          <w:numId w:val="74"/>
        </w:numPr>
        <w:rPr>
          <w:rFonts w:ascii="Arial" w:cs="Arial" w:eastAsia="Arial" w:hAnsi="Arial"/>
          <w:sz w:val="13"/>
          <w:szCs w:val="13"/>
          <w:color w:val="474C55"/>
        </w:rPr>
      </w:pPr>
      <w:r>
        <w:rPr>
          <w:rFonts w:ascii="Arial" w:cs="Arial" w:eastAsia="Arial" w:hAnsi="Arial"/>
          <w:sz w:val="13"/>
          <w:szCs w:val="13"/>
          <w:color w:val="474C55"/>
        </w:rPr>
        <w:t>498,816 shares of United Community common stock that are issuable under the Deferred Compensation Plan at December 31, 2024 as a result of deferrals previously granted under an equity compensation plan approved by shareholders.</w:t>
      </w:r>
    </w:p>
    <w:p>
      <w:pPr>
        <w:spacing w:after="0" w:line="1" w:lineRule="exact"/>
        <w:rPr>
          <w:rFonts w:ascii="Arial" w:cs="Arial" w:eastAsia="Arial" w:hAnsi="Arial"/>
          <w:sz w:val="13"/>
          <w:szCs w:val="13"/>
          <w:color w:val="474C55"/>
        </w:rPr>
      </w:pPr>
    </w:p>
    <w:p>
      <w:pPr>
        <w:ind w:left="360" w:right="460" w:hanging="160"/>
        <w:spacing w:after="0" w:line="233" w:lineRule="auto"/>
        <w:tabs>
          <w:tab w:leader="none" w:pos="360" w:val="left"/>
        </w:tabs>
        <w:numPr>
          <w:ilvl w:val="1"/>
          <w:numId w:val="74"/>
        </w:numPr>
        <w:rPr>
          <w:rFonts w:ascii="Arial" w:cs="Arial" w:eastAsia="Arial" w:hAnsi="Arial"/>
          <w:sz w:val="13"/>
          <w:szCs w:val="13"/>
          <w:color w:val="474C55"/>
        </w:rPr>
      </w:pPr>
      <w:r>
        <w:rPr>
          <w:rFonts w:ascii="Arial" w:cs="Arial" w:eastAsia="Arial" w:hAnsi="Arial"/>
          <w:sz w:val="13"/>
          <w:szCs w:val="13"/>
          <w:color w:val="474C55"/>
        </w:rPr>
        <w:t>101,352 shares of United Community common stock that are issuable under the Deferred Compensation Plan at December 31, 2024 as a result of deferrals not previously granted under an equity compensation plan approved by shareholders.</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60" w:name="page61"/>
    <w:bookmarkEnd w:id="60"/>
    <w:p>
      <w:pPr>
        <w:spacing w:after="0"/>
        <w:rPr>
          <w:sz w:val="20"/>
          <w:szCs w:val="20"/>
          <w:color w:val="auto"/>
        </w:rPr>
      </w:pPr>
      <w:r>
        <w:rPr>
          <w:rFonts w:ascii="Arial" w:cs="Arial" w:eastAsia="Arial" w:hAnsi="Arial"/>
          <w:sz w:val="31"/>
          <w:szCs w:val="31"/>
          <w:b w:val="1"/>
          <w:bCs w:val="1"/>
          <w:color w:val="194C85"/>
        </w:rPr>
        <w:t>Pay Versus Performance Disclosure</w:t>
      </w:r>
    </w:p>
    <w:p>
      <w:pPr>
        <w:spacing w:after="0" w:line="205" w:lineRule="exact"/>
        <w:rPr>
          <w:sz w:val="20"/>
          <w:szCs w:val="20"/>
          <w:color w:val="auto"/>
        </w:rPr>
      </w:pPr>
    </w:p>
    <w:p>
      <w:pPr>
        <w:ind w:left="60" w:right="180"/>
        <w:spacing w:after="0" w:line="279" w:lineRule="auto"/>
        <w:rPr>
          <w:sz w:val="20"/>
          <w:szCs w:val="20"/>
          <w:color w:val="auto"/>
        </w:rPr>
      </w:pPr>
      <w:r>
        <w:rPr>
          <w:rFonts w:ascii="Arial" w:cs="Arial" w:eastAsia="Arial" w:hAnsi="Arial"/>
          <w:sz w:val="15"/>
          <w:szCs w:val="15"/>
          <w:color w:val="444A54"/>
        </w:rPr>
        <w:t>As required by Item 402(v) of Regulation S-K, we are providing the following disclosure regarding executive compensation for our principal executive officer (“PEO”) and NonPEO NEOs and Company performance for the fiscal years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6292215</wp:posOffset>
            </wp:positionH>
            <wp:positionV relativeFrom="paragraph">
              <wp:posOffset>94615</wp:posOffset>
            </wp:positionV>
            <wp:extent cx="8255" cy="7867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78676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94615</wp:posOffset>
            </wp:positionV>
            <wp:extent cx="1294765" cy="7867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94765" cy="78676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94615</wp:posOffset>
            </wp:positionV>
            <wp:extent cx="8255" cy="7867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78676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94615</wp:posOffset>
            </wp:positionV>
            <wp:extent cx="8255" cy="7867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786765"/>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94615</wp:posOffset>
            </wp:positionV>
            <wp:extent cx="8255" cy="7867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78676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94615</wp:posOffset>
            </wp:positionV>
            <wp:extent cx="8255" cy="7867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78676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00" w:type="dxa"/>
            <w:vAlign w:val="bottom"/>
            <w:shd w:val="clear" w:color="auto" w:fill="007DB6"/>
          </w:tcPr>
          <w:p>
            <w:pPr>
              <w:spacing w:after="0"/>
              <w:rPr>
                <w:sz w:val="15"/>
                <w:szCs w:val="15"/>
                <w:color w:val="auto"/>
              </w:rPr>
            </w:pPr>
          </w:p>
        </w:tc>
        <w:tc>
          <w:tcPr>
            <w:tcW w:w="1460" w:type="dxa"/>
            <w:vAlign w:val="bottom"/>
            <w:shd w:val="clear" w:color="auto" w:fill="007DB6"/>
          </w:tcPr>
          <w:p>
            <w:pPr>
              <w:spacing w:after="0"/>
              <w:rPr>
                <w:sz w:val="15"/>
                <w:szCs w:val="15"/>
                <w:color w:val="auto"/>
              </w:rPr>
            </w:pPr>
          </w:p>
        </w:tc>
        <w:tc>
          <w:tcPr>
            <w:tcW w:w="1280" w:type="dxa"/>
            <w:vAlign w:val="bottom"/>
            <w:shd w:val="clear" w:color="auto" w:fill="007DB6"/>
          </w:tcPr>
          <w:p>
            <w:pPr>
              <w:spacing w:after="0"/>
              <w:rPr>
                <w:sz w:val="15"/>
                <w:szCs w:val="15"/>
                <w:color w:val="auto"/>
              </w:rPr>
            </w:pPr>
          </w:p>
        </w:tc>
        <w:tc>
          <w:tcPr>
            <w:tcW w:w="1460" w:type="dxa"/>
            <w:vAlign w:val="bottom"/>
            <w:shd w:val="clear" w:color="auto" w:fill="007DB6"/>
          </w:tcPr>
          <w:p>
            <w:pPr>
              <w:spacing w:after="0"/>
              <w:rPr>
                <w:sz w:val="15"/>
                <w:szCs w:val="15"/>
                <w:color w:val="auto"/>
              </w:rPr>
            </w:pPr>
          </w:p>
        </w:tc>
        <w:tc>
          <w:tcPr>
            <w:tcW w:w="1560" w:type="dxa"/>
            <w:vAlign w:val="bottom"/>
            <w:shd w:val="clear" w:color="auto" w:fill="007DB6"/>
          </w:tcPr>
          <w:p>
            <w:pPr>
              <w:spacing w:after="0"/>
              <w:rPr>
                <w:sz w:val="15"/>
                <w:szCs w:val="15"/>
                <w:color w:val="auto"/>
              </w:rPr>
            </w:pPr>
          </w:p>
        </w:tc>
        <w:tc>
          <w:tcPr>
            <w:tcW w:w="2060" w:type="dxa"/>
            <w:vAlign w:val="bottom"/>
            <w:gridSpan w:val="2"/>
            <w:shd w:val="clear" w:color="auto" w:fill="007DB6"/>
          </w:tcPr>
          <w:p>
            <w:pPr>
              <w:jc w:val="right"/>
              <w:ind w:right="397"/>
              <w:spacing w:after="0"/>
              <w:rPr>
                <w:sz w:val="20"/>
                <w:szCs w:val="20"/>
                <w:color w:val="auto"/>
              </w:rPr>
            </w:pPr>
            <w:r>
              <w:rPr>
                <w:rFonts w:ascii="Arial" w:cs="Arial" w:eastAsia="Arial" w:hAnsi="Arial"/>
                <w:sz w:val="13"/>
                <w:szCs w:val="13"/>
                <w:color w:val="FFFFFF"/>
              </w:rPr>
              <w:t>Value of Initial Fixed $100</w:t>
            </w:r>
          </w:p>
        </w:tc>
        <w:tc>
          <w:tcPr>
            <w:tcW w:w="1260" w:type="dxa"/>
            <w:vAlign w:val="bottom"/>
            <w:shd w:val="clear" w:color="auto" w:fill="007DB6"/>
          </w:tcPr>
          <w:p>
            <w:pPr>
              <w:spacing w:after="0"/>
              <w:rPr>
                <w:sz w:val="15"/>
                <w:szCs w:val="15"/>
                <w:color w:val="auto"/>
              </w:rPr>
            </w:pPr>
          </w:p>
        </w:tc>
        <w:tc>
          <w:tcPr>
            <w:tcW w:w="1260" w:type="dxa"/>
            <w:vAlign w:val="bottom"/>
            <w:shd w:val="clear" w:color="auto" w:fill="007DB6"/>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00" w:type="dxa"/>
            <w:vAlign w:val="bottom"/>
            <w:shd w:val="clear" w:color="auto" w:fill="007DB6"/>
          </w:tcPr>
          <w:p>
            <w:pPr>
              <w:spacing w:after="0"/>
              <w:rPr>
                <w:sz w:val="19"/>
                <w:szCs w:val="19"/>
                <w:color w:val="auto"/>
              </w:rPr>
            </w:pPr>
          </w:p>
        </w:tc>
        <w:tc>
          <w:tcPr>
            <w:tcW w:w="1460" w:type="dxa"/>
            <w:vAlign w:val="bottom"/>
            <w:shd w:val="clear" w:color="auto" w:fill="007DB6"/>
          </w:tcPr>
          <w:p>
            <w:pPr>
              <w:spacing w:after="0"/>
              <w:rPr>
                <w:sz w:val="19"/>
                <w:szCs w:val="19"/>
                <w:color w:val="auto"/>
              </w:rPr>
            </w:pPr>
          </w:p>
        </w:tc>
        <w:tc>
          <w:tcPr>
            <w:tcW w:w="1280" w:type="dxa"/>
            <w:vAlign w:val="bottom"/>
            <w:shd w:val="clear" w:color="auto" w:fill="007DB6"/>
          </w:tcPr>
          <w:p>
            <w:pPr>
              <w:spacing w:after="0"/>
              <w:rPr>
                <w:sz w:val="19"/>
                <w:szCs w:val="19"/>
                <w:color w:val="auto"/>
              </w:rPr>
            </w:pPr>
          </w:p>
        </w:tc>
        <w:tc>
          <w:tcPr>
            <w:tcW w:w="1460" w:type="dxa"/>
            <w:vAlign w:val="bottom"/>
            <w:shd w:val="clear" w:color="auto" w:fill="007DB6"/>
          </w:tcPr>
          <w:p>
            <w:pPr>
              <w:spacing w:after="0"/>
              <w:rPr>
                <w:sz w:val="19"/>
                <w:szCs w:val="19"/>
                <w:color w:val="auto"/>
              </w:rPr>
            </w:pPr>
          </w:p>
        </w:tc>
        <w:tc>
          <w:tcPr>
            <w:tcW w:w="1560" w:type="dxa"/>
            <w:vAlign w:val="bottom"/>
            <w:shd w:val="clear" w:color="auto" w:fill="007DB6"/>
          </w:tcPr>
          <w:p>
            <w:pPr>
              <w:spacing w:after="0"/>
              <w:rPr>
                <w:sz w:val="19"/>
                <w:szCs w:val="19"/>
                <w:color w:val="auto"/>
              </w:rPr>
            </w:pPr>
          </w:p>
        </w:tc>
        <w:tc>
          <w:tcPr>
            <w:tcW w:w="2060" w:type="dxa"/>
            <w:vAlign w:val="bottom"/>
            <w:gridSpan w:val="2"/>
            <w:shd w:val="clear" w:color="auto" w:fill="007DB6"/>
          </w:tcPr>
          <w:p>
            <w:pPr>
              <w:jc w:val="right"/>
              <w:ind w:right="477"/>
              <w:spacing w:after="0"/>
              <w:rPr>
                <w:sz w:val="20"/>
                <w:szCs w:val="20"/>
                <w:color w:val="auto"/>
              </w:rPr>
            </w:pPr>
            <w:r>
              <w:rPr>
                <w:rFonts w:ascii="Arial" w:cs="Arial" w:eastAsia="Arial" w:hAnsi="Arial"/>
                <w:sz w:val="13"/>
                <w:szCs w:val="13"/>
                <w:color w:val="FFFFFF"/>
              </w:rPr>
              <w:t>Investment based on:</w:t>
            </w:r>
            <w:r>
              <w:rPr>
                <w:rFonts w:ascii="Arial" w:cs="Arial" w:eastAsia="Arial" w:hAnsi="Arial"/>
                <w:sz w:val="20"/>
                <w:szCs w:val="20"/>
                <w:color w:val="FFFFFF"/>
                <w:vertAlign w:val="superscript"/>
              </w:rPr>
              <w:t>4</w:t>
            </w:r>
          </w:p>
        </w:tc>
        <w:tc>
          <w:tcPr>
            <w:tcW w:w="1260" w:type="dxa"/>
            <w:vAlign w:val="bottom"/>
            <w:shd w:val="clear" w:color="auto" w:fill="007DB6"/>
          </w:tcPr>
          <w:p>
            <w:pPr>
              <w:spacing w:after="0"/>
              <w:rPr>
                <w:sz w:val="19"/>
                <w:szCs w:val="19"/>
                <w:color w:val="auto"/>
              </w:rPr>
            </w:pPr>
          </w:p>
        </w:tc>
        <w:tc>
          <w:tcPr>
            <w:tcW w:w="1260" w:type="dxa"/>
            <w:vAlign w:val="bottom"/>
            <w:shd w:val="clear" w:color="auto" w:fill="007DB6"/>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007DB6"/>
          </w:tcPr>
          <w:p>
            <w:pPr>
              <w:spacing w:after="0"/>
              <w:rPr>
                <w:sz w:val="15"/>
                <w:szCs w:val="15"/>
                <w:color w:val="auto"/>
              </w:rPr>
            </w:pPr>
          </w:p>
        </w:tc>
        <w:tc>
          <w:tcPr>
            <w:tcW w:w="1460" w:type="dxa"/>
            <w:vAlign w:val="bottom"/>
            <w:vMerge w:val="restart"/>
            <w:shd w:val="clear" w:color="auto" w:fill="007DB6"/>
          </w:tcPr>
          <w:p>
            <w:pPr>
              <w:jc w:val="center"/>
              <w:ind w:right="17"/>
              <w:spacing w:after="0"/>
              <w:rPr>
                <w:sz w:val="20"/>
                <w:szCs w:val="20"/>
                <w:color w:val="auto"/>
              </w:rPr>
            </w:pPr>
            <w:r>
              <w:rPr>
                <w:rFonts w:ascii="Arial" w:cs="Arial" w:eastAsia="Arial" w:hAnsi="Arial"/>
                <w:sz w:val="13"/>
                <w:szCs w:val="13"/>
                <w:color w:val="FFFFFF"/>
                <w:w w:val="97"/>
              </w:rPr>
              <w:t>Summary</w:t>
            </w:r>
          </w:p>
        </w:tc>
        <w:tc>
          <w:tcPr>
            <w:tcW w:w="1280" w:type="dxa"/>
            <w:vAlign w:val="bottom"/>
            <w:vMerge w:val="restart"/>
            <w:shd w:val="clear" w:color="auto" w:fill="007DB6"/>
          </w:tcPr>
          <w:p>
            <w:pPr>
              <w:jc w:val="center"/>
              <w:ind w:right="59"/>
              <w:spacing w:after="0"/>
              <w:rPr>
                <w:sz w:val="20"/>
                <w:szCs w:val="20"/>
                <w:color w:val="auto"/>
              </w:rPr>
            </w:pPr>
            <w:r>
              <w:rPr>
                <w:rFonts w:ascii="Arial" w:cs="Arial" w:eastAsia="Arial" w:hAnsi="Arial"/>
                <w:sz w:val="13"/>
                <w:szCs w:val="13"/>
                <w:color w:val="FFFFFF"/>
                <w:w w:val="95"/>
              </w:rPr>
              <w:t>Compensation</w:t>
            </w:r>
          </w:p>
        </w:tc>
        <w:tc>
          <w:tcPr>
            <w:tcW w:w="1460" w:type="dxa"/>
            <w:vAlign w:val="bottom"/>
            <w:shd w:val="clear" w:color="auto" w:fill="007DB6"/>
          </w:tcPr>
          <w:p>
            <w:pPr>
              <w:jc w:val="center"/>
              <w:ind w:right="97"/>
              <w:spacing w:after="0"/>
              <w:rPr>
                <w:sz w:val="20"/>
                <w:szCs w:val="20"/>
                <w:color w:val="auto"/>
              </w:rPr>
            </w:pPr>
            <w:r>
              <w:rPr>
                <w:rFonts w:ascii="Arial" w:cs="Arial" w:eastAsia="Arial" w:hAnsi="Arial"/>
                <w:sz w:val="13"/>
                <w:szCs w:val="13"/>
                <w:color w:val="FFFFFF"/>
                <w:w w:val="94"/>
              </w:rPr>
              <w:t>Average</w:t>
            </w:r>
          </w:p>
        </w:tc>
        <w:tc>
          <w:tcPr>
            <w:tcW w:w="1560" w:type="dxa"/>
            <w:vAlign w:val="bottom"/>
            <w:shd w:val="clear" w:color="auto" w:fill="007DB6"/>
          </w:tcPr>
          <w:p>
            <w:pPr>
              <w:jc w:val="center"/>
              <w:ind w:right="198"/>
              <w:spacing w:after="0"/>
              <w:rPr>
                <w:sz w:val="20"/>
                <w:szCs w:val="20"/>
                <w:color w:val="auto"/>
              </w:rPr>
            </w:pPr>
            <w:r>
              <w:rPr>
                <w:rFonts w:ascii="Arial" w:cs="Arial" w:eastAsia="Arial" w:hAnsi="Arial"/>
                <w:sz w:val="13"/>
                <w:szCs w:val="13"/>
                <w:color w:val="FFFFFF"/>
                <w:w w:val="94"/>
              </w:rPr>
              <w:t>Average</w:t>
            </w:r>
          </w:p>
        </w:tc>
        <w:tc>
          <w:tcPr>
            <w:tcW w:w="940" w:type="dxa"/>
            <w:vAlign w:val="bottom"/>
            <w:shd w:val="clear" w:color="auto" w:fill="007DB6"/>
          </w:tcPr>
          <w:p>
            <w:pPr>
              <w:spacing w:after="0"/>
              <w:rPr>
                <w:sz w:val="15"/>
                <w:szCs w:val="15"/>
                <w:color w:val="auto"/>
              </w:rPr>
            </w:pPr>
          </w:p>
        </w:tc>
        <w:tc>
          <w:tcPr>
            <w:tcW w:w="1120" w:type="dxa"/>
            <w:vAlign w:val="bottom"/>
            <w:shd w:val="clear" w:color="auto" w:fill="007DB6"/>
          </w:tcPr>
          <w:p>
            <w:pPr>
              <w:spacing w:after="0"/>
              <w:rPr>
                <w:sz w:val="15"/>
                <w:szCs w:val="15"/>
                <w:color w:val="auto"/>
              </w:rPr>
            </w:pPr>
          </w:p>
        </w:tc>
        <w:tc>
          <w:tcPr>
            <w:tcW w:w="1260" w:type="dxa"/>
            <w:vAlign w:val="bottom"/>
            <w:shd w:val="clear" w:color="auto" w:fill="007DB6"/>
          </w:tcPr>
          <w:p>
            <w:pPr>
              <w:spacing w:after="0"/>
              <w:rPr>
                <w:sz w:val="15"/>
                <w:szCs w:val="15"/>
                <w:color w:val="auto"/>
              </w:rPr>
            </w:pPr>
          </w:p>
        </w:tc>
        <w:tc>
          <w:tcPr>
            <w:tcW w:w="1260" w:type="dxa"/>
            <w:vAlign w:val="bottom"/>
            <w:shd w:val="clear" w:color="auto" w:fill="007DB6"/>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900" w:type="dxa"/>
            <w:vAlign w:val="bottom"/>
            <w:shd w:val="clear" w:color="auto" w:fill="007DB6"/>
          </w:tcPr>
          <w:p>
            <w:pPr>
              <w:spacing w:after="0"/>
              <w:rPr>
                <w:sz w:val="5"/>
                <w:szCs w:val="5"/>
                <w:color w:val="auto"/>
              </w:rPr>
            </w:pPr>
          </w:p>
        </w:tc>
        <w:tc>
          <w:tcPr>
            <w:tcW w:w="1460" w:type="dxa"/>
            <w:vAlign w:val="bottom"/>
            <w:vMerge w:val="continue"/>
            <w:shd w:val="clear" w:color="auto" w:fill="007DB6"/>
          </w:tcPr>
          <w:p>
            <w:pPr>
              <w:spacing w:after="0"/>
              <w:rPr>
                <w:sz w:val="5"/>
                <w:szCs w:val="5"/>
                <w:color w:val="auto"/>
              </w:rPr>
            </w:pPr>
          </w:p>
        </w:tc>
        <w:tc>
          <w:tcPr>
            <w:tcW w:w="1280" w:type="dxa"/>
            <w:vAlign w:val="bottom"/>
            <w:vMerge w:val="continue"/>
            <w:shd w:val="clear" w:color="auto" w:fill="007DB6"/>
          </w:tcPr>
          <w:p>
            <w:pPr>
              <w:spacing w:after="0"/>
              <w:rPr>
                <w:sz w:val="5"/>
                <w:szCs w:val="5"/>
                <w:color w:val="auto"/>
              </w:rPr>
            </w:pPr>
          </w:p>
        </w:tc>
        <w:tc>
          <w:tcPr>
            <w:tcW w:w="1460" w:type="dxa"/>
            <w:vAlign w:val="bottom"/>
            <w:vMerge w:val="restart"/>
            <w:shd w:val="clear" w:color="auto" w:fill="007DB6"/>
          </w:tcPr>
          <w:p>
            <w:pPr>
              <w:jc w:val="center"/>
              <w:ind w:right="97"/>
              <w:spacing w:after="0" w:line="138" w:lineRule="exact"/>
              <w:rPr>
                <w:sz w:val="20"/>
                <w:szCs w:val="20"/>
                <w:color w:val="auto"/>
              </w:rPr>
            </w:pPr>
            <w:r>
              <w:rPr>
                <w:rFonts w:ascii="Arial" w:cs="Arial" w:eastAsia="Arial" w:hAnsi="Arial"/>
                <w:sz w:val="13"/>
                <w:szCs w:val="13"/>
                <w:color w:val="FFFFFF"/>
                <w:w w:val="97"/>
              </w:rPr>
              <w:t>Summary</w:t>
            </w:r>
          </w:p>
        </w:tc>
        <w:tc>
          <w:tcPr>
            <w:tcW w:w="1560" w:type="dxa"/>
            <w:vAlign w:val="bottom"/>
            <w:vMerge w:val="restart"/>
            <w:shd w:val="clear" w:color="auto" w:fill="007DB6"/>
          </w:tcPr>
          <w:p>
            <w:pPr>
              <w:jc w:val="center"/>
              <w:ind w:right="198"/>
              <w:spacing w:after="0" w:line="138" w:lineRule="exact"/>
              <w:rPr>
                <w:sz w:val="20"/>
                <w:szCs w:val="20"/>
                <w:color w:val="auto"/>
              </w:rPr>
            </w:pPr>
            <w:r>
              <w:rPr>
                <w:rFonts w:ascii="Arial" w:cs="Arial" w:eastAsia="Arial" w:hAnsi="Arial"/>
                <w:sz w:val="13"/>
                <w:szCs w:val="13"/>
                <w:color w:val="FFFFFF"/>
                <w:w w:val="97"/>
              </w:rPr>
              <w:t>Compensation</w:t>
            </w:r>
          </w:p>
        </w:tc>
        <w:tc>
          <w:tcPr>
            <w:tcW w:w="940" w:type="dxa"/>
            <w:vAlign w:val="bottom"/>
            <w:shd w:val="clear" w:color="auto" w:fill="007DB6"/>
          </w:tcPr>
          <w:p>
            <w:pPr>
              <w:spacing w:after="0"/>
              <w:rPr>
                <w:sz w:val="5"/>
                <w:szCs w:val="5"/>
                <w:color w:val="auto"/>
              </w:rPr>
            </w:pPr>
          </w:p>
        </w:tc>
        <w:tc>
          <w:tcPr>
            <w:tcW w:w="1120" w:type="dxa"/>
            <w:vAlign w:val="bottom"/>
            <w:shd w:val="clear" w:color="auto" w:fill="007DB6"/>
          </w:tcPr>
          <w:p>
            <w:pPr>
              <w:spacing w:after="0"/>
              <w:rPr>
                <w:sz w:val="5"/>
                <w:szCs w:val="5"/>
                <w:color w:val="auto"/>
              </w:rPr>
            </w:pPr>
          </w:p>
        </w:tc>
        <w:tc>
          <w:tcPr>
            <w:tcW w:w="1260" w:type="dxa"/>
            <w:vAlign w:val="bottom"/>
            <w:shd w:val="clear" w:color="auto" w:fill="007DB6"/>
          </w:tcPr>
          <w:p>
            <w:pPr>
              <w:spacing w:after="0"/>
              <w:rPr>
                <w:sz w:val="5"/>
                <w:szCs w:val="5"/>
                <w:color w:val="auto"/>
              </w:rPr>
            </w:pPr>
          </w:p>
        </w:tc>
        <w:tc>
          <w:tcPr>
            <w:tcW w:w="1260" w:type="dxa"/>
            <w:vAlign w:val="bottom"/>
            <w:shd w:val="clear" w:color="auto" w:fill="007DB6"/>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900" w:type="dxa"/>
            <w:vAlign w:val="bottom"/>
            <w:shd w:val="clear" w:color="auto" w:fill="007DB6"/>
          </w:tcPr>
          <w:p>
            <w:pPr>
              <w:spacing w:after="0"/>
              <w:rPr>
                <w:sz w:val="6"/>
                <w:szCs w:val="6"/>
                <w:color w:val="auto"/>
              </w:rPr>
            </w:pPr>
          </w:p>
        </w:tc>
        <w:tc>
          <w:tcPr>
            <w:tcW w:w="1460" w:type="dxa"/>
            <w:vAlign w:val="bottom"/>
            <w:vMerge w:val="restart"/>
            <w:shd w:val="clear" w:color="auto" w:fill="007DB6"/>
          </w:tcPr>
          <w:p>
            <w:pPr>
              <w:jc w:val="center"/>
              <w:ind w:right="77"/>
              <w:spacing w:after="0"/>
              <w:rPr>
                <w:sz w:val="20"/>
                <w:szCs w:val="20"/>
                <w:color w:val="auto"/>
              </w:rPr>
            </w:pPr>
            <w:r>
              <w:rPr>
                <w:rFonts w:ascii="Arial" w:cs="Arial" w:eastAsia="Arial" w:hAnsi="Arial"/>
                <w:sz w:val="13"/>
                <w:szCs w:val="13"/>
                <w:color w:val="FFFFFF"/>
                <w:w w:val="95"/>
              </w:rPr>
              <w:t>Compensation</w:t>
            </w:r>
          </w:p>
        </w:tc>
        <w:tc>
          <w:tcPr>
            <w:tcW w:w="1280" w:type="dxa"/>
            <w:vAlign w:val="bottom"/>
            <w:vMerge w:val="restart"/>
            <w:shd w:val="clear" w:color="auto" w:fill="007DB6"/>
          </w:tcPr>
          <w:p>
            <w:pPr>
              <w:jc w:val="center"/>
              <w:ind w:right="79"/>
              <w:spacing w:after="0"/>
              <w:rPr>
                <w:sz w:val="20"/>
                <w:szCs w:val="20"/>
                <w:color w:val="auto"/>
              </w:rPr>
            </w:pPr>
            <w:r>
              <w:rPr>
                <w:rFonts w:ascii="Arial" w:cs="Arial" w:eastAsia="Arial" w:hAnsi="Arial"/>
                <w:sz w:val="13"/>
                <w:szCs w:val="13"/>
                <w:color w:val="FFFFFF"/>
                <w:w w:val="95"/>
              </w:rPr>
              <w:t>Actually Paid to</w:t>
            </w:r>
          </w:p>
        </w:tc>
        <w:tc>
          <w:tcPr>
            <w:tcW w:w="1460" w:type="dxa"/>
            <w:vAlign w:val="bottom"/>
            <w:vMerge w:val="continue"/>
            <w:shd w:val="clear" w:color="auto" w:fill="007DB6"/>
          </w:tcPr>
          <w:p>
            <w:pPr>
              <w:spacing w:after="0"/>
              <w:rPr>
                <w:sz w:val="6"/>
                <w:szCs w:val="6"/>
                <w:color w:val="auto"/>
              </w:rPr>
            </w:pPr>
          </w:p>
        </w:tc>
        <w:tc>
          <w:tcPr>
            <w:tcW w:w="1560" w:type="dxa"/>
            <w:vAlign w:val="bottom"/>
            <w:vMerge w:val="continue"/>
            <w:shd w:val="clear" w:color="auto" w:fill="007DB6"/>
          </w:tcPr>
          <w:p>
            <w:pPr>
              <w:spacing w:after="0"/>
              <w:rPr>
                <w:sz w:val="6"/>
                <w:szCs w:val="6"/>
                <w:color w:val="auto"/>
              </w:rPr>
            </w:pPr>
          </w:p>
        </w:tc>
        <w:tc>
          <w:tcPr>
            <w:tcW w:w="940" w:type="dxa"/>
            <w:vAlign w:val="bottom"/>
            <w:shd w:val="clear" w:color="auto" w:fill="007DB6"/>
          </w:tcPr>
          <w:p>
            <w:pPr>
              <w:spacing w:after="0"/>
              <w:rPr>
                <w:sz w:val="6"/>
                <w:szCs w:val="6"/>
                <w:color w:val="auto"/>
              </w:rPr>
            </w:pPr>
          </w:p>
        </w:tc>
        <w:tc>
          <w:tcPr>
            <w:tcW w:w="1120" w:type="dxa"/>
            <w:vAlign w:val="bottom"/>
            <w:vMerge w:val="restart"/>
            <w:shd w:val="clear" w:color="auto" w:fill="007DB6"/>
          </w:tcPr>
          <w:p>
            <w:pPr>
              <w:jc w:val="right"/>
              <w:ind w:right="297"/>
              <w:spacing w:after="0"/>
              <w:rPr>
                <w:sz w:val="20"/>
                <w:szCs w:val="20"/>
                <w:color w:val="auto"/>
              </w:rPr>
            </w:pPr>
            <w:r>
              <w:rPr>
                <w:rFonts w:ascii="Arial" w:cs="Arial" w:eastAsia="Arial" w:hAnsi="Arial"/>
                <w:sz w:val="13"/>
                <w:szCs w:val="13"/>
                <w:color w:val="FFFFFF"/>
              </w:rPr>
              <w:t>Peer Group</w:t>
            </w:r>
          </w:p>
        </w:tc>
        <w:tc>
          <w:tcPr>
            <w:tcW w:w="1260" w:type="dxa"/>
            <w:vAlign w:val="bottom"/>
            <w:vMerge w:val="restart"/>
            <w:shd w:val="clear" w:color="auto" w:fill="007DB6"/>
          </w:tcPr>
          <w:p>
            <w:pPr>
              <w:jc w:val="right"/>
              <w:ind w:right="357"/>
              <w:spacing w:after="0"/>
              <w:rPr>
                <w:sz w:val="20"/>
                <w:szCs w:val="20"/>
                <w:color w:val="auto"/>
              </w:rPr>
            </w:pPr>
            <w:r>
              <w:rPr>
                <w:rFonts w:ascii="Arial" w:cs="Arial" w:eastAsia="Arial" w:hAnsi="Arial"/>
                <w:sz w:val="13"/>
                <w:szCs w:val="13"/>
                <w:color w:val="FFFFFF"/>
              </w:rPr>
              <w:t>Net Income</w:t>
            </w:r>
          </w:p>
        </w:tc>
        <w:tc>
          <w:tcPr>
            <w:tcW w:w="1260" w:type="dxa"/>
            <w:vAlign w:val="bottom"/>
            <w:vMerge w:val="restart"/>
            <w:shd w:val="clear" w:color="auto" w:fill="007DB6"/>
          </w:tcPr>
          <w:p>
            <w:pPr>
              <w:jc w:val="right"/>
              <w:ind w:right="337"/>
              <w:spacing w:after="0"/>
              <w:rPr>
                <w:sz w:val="20"/>
                <w:szCs w:val="20"/>
                <w:color w:val="auto"/>
              </w:rPr>
            </w:pPr>
            <w:r>
              <w:rPr>
                <w:rFonts w:ascii="Arial" w:cs="Arial" w:eastAsia="Arial" w:hAnsi="Arial"/>
                <w:sz w:val="13"/>
                <w:szCs w:val="13"/>
                <w:color w:val="FFFFFF"/>
              </w:rPr>
              <w:t>Return on</w:t>
            </w:r>
          </w:p>
        </w:tc>
        <w:tc>
          <w:tcPr>
            <w:tcW w:w="0" w:type="dxa"/>
            <w:vAlign w:val="bottom"/>
          </w:tcPr>
          <w:p>
            <w:pPr>
              <w:spacing w:after="0"/>
              <w:rPr>
                <w:sz w:val="1"/>
                <w:szCs w:val="1"/>
                <w:color w:val="auto"/>
              </w:rPr>
            </w:pPr>
          </w:p>
        </w:tc>
      </w:tr>
      <w:tr>
        <w:trPr>
          <w:trHeight w:val="75"/>
        </w:trPr>
        <w:tc>
          <w:tcPr>
            <w:tcW w:w="900" w:type="dxa"/>
            <w:vAlign w:val="bottom"/>
            <w:vMerge w:val="restart"/>
            <w:shd w:val="clear" w:color="auto" w:fill="007DB6"/>
          </w:tcPr>
          <w:p>
            <w:pPr>
              <w:ind w:left="320"/>
              <w:spacing w:after="0" w:line="138" w:lineRule="exact"/>
              <w:rPr>
                <w:sz w:val="20"/>
                <w:szCs w:val="20"/>
                <w:color w:val="auto"/>
              </w:rPr>
            </w:pPr>
            <w:r>
              <w:rPr>
                <w:rFonts w:ascii="Arial" w:cs="Arial" w:eastAsia="Arial" w:hAnsi="Arial"/>
                <w:sz w:val="13"/>
                <w:szCs w:val="13"/>
                <w:color w:val="FFFFFF"/>
              </w:rPr>
              <w:t>Year</w:t>
            </w:r>
          </w:p>
        </w:tc>
        <w:tc>
          <w:tcPr>
            <w:tcW w:w="1460" w:type="dxa"/>
            <w:vAlign w:val="bottom"/>
            <w:vMerge w:val="continue"/>
            <w:shd w:val="clear" w:color="auto" w:fill="007DB6"/>
          </w:tcPr>
          <w:p>
            <w:pPr>
              <w:spacing w:after="0"/>
              <w:rPr>
                <w:sz w:val="6"/>
                <w:szCs w:val="6"/>
                <w:color w:val="auto"/>
              </w:rPr>
            </w:pPr>
          </w:p>
        </w:tc>
        <w:tc>
          <w:tcPr>
            <w:tcW w:w="1280" w:type="dxa"/>
            <w:vAlign w:val="bottom"/>
            <w:vMerge w:val="continue"/>
            <w:shd w:val="clear" w:color="auto" w:fill="007DB6"/>
          </w:tcPr>
          <w:p>
            <w:pPr>
              <w:spacing w:after="0"/>
              <w:rPr>
                <w:sz w:val="6"/>
                <w:szCs w:val="6"/>
                <w:color w:val="auto"/>
              </w:rPr>
            </w:pPr>
          </w:p>
        </w:tc>
        <w:tc>
          <w:tcPr>
            <w:tcW w:w="1460" w:type="dxa"/>
            <w:vAlign w:val="bottom"/>
            <w:vMerge w:val="restart"/>
            <w:shd w:val="clear" w:color="auto" w:fill="007DB6"/>
          </w:tcPr>
          <w:p>
            <w:pPr>
              <w:jc w:val="center"/>
              <w:ind w:right="117"/>
              <w:spacing w:after="0" w:line="138" w:lineRule="exact"/>
              <w:rPr>
                <w:sz w:val="20"/>
                <w:szCs w:val="20"/>
                <w:color w:val="auto"/>
              </w:rPr>
            </w:pPr>
            <w:r>
              <w:rPr>
                <w:rFonts w:ascii="Arial" w:cs="Arial" w:eastAsia="Arial" w:hAnsi="Arial"/>
                <w:sz w:val="13"/>
                <w:szCs w:val="13"/>
                <w:color w:val="FFFFFF"/>
                <w:w w:val="95"/>
              </w:rPr>
              <w:t>Compensation</w:t>
            </w:r>
          </w:p>
        </w:tc>
        <w:tc>
          <w:tcPr>
            <w:tcW w:w="1560" w:type="dxa"/>
            <w:vAlign w:val="bottom"/>
            <w:vMerge w:val="restart"/>
            <w:shd w:val="clear" w:color="auto" w:fill="007DB6"/>
          </w:tcPr>
          <w:p>
            <w:pPr>
              <w:jc w:val="center"/>
              <w:ind w:right="198"/>
              <w:spacing w:after="0" w:line="138" w:lineRule="exact"/>
              <w:rPr>
                <w:sz w:val="20"/>
                <w:szCs w:val="20"/>
                <w:color w:val="auto"/>
              </w:rPr>
            </w:pPr>
            <w:r>
              <w:rPr>
                <w:rFonts w:ascii="Arial" w:cs="Arial" w:eastAsia="Arial" w:hAnsi="Arial"/>
                <w:sz w:val="13"/>
                <w:szCs w:val="13"/>
                <w:color w:val="FFFFFF"/>
                <w:w w:val="95"/>
              </w:rPr>
              <w:t>Actually Paid to</w:t>
            </w:r>
          </w:p>
        </w:tc>
        <w:tc>
          <w:tcPr>
            <w:tcW w:w="940" w:type="dxa"/>
            <w:vAlign w:val="bottom"/>
            <w:vMerge w:val="restart"/>
            <w:shd w:val="clear" w:color="auto" w:fill="007DB6"/>
          </w:tcPr>
          <w:p>
            <w:pPr>
              <w:jc w:val="right"/>
              <w:ind w:right="277"/>
              <w:spacing w:after="0"/>
              <w:rPr>
                <w:sz w:val="20"/>
                <w:szCs w:val="20"/>
                <w:color w:val="auto"/>
              </w:rPr>
            </w:pPr>
            <w:r>
              <w:rPr>
                <w:rFonts w:ascii="Arial" w:cs="Arial" w:eastAsia="Arial" w:hAnsi="Arial"/>
                <w:sz w:val="13"/>
                <w:szCs w:val="13"/>
                <w:color w:val="FFFFFF"/>
              </w:rPr>
              <w:t>TSR ($)</w:t>
            </w:r>
          </w:p>
        </w:tc>
        <w:tc>
          <w:tcPr>
            <w:tcW w:w="1120" w:type="dxa"/>
            <w:vAlign w:val="bottom"/>
            <w:vMerge w:val="continue"/>
            <w:shd w:val="clear" w:color="auto" w:fill="007DB6"/>
          </w:tcPr>
          <w:p>
            <w:pPr>
              <w:spacing w:after="0"/>
              <w:rPr>
                <w:sz w:val="6"/>
                <w:szCs w:val="6"/>
                <w:color w:val="auto"/>
              </w:rPr>
            </w:pPr>
          </w:p>
        </w:tc>
        <w:tc>
          <w:tcPr>
            <w:tcW w:w="1260" w:type="dxa"/>
            <w:vAlign w:val="bottom"/>
            <w:vMerge w:val="continue"/>
            <w:shd w:val="clear" w:color="auto" w:fill="007DB6"/>
          </w:tcPr>
          <w:p>
            <w:pPr>
              <w:spacing w:after="0"/>
              <w:rPr>
                <w:sz w:val="6"/>
                <w:szCs w:val="6"/>
                <w:color w:val="auto"/>
              </w:rPr>
            </w:pPr>
          </w:p>
        </w:tc>
        <w:tc>
          <w:tcPr>
            <w:tcW w:w="1260" w:type="dxa"/>
            <w:vAlign w:val="bottom"/>
            <w:vMerge w:val="continue"/>
            <w:shd w:val="clear" w:color="auto" w:fill="007DB6"/>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900" w:type="dxa"/>
            <w:vAlign w:val="bottom"/>
            <w:vMerge w:val="continue"/>
            <w:shd w:val="clear" w:color="auto" w:fill="007DB6"/>
          </w:tcPr>
          <w:p>
            <w:pPr>
              <w:spacing w:after="0"/>
              <w:rPr>
                <w:sz w:val="5"/>
                <w:szCs w:val="5"/>
                <w:color w:val="auto"/>
              </w:rPr>
            </w:pPr>
          </w:p>
        </w:tc>
        <w:tc>
          <w:tcPr>
            <w:tcW w:w="1460" w:type="dxa"/>
            <w:vAlign w:val="bottom"/>
            <w:vMerge w:val="restart"/>
            <w:shd w:val="clear" w:color="auto" w:fill="007DB6"/>
          </w:tcPr>
          <w:p>
            <w:pPr>
              <w:jc w:val="center"/>
              <w:ind w:right="17"/>
              <w:spacing w:after="0"/>
              <w:rPr>
                <w:sz w:val="20"/>
                <w:szCs w:val="20"/>
                <w:color w:val="auto"/>
              </w:rPr>
            </w:pPr>
            <w:r>
              <w:rPr>
                <w:rFonts w:ascii="Arial" w:cs="Arial" w:eastAsia="Arial" w:hAnsi="Arial"/>
                <w:sz w:val="13"/>
                <w:szCs w:val="13"/>
                <w:color w:val="FFFFFF"/>
                <w:w w:val="93"/>
              </w:rPr>
              <w:t>Table Total for H.</w:t>
            </w:r>
          </w:p>
        </w:tc>
        <w:tc>
          <w:tcPr>
            <w:tcW w:w="1280" w:type="dxa"/>
            <w:vAlign w:val="bottom"/>
            <w:vMerge w:val="restart"/>
            <w:shd w:val="clear" w:color="auto" w:fill="007DB6"/>
          </w:tcPr>
          <w:p>
            <w:pPr>
              <w:jc w:val="center"/>
              <w:ind w:right="59"/>
              <w:spacing w:after="0"/>
              <w:rPr>
                <w:sz w:val="20"/>
                <w:szCs w:val="20"/>
                <w:color w:val="auto"/>
              </w:rPr>
            </w:pPr>
            <w:r>
              <w:rPr>
                <w:rFonts w:ascii="Arial" w:cs="Arial" w:eastAsia="Arial" w:hAnsi="Arial"/>
                <w:sz w:val="13"/>
                <w:szCs w:val="13"/>
                <w:color w:val="FFFFFF"/>
                <w:w w:val="96"/>
              </w:rPr>
              <w:t>H. Lynn Harton</w:t>
            </w:r>
          </w:p>
        </w:tc>
        <w:tc>
          <w:tcPr>
            <w:tcW w:w="1460" w:type="dxa"/>
            <w:vAlign w:val="bottom"/>
            <w:vMerge w:val="continue"/>
            <w:shd w:val="clear" w:color="auto" w:fill="007DB6"/>
          </w:tcPr>
          <w:p>
            <w:pPr>
              <w:spacing w:after="0"/>
              <w:rPr>
                <w:sz w:val="5"/>
                <w:szCs w:val="5"/>
                <w:color w:val="auto"/>
              </w:rPr>
            </w:pPr>
          </w:p>
        </w:tc>
        <w:tc>
          <w:tcPr>
            <w:tcW w:w="1560" w:type="dxa"/>
            <w:vAlign w:val="bottom"/>
            <w:vMerge w:val="continue"/>
            <w:shd w:val="clear" w:color="auto" w:fill="007DB6"/>
          </w:tcPr>
          <w:p>
            <w:pPr>
              <w:spacing w:after="0"/>
              <w:rPr>
                <w:sz w:val="5"/>
                <w:szCs w:val="5"/>
                <w:color w:val="auto"/>
              </w:rPr>
            </w:pPr>
          </w:p>
        </w:tc>
        <w:tc>
          <w:tcPr>
            <w:tcW w:w="940" w:type="dxa"/>
            <w:vAlign w:val="bottom"/>
            <w:vMerge w:val="continue"/>
            <w:shd w:val="clear" w:color="auto" w:fill="007DB6"/>
          </w:tcPr>
          <w:p>
            <w:pPr>
              <w:spacing w:after="0"/>
              <w:rPr>
                <w:sz w:val="5"/>
                <w:szCs w:val="5"/>
                <w:color w:val="auto"/>
              </w:rPr>
            </w:pPr>
          </w:p>
        </w:tc>
        <w:tc>
          <w:tcPr>
            <w:tcW w:w="1120" w:type="dxa"/>
            <w:vAlign w:val="bottom"/>
            <w:vMerge w:val="restart"/>
            <w:shd w:val="clear" w:color="auto" w:fill="007DB6"/>
          </w:tcPr>
          <w:p>
            <w:pPr>
              <w:jc w:val="right"/>
              <w:ind w:right="377"/>
              <w:spacing w:after="0"/>
              <w:rPr>
                <w:sz w:val="20"/>
                <w:szCs w:val="20"/>
                <w:color w:val="auto"/>
              </w:rPr>
            </w:pPr>
            <w:r>
              <w:rPr>
                <w:rFonts w:ascii="Arial" w:cs="Arial" w:eastAsia="Arial" w:hAnsi="Arial"/>
                <w:sz w:val="13"/>
                <w:szCs w:val="13"/>
                <w:color w:val="FFFFFF"/>
              </w:rPr>
              <w:t>TSR ($)</w:t>
            </w:r>
          </w:p>
        </w:tc>
        <w:tc>
          <w:tcPr>
            <w:tcW w:w="1260" w:type="dxa"/>
            <w:vAlign w:val="bottom"/>
            <w:vMerge w:val="restart"/>
            <w:shd w:val="clear" w:color="auto" w:fill="007DB6"/>
          </w:tcPr>
          <w:p>
            <w:pPr>
              <w:jc w:val="right"/>
              <w:ind w:right="377"/>
              <w:spacing w:after="0"/>
              <w:rPr>
                <w:sz w:val="20"/>
                <w:szCs w:val="20"/>
                <w:color w:val="auto"/>
              </w:rPr>
            </w:pPr>
            <w:r>
              <w:rPr>
                <w:rFonts w:ascii="Arial" w:cs="Arial" w:eastAsia="Arial" w:hAnsi="Arial"/>
                <w:sz w:val="13"/>
                <w:szCs w:val="13"/>
                <w:color w:val="FFFFFF"/>
              </w:rPr>
              <w:t>($ Millions)</w:t>
            </w:r>
          </w:p>
        </w:tc>
        <w:tc>
          <w:tcPr>
            <w:tcW w:w="1260" w:type="dxa"/>
            <w:vAlign w:val="bottom"/>
            <w:vMerge w:val="restart"/>
            <w:shd w:val="clear" w:color="auto" w:fill="007DB6"/>
          </w:tcPr>
          <w:p>
            <w:pPr>
              <w:jc w:val="right"/>
              <w:ind w:right="117"/>
              <w:spacing w:after="0" w:line="187" w:lineRule="exact"/>
              <w:rPr>
                <w:sz w:val="20"/>
                <w:szCs w:val="20"/>
                <w:color w:val="auto"/>
              </w:rPr>
            </w:pPr>
            <w:r>
              <w:rPr>
                <w:rFonts w:ascii="Arial" w:cs="Arial" w:eastAsia="Arial" w:hAnsi="Arial"/>
                <w:sz w:val="13"/>
                <w:szCs w:val="13"/>
                <w:color w:val="FFFFFF"/>
              </w:rPr>
              <w:t>Average Assets</w:t>
            </w:r>
            <w:r>
              <w:rPr>
                <w:rFonts w:ascii="Arial" w:cs="Arial" w:eastAsia="Arial" w:hAnsi="Arial"/>
                <w:sz w:val="20"/>
                <w:szCs w:val="20"/>
                <w:color w:val="FFFFFF"/>
                <w:vertAlign w:val="superscript"/>
              </w:rPr>
              <w:t>5</w:t>
            </w:r>
          </w:p>
        </w:tc>
        <w:tc>
          <w:tcPr>
            <w:tcW w:w="0" w:type="dxa"/>
            <w:vAlign w:val="bottom"/>
          </w:tcPr>
          <w:p>
            <w:pPr>
              <w:spacing w:after="0"/>
              <w:rPr>
                <w:sz w:val="1"/>
                <w:szCs w:val="1"/>
                <w:color w:val="auto"/>
              </w:rPr>
            </w:pPr>
          </w:p>
        </w:tc>
      </w:tr>
      <w:tr>
        <w:trPr>
          <w:trHeight w:val="125"/>
        </w:trPr>
        <w:tc>
          <w:tcPr>
            <w:tcW w:w="900" w:type="dxa"/>
            <w:vAlign w:val="bottom"/>
            <w:shd w:val="clear" w:color="auto" w:fill="007DB6"/>
          </w:tcPr>
          <w:p>
            <w:pPr>
              <w:spacing w:after="0"/>
              <w:rPr>
                <w:sz w:val="10"/>
                <w:szCs w:val="10"/>
                <w:color w:val="auto"/>
              </w:rPr>
            </w:pPr>
          </w:p>
        </w:tc>
        <w:tc>
          <w:tcPr>
            <w:tcW w:w="1460" w:type="dxa"/>
            <w:vAlign w:val="bottom"/>
            <w:vMerge w:val="continue"/>
            <w:shd w:val="clear" w:color="auto" w:fill="007DB6"/>
          </w:tcPr>
          <w:p>
            <w:pPr>
              <w:spacing w:after="0"/>
              <w:rPr>
                <w:sz w:val="10"/>
                <w:szCs w:val="10"/>
                <w:color w:val="auto"/>
              </w:rPr>
            </w:pPr>
          </w:p>
        </w:tc>
        <w:tc>
          <w:tcPr>
            <w:tcW w:w="1280" w:type="dxa"/>
            <w:vAlign w:val="bottom"/>
            <w:vMerge w:val="continue"/>
            <w:shd w:val="clear" w:color="auto" w:fill="007DB6"/>
          </w:tcPr>
          <w:p>
            <w:pPr>
              <w:spacing w:after="0"/>
              <w:rPr>
                <w:sz w:val="10"/>
                <w:szCs w:val="10"/>
                <w:color w:val="auto"/>
              </w:rPr>
            </w:pPr>
          </w:p>
        </w:tc>
        <w:tc>
          <w:tcPr>
            <w:tcW w:w="1460" w:type="dxa"/>
            <w:vAlign w:val="bottom"/>
            <w:shd w:val="clear" w:color="auto" w:fill="007DB6"/>
          </w:tcPr>
          <w:p>
            <w:pPr>
              <w:jc w:val="center"/>
              <w:ind w:right="97"/>
              <w:spacing w:after="0" w:line="126" w:lineRule="exact"/>
              <w:rPr>
                <w:sz w:val="20"/>
                <w:szCs w:val="20"/>
                <w:color w:val="auto"/>
              </w:rPr>
            </w:pPr>
            <w:r>
              <w:rPr>
                <w:rFonts w:ascii="Arial" w:cs="Arial" w:eastAsia="Arial" w:hAnsi="Arial"/>
                <w:sz w:val="13"/>
                <w:szCs w:val="13"/>
                <w:color w:val="FFFFFF"/>
                <w:w w:val="93"/>
              </w:rPr>
              <w:t>Table Total for</w:t>
            </w:r>
          </w:p>
        </w:tc>
        <w:tc>
          <w:tcPr>
            <w:tcW w:w="1560" w:type="dxa"/>
            <w:vAlign w:val="bottom"/>
            <w:shd w:val="clear" w:color="auto" w:fill="007DB6"/>
          </w:tcPr>
          <w:p>
            <w:pPr>
              <w:jc w:val="center"/>
              <w:ind w:right="238"/>
              <w:spacing w:after="0" w:line="126" w:lineRule="exact"/>
              <w:rPr>
                <w:sz w:val="20"/>
                <w:szCs w:val="20"/>
                <w:color w:val="auto"/>
              </w:rPr>
            </w:pPr>
            <w:r>
              <w:rPr>
                <w:rFonts w:ascii="Arial" w:cs="Arial" w:eastAsia="Arial" w:hAnsi="Arial"/>
                <w:sz w:val="13"/>
                <w:szCs w:val="13"/>
                <w:color w:val="FFFFFF"/>
                <w:w w:val="95"/>
              </w:rPr>
              <w:t>NonPEO NEOs</w:t>
            </w:r>
          </w:p>
        </w:tc>
        <w:tc>
          <w:tcPr>
            <w:tcW w:w="940" w:type="dxa"/>
            <w:vAlign w:val="bottom"/>
            <w:vMerge w:val="continue"/>
            <w:shd w:val="clear" w:color="auto" w:fill="007DB6"/>
          </w:tcPr>
          <w:p>
            <w:pPr>
              <w:spacing w:after="0"/>
              <w:rPr>
                <w:sz w:val="10"/>
                <w:szCs w:val="10"/>
                <w:color w:val="auto"/>
              </w:rPr>
            </w:pPr>
          </w:p>
        </w:tc>
        <w:tc>
          <w:tcPr>
            <w:tcW w:w="1120" w:type="dxa"/>
            <w:vAlign w:val="bottom"/>
            <w:vMerge w:val="continue"/>
            <w:shd w:val="clear" w:color="auto" w:fill="007DB6"/>
          </w:tcPr>
          <w:p>
            <w:pPr>
              <w:spacing w:after="0"/>
              <w:rPr>
                <w:sz w:val="10"/>
                <w:szCs w:val="10"/>
                <w:color w:val="auto"/>
              </w:rPr>
            </w:pPr>
          </w:p>
        </w:tc>
        <w:tc>
          <w:tcPr>
            <w:tcW w:w="1260" w:type="dxa"/>
            <w:vAlign w:val="bottom"/>
            <w:vMerge w:val="continue"/>
            <w:shd w:val="clear" w:color="auto" w:fill="007DB6"/>
          </w:tcPr>
          <w:p>
            <w:pPr>
              <w:spacing w:after="0"/>
              <w:rPr>
                <w:sz w:val="10"/>
                <w:szCs w:val="10"/>
                <w:color w:val="auto"/>
              </w:rPr>
            </w:pPr>
          </w:p>
        </w:tc>
        <w:tc>
          <w:tcPr>
            <w:tcW w:w="1260" w:type="dxa"/>
            <w:vAlign w:val="bottom"/>
            <w:vMerge w:val="continue"/>
            <w:shd w:val="clear" w:color="auto" w:fill="007DB6"/>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00" w:type="dxa"/>
            <w:vAlign w:val="bottom"/>
            <w:shd w:val="clear" w:color="auto" w:fill="007DB6"/>
          </w:tcPr>
          <w:p>
            <w:pPr>
              <w:spacing w:after="0"/>
              <w:rPr>
                <w:sz w:val="21"/>
                <w:szCs w:val="21"/>
                <w:color w:val="auto"/>
              </w:rPr>
            </w:pPr>
          </w:p>
        </w:tc>
        <w:tc>
          <w:tcPr>
            <w:tcW w:w="1460" w:type="dxa"/>
            <w:vAlign w:val="bottom"/>
            <w:shd w:val="clear" w:color="auto" w:fill="007DB6"/>
          </w:tcPr>
          <w:p>
            <w:pPr>
              <w:jc w:val="center"/>
              <w:ind w:right="37"/>
              <w:spacing w:after="0"/>
              <w:rPr>
                <w:sz w:val="20"/>
                <w:szCs w:val="20"/>
                <w:color w:val="auto"/>
              </w:rPr>
            </w:pPr>
            <w:r>
              <w:rPr>
                <w:rFonts w:ascii="Arial" w:cs="Arial" w:eastAsia="Arial" w:hAnsi="Arial"/>
                <w:sz w:val="13"/>
                <w:szCs w:val="13"/>
                <w:color w:val="FFFFFF"/>
                <w:w w:val="94"/>
              </w:rPr>
              <w:t>Lynn Harton ($)</w:t>
            </w:r>
            <w:r>
              <w:rPr>
                <w:rFonts w:ascii="Arial" w:cs="Arial" w:eastAsia="Arial" w:hAnsi="Arial"/>
                <w:sz w:val="20"/>
                <w:szCs w:val="20"/>
                <w:color w:val="FFFFFF"/>
                <w:w w:val="94"/>
                <w:vertAlign w:val="superscript"/>
              </w:rPr>
              <w:t>1</w:t>
            </w:r>
          </w:p>
        </w:tc>
        <w:tc>
          <w:tcPr>
            <w:tcW w:w="1280" w:type="dxa"/>
            <w:vAlign w:val="bottom"/>
            <w:shd w:val="clear" w:color="auto" w:fill="007DB6"/>
          </w:tcPr>
          <w:p>
            <w:pPr>
              <w:jc w:val="center"/>
              <w:ind w:right="79"/>
              <w:spacing w:after="0" w:line="250" w:lineRule="exact"/>
              <w:rPr>
                <w:sz w:val="20"/>
                <w:szCs w:val="20"/>
                <w:color w:val="auto"/>
              </w:rPr>
            </w:pPr>
            <w:r>
              <w:rPr>
                <w:rFonts w:ascii="Arial" w:cs="Arial" w:eastAsia="Arial" w:hAnsi="Arial"/>
                <w:sz w:val="25"/>
                <w:szCs w:val="25"/>
                <w:color w:val="FFFFFF"/>
                <w:w w:val="89"/>
                <w:vertAlign w:val="subscript"/>
              </w:rPr>
              <w:t>($)</w:t>
            </w:r>
            <w:r>
              <w:rPr>
                <w:rFonts w:ascii="Arial" w:cs="Arial" w:eastAsia="Arial" w:hAnsi="Arial"/>
                <w:sz w:val="10"/>
                <w:szCs w:val="10"/>
                <w:color w:val="FFFFFF"/>
                <w:w w:val="89"/>
              </w:rPr>
              <w:t>1,2,3</w:t>
            </w:r>
          </w:p>
        </w:tc>
        <w:tc>
          <w:tcPr>
            <w:tcW w:w="1460" w:type="dxa"/>
            <w:vAlign w:val="bottom"/>
            <w:shd w:val="clear" w:color="auto" w:fill="007DB6"/>
          </w:tcPr>
          <w:p>
            <w:pPr>
              <w:jc w:val="center"/>
              <w:ind w:right="97"/>
              <w:spacing w:after="0"/>
              <w:rPr>
                <w:sz w:val="20"/>
                <w:szCs w:val="20"/>
                <w:color w:val="auto"/>
              </w:rPr>
            </w:pPr>
            <w:r>
              <w:rPr>
                <w:rFonts w:ascii="Arial" w:cs="Arial" w:eastAsia="Arial" w:hAnsi="Arial"/>
                <w:sz w:val="13"/>
                <w:szCs w:val="13"/>
                <w:color w:val="FFFFFF"/>
                <w:w w:val="94"/>
              </w:rPr>
              <w:t>NonPEO NEOs ($)</w:t>
            </w:r>
            <w:r>
              <w:rPr>
                <w:rFonts w:ascii="Arial" w:cs="Arial" w:eastAsia="Arial" w:hAnsi="Arial"/>
                <w:sz w:val="20"/>
                <w:szCs w:val="20"/>
                <w:color w:val="FFFFFF"/>
                <w:w w:val="94"/>
                <w:vertAlign w:val="superscript"/>
              </w:rPr>
              <w:t>1</w:t>
            </w:r>
          </w:p>
        </w:tc>
        <w:tc>
          <w:tcPr>
            <w:tcW w:w="1560" w:type="dxa"/>
            <w:vAlign w:val="bottom"/>
            <w:shd w:val="clear" w:color="auto" w:fill="007DB6"/>
          </w:tcPr>
          <w:p>
            <w:pPr>
              <w:jc w:val="center"/>
              <w:ind w:right="198"/>
              <w:spacing w:after="0" w:line="250" w:lineRule="exact"/>
              <w:rPr>
                <w:sz w:val="20"/>
                <w:szCs w:val="20"/>
                <w:color w:val="auto"/>
              </w:rPr>
            </w:pPr>
            <w:r>
              <w:rPr>
                <w:rFonts w:ascii="Arial" w:cs="Arial" w:eastAsia="Arial" w:hAnsi="Arial"/>
                <w:sz w:val="25"/>
                <w:szCs w:val="25"/>
                <w:color w:val="FFFFFF"/>
                <w:w w:val="89"/>
                <w:vertAlign w:val="subscript"/>
              </w:rPr>
              <w:t>($)</w:t>
            </w:r>
            <w:r>
              <w:rPr>
                <w:rFonts w:ascii="Arial" w:cs="Arial" w:eastAsia="Arial" w:hAnsi="Arial"/>
                <w:sz w:val="10"/>
                <w:szCs w:val="10"/>
                <w:color w:val="FFFFFF"/>
                <w:w w:val="89"/>
              </w:rPr>
              <w:t>1,2,3</w:t>
            </w:r>
          </w:p>
        </w:tc>
        <w:tc>
          <w:tcPr>
            <w:tcW w:w="940" w:type="dxa"/>
            <w:vAlign w:val="bottom"/>
            <w:shd w:val="clear" w:color="auto" w:fill="007DB6"/>
          </w:tcPr>
          <w:p>
            <w:pPr>
              <w:spacing w:after="0"/>
              <w:rPr>
                <w:sz w:val="21"/>
                <w:szCs w:val="21"/>
                <w:color w:val="auto"/>
              </w:rPr>
            </w:pPr>
          </w:p>
        </w:tc>
        <w:tc>
          <w:tcPr>
            <w:tcW w:w="1120" w:type="dxa"/>
            <w:vAlign w:val="bottom"/>
            <w:shd w:val="clear" w:color="auto" w:fill="007DB6"/>
          </w:tcPr>
          <w:p>
            <w:pPr>
              <w:spacing w:after="0"/>
              <w:rPr>
                <w:sz w:val="21"/>
                <w:szCs w:val="21"/>
                <w:color w:val="auto"/>
              </w:rPr>
            </w:pPr>
          </w:p>
        </w:tc>
        <w:tc>
          <w:tcPr>
            <w:tcW w:w="1260" w:type="dxa"/>
            <w:vAlign w:val="bottom"/>
            <w:shd w:val="clear" w:color="auto" w:fill="007DB6"/>
          </w:tcPr>
          <w:p>
            <w:pPr>
              <w:spacing w:after="0"/>
              <w:rPr>
                <w:sz w:val="21"/>
                <w:szCs w:val="21"/>
                <w:color w:val="auto"/>
              </w:rPr>
            </w:pPr>
          </w:p>
        </w:tc>
        <w:tc>
          <w:tcPr>
            <w:tcW w:w="1260" w:type="dxa"/>
            <w:vAlign w:val="bottom"/>
            <w:shd w:val="clear" w:color="auto" w:fill="007DB6"/>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00" w:type="dxa"/>
            <w:vAlign w:val="bottom"/>
          </w:tcPr>
          <w:p>
            <w:pPr>
              <w:ind w:left="320"/>
              <w:spacing w:after="0"/>
              <w:rPr>
                <w:sz w:val="20"/>
                <w:szCs w:val="20"/>
                <w:color w:val="auto"/>
              </w:rPr>
            </w:pPr>
            <w:r>
              <w:rPr>
                <w:rFonts w:ascii="Arial" w:cs="Arial" w:eastAsia="Arial" w:hAnsi="Arial"/>
                <w:sz w:val="13"/>
                <w:szCs w:val="13"/>
                <w:color w:val="474C55"/>
              </w:rPr>
              <w:t>2024</w:t>
            </w:r>
          </w:p>
        </w:tc>
        <w:tc>
          <w:tcPr>
            <w:tcW w:w="1460" w:type="dxa"/>
            <w:vAlign w:val="bottom"/>
          </w:tcPr>
          <w:p>
            <w:pPr>
              <w:jc w:val="right"/>
              <w:ind w:right="97"/>
              <w:spacing w:after="0"/>
              <w:rPr>
                <w:sz w:val="20"/>
                <w:szCs w:val="20"/>
                <w:color w:val="auto"/>
              </w:rPr>
            </w:pPr>
            <w:r>
              <w:rPr>
                <w:rFonts w:ascii="Arial" w:cs="Arial" w:eastAsia="Arial" w:hAnsi="Arial"/>
                <w:sz w:val="13"/>
                <w:szCs w:val="13"/>
                <w:color w:val="444A54"/>
              </w:rPr>
              <w:t>$ 4,919,248</w:t>
            </w:r>
          </w:p>
        </w:tc>
        <w:tc>
          <w:tcPr>
            <w:tcW w:w="1280" w:type="dxa"/>
            <w:vAlign w:val="bottom"/>
          </w:tcPr>
          <w:p>
            <w:pPr>
              <w:jc w:val="right"/>
              <w:ind w:right="19"/>
              <w:spacing w:after="0"/>
              <w:rPr>
                <w:sz w:val="20"/>
                <w:szCs w:val="20"/>
                <w:color w:val="auto"/>
              </w:rPr>
            </w:pPr>
            <w:r>
              <w:rPr>
                <w:rFonts w:ascii="Arial" w:cs="Arial" w:eastAsia="Arial" w:hAnsi="Arial"/>
                <w:sz w:val="13"/>
                <w:szCs w:val="13"/>
                <w:color w:val="444A54"/>
              </w:rPr>
              <w:t>$ 5,167,743</w:t>
            </w:r>
          </w:p>
        </w:tc>
        <w:tc>
          <w:tcPr>
            <w:tcW w:w="1460" w:type="dxa"/>
            <w:vAlign w:val="bottom"/>
          </w:tcPr>
          <w:p>
            <w:pPr>
              <w:jc w:val="right"/>
              <w:ind w:right="137"/>
              <w:spacing w:after="0"/>
              <w:rPr>
                <w:sz w:val="20"/>
                <w:szCs w:val="20"/>
                <w:color w:val="auto"/>
              </w:rPr>
            </w:pPr>
            <w:r>
              <w:rPr>
                <w:rFonts w:ascii="Arial" w:cs="Arial" w:eastAsia="Arial" w:hAnsi="Arial"/>
                <w:sz w:val="13"/>
                <w:szCs w:val="13"/>
                <w:color w:val="444A54"/>
              </w:rPr>
              <w:t>$ 1,637,367</w:t>
            </w:r>
          </w:p>
        </w:tc>
        <w:tc>
          <w:tcPr>
            <w:tcW w:w="1560" w:type="dxa"/>
            <w:vAlign w:val="bottom"/>
          </w:tcPr>
          <w:p>
            <w:pPr>
              <w:jc w:val="right"/>
              <w:ind w:right="118"/>
              <w:spacing w:after="0"/>
              <w:rPr>
                <w:sz w:val="20"/>
                <w:szCs w:val="20"/>
                <w:color w:val="auto"/>
              </w:rPr>
            </w:pPr>
            <w:r>
              <w:rPr>
                <w:rFonts w:ascii="Arial" w:cs="Arial" w:eastAsia="Arial" w:hAnsi="Arial"/>
                <w:sz w:val="13"/>
                <w:szCs w:val="13"/>
                <w:color w:val="444A54"/>
              </w:rPr>
              <w:t>$ 1,658,142</w:t>
            </w:r>
          </w:p>
        </w:tc>
        <w:tc>
          <w:tcPr>
            <w:tcW w:w="940" w:type="dxa"/>
            <w:vAlign w:val="bottom"/>
          </w:tcPr>
          <w:p>
            <w:pPr>
              <w:jc w:val="right"/>
              <w:ind w:right="37"/>
              <w:spacing w:after="0"/>
              <w:rPr>
                <w:sz w:val="20"/>
                <w:szCs w:val="20"/>
                <w:color w:val="auto"/>
              </w:rPr>
            </w:pPr>
            <w:r>
              <w:rPr>
                <w:rFonts w:ascii="Arial" w:cs="Arial" w:eastAsia="Arial" w:hAnsi="Arial"/>
                <w:sz w:val="13"/>
                <w:szCs w:val="13"/>
                <w:color w:val="444A54"/>
              </w:rPr>
              <w:t>$ 122</w:t>
            </w:r>
          </w:p>
        </w:tc>
        <w:tc>
          <w:tcPr>
            <w:tcW w:w="1120" w:type="dxa"/>
            <w:vAlign w:val="bottom"/>
          </w:tcPr>
          <w:p>
            <w:pPr>
              <w:jc w:val="right"/>
              <w:ind w:right="157"/>
              <w:spacing w:after="0"/>
              <w:rPr>
                <w:sz w:val="20"/>
                <w:szCs w:val="20"/>
                <w:color w:val="auto"/>
              </w:rPr>
            </w:pPr>
            <w:r>
              <w:rPr>
                <w:rFonts w:ascii="Arial" w:cs="Arial" w:eastAsia="Arial" w:hAnsi="Arial"/>
                <w:sz w:val="13"/>
                <w:szCs w:val="13"/>
                <w:color w:val="474C55"/>
              </w:rPr>
              <w:t>$ 112</w:t>
            </w:r>
          </w:p>
        </w:tc>
        <w:tc>
          <w:tcPr>
            <w:tcW w:w="1260" w:type="dxa"/>
            <w:vAlign w:val="bottom"/>
          </w:tcPr>
          <w:p>
            <w:pPr>
              <w:jc w:val="right"/>
              <w:ind w:right="57"/>
              <w:spacing w:after="0"/>
              <w:rPr>
                <w:sz w:val="20"/>
                <w:szCs w:val="20"/>
                <w:color w:val="auto"/>
              </w:rPr>
            </w:pPr>
            <w:r>
              <w:rPr>
                <w:rFonts w:ascii="Arial" w:cs="Arial" w:eastAsia="Arial" w:hAnsi="Arial"/>
                <w:sz w:val="13"/>
                <w:szCs w:val="13"/>
                <w:color w:val="474C55"/>
              </w:rPr>
              <w:t>$ 252</w:t>
            </w:r>
          </w:p>
        </w:tc>
        <w:tc>
          <w:tcPr>
            <w:tcW w:w="1260" w:type="dxa"/>
            <w:vAlign w:val="bottom"/>
          </w:tcPr>
          <w:p>
            <w:pPr>
              <w:jc w:val="right"/>
              <w:spacing w:after="0"/>
              <w:rPr>
                <w:sz w:val="20"/>
                <w:szCs w:val="20"/>
                <w:color w:val="auto"/>
              </w:rPr>
            </w:pPr>
            <w:r>
              <w:rPr>
                <w:rFonts w:ascii="Arial" w:cs="Arial" w:eastAsia="Arial" w:hAnsi="Arial"/>
                <w:sz w:val="13"/>
                <w:szCs w:val="13"/>
                <w:color w:val="474C55"/>
              </w:rPr>
              <w:t>1.09%</w:t>
            </w:r>
          </w:p>
        </w:tc>
        <w:tc>
          <w:tcPr>
            <w:tcW w:w="0" w:type="dxa"/>
            <w:vAlign w:val="bottom"/>
          </w:tcPr>
          <w:p>
            <w:pPr>
              <w:spacing w:after="0"/>
              <w:rPr>
                <w:sz w:val="1"/>
                <w:szCs w:val="1"/>
                <w:color w:val="auto"/>
              </w:rPr>
            </w:pPr>
          </w:p>
        </w:tc>
      </w:tr>
      <w:tr>
        <w:trPr>
          <w:trHeight w:val="35"/>
        </w:trPr>
        <w:tc>
          <w:tcPr>
            <w:tcW w:w="9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900" w:type="dxa"/>
            <w:vAlign w:val="bottom"/>
            <w:tcBorders>
              <w:bottom w:val="single" w:sz="8" w:color="E1E2E2"/>
            </w:tcBorders>
            <w:shd w:val="clear" w:color="auto" w:fill="E1E2E2"/>
          </w:tcPr>
          <w:p>
            <w:pPr>
              <w:ind w:left="320"/>
              <w:spacing w:after="0"/>
              <w:rPr>
                <w:sz w:val="20"/>
                <w:szCs w:val="20"/>
                <w:color w:val="auto"/>
              </w:rPr>
            </w:pPr>
            <w:r>
              <w:rPr>
                <w:rFonts w:ascii="Arial" w:cs="Arial" w:eastAsia="Arial" w:hAnsi="Arial"/>
                <w:sz w:val="13"/>
                <w:szCs w:val="13"/>
                <w:color w:val="474C55"/>
              </w:rPr>
              <w:t>2023</w:t>
            </w:r>
          </w:p>
        </w:tc>
        <w:tc>
          <w:tcPr>
            <w:tcW w:w="1460" w:type="dxa"/>
            <w:vAlign w:val="bottom"/>
            <w:tcBorders>
              <w:bottom w:val="single" w:sz="8" w:color="E1E2E2"/>
            </w:tcBorders>
            <w:shd w:val="clear" w:color="auto" w:fill="E1E2E2"/>
          </w:tcPr>
          <w:p>
            <w:pPr>
              <w:jc w:val="right"/>
              <w:ind w:right="97"/>
              <w:spacing w:after="0"/>
              <w:rPr>
                <w:sz w:val="20"/>
                <w:szCs w:val="20"/>
                <w:color w:val="auto"/>
              </w:rPr>
            </w:pPr>
            <w:r>
              <w:rPr>
                <w:rFonts w:ascii="Arial" w:cs="Arial" w:eastAsia="Arial" w:hAnsi="Arial"/>
                <w:sz w:val="13"/>
                <w:szCs w:val="13"/>
                <w:color w:val="474C55"/>
              </w:rPr>
              <w:t>3,740,470</w:t>
            </w:r>
          </w:p>
        </w:tc>
        <w:tc>
          <w:tcPr>
            <w:tcW w:w="1280" w:type="dxa"/>
            <w:vAlign w:val="bottom"/>
            <w:tcBorders>
              <w:bottom w:val="single" w:sz="8" w:color="E1E2E2"/>
            </w:tcBorders>
            <w:shd w:val="clear" w:color="auto" w:fill="E1E2E2"/>
          </w:tcPr>
          <w:p>
            <w:pPr>
              <w:jc w:val="right"/>
              <w:ind w:right="19"/>
              <w:spacing w:after="0"/>
              <w:rPr>
                <w:sz w:val="20"/>
                <w:szCs w:val="20"/>
                <w:color w:val="auto"/>
              </w:rPr>
            </w:pPr>
            <w:r>
              <w:rPr>
                <w:rFonts w:ascii="Arial" w:cs="Arial" w:eastAsia="Arial" w:hAnsi="Arial"/>
                <w:sz w:val="13"/>
                <w:szCs w:val="13"/>
                <w:color w:val="474C55"/>
              </w:rPr>
              <w:t>2,896,904</w:t>
            </w:r>
          </w:p>
        </w:tc>
        <w:tc>
          <w:tcPr>
            <w:tcW w:w="1460" w:type="dxa"/>
            <w:vAlign w:val="bottom"/>
            <w:tcBorders>
              <w:bottom w:val="single" w:sz="8" w:color="E1E2E2"/>
            </w:tcBorders>
            <w:shd w:val="clear" w:color="auto" w:fill="E1E2E2"/>
          </w:tcPr>
          <w:p>
            <w:pPr>
              <w:jc w:val="right"/>
              <w:ind w:right="137"/>
              <w:spacing w:after="0"/>
              <w:rPr>
                <w:sz w:val="20"/>
                <w:szCs w:val="20"/>
                <w:color w:val="auto"/>
              </w:rPr>
            </w:pPr>
            <w:r>
              <w:rPr>
                <w:rFonts w:ascii="Arial" w:cs="Arial" w:eastAsia="Arial" w:hAnsi="Arial"/>
                <w:sz w:val="13"/>
                <w:szCs w:val="13"/>
                <w:color w:val="474C55"/>
              </w:rPr>
              <w:t>1,244,360</w:t>
            </w:r>
          </w:p>
        </w:tc>
        <w:tc>
          <w:tcPr>
            <w:tcW w:w="1560" w:type="dxa"/>
            <w:vAlign w:val="bottom"/>
            <w:tcBorders>
              <w:bottom w:val="single" w:sz="8" w:color="E1E2E2"/>
            </w:tcBorders>
            <w:shd w:val="clear" w:color="auto" w:fill="E1E2E2"/>
          </w:tcPr>
          <w:p>
            <w:pPr>
              <w:jc w:val="right"/>
              <w:ind w:right="118"/>
              <w:spacing w:after="0"/>
              <w:rPr>
                <w:sz w:val="20"/>
                <w:szCs w:val="20"/>
                <w:color w:val="auto"/>
              </w:rPr>
            </w:pPr>
            <w:r>
              <w:rPr>
                <w:rFonts w:ascii="Arial" w:cs="Arial" w:eastAsia="Arial" w:hAnsi="Arial"/>
                <w:sz w:val="13"/>
                <w:szCs w:val="13"/>
                <w:color w:val="474C55"/>
              </w:rPr>
              <w:t>946,213</w:t>
            </w:r>
          </w:p>
        </w:tc>
        <w:tc>
          <w:tcPr>
            <w:tcW w:w="940" w:type="dxa"/>
            <w:vAlign w:val="bottom"/>
            <w:tcBorders>
              <w:bottom w:val="single" w:sz="8" w:color="E1E2E2"/>
            </w:tcBorders>
            <w:shd w:val="clear" w:color="auto" w:fill="E1E2E2"/>
          </w:tcPr>
          <w:p>
            <w:pPr>
              <w:jc w:val="right"/>
              <w:ind w:right="37"/>
              <w:spacing w:after="0"/>
              <w:rPr>
                <w:sz w:val="20"/>
                <w:szCs w:val="20"/>
                <w:color w:val="auto"/>
              </w:rPr>
            </w:pPr>
            <w:r>
              <w:rPr>
                <w:rFonts w:ascii="Arial" w:cs="Arial" w:eastAsia="Arial" w:hAnsi="Arial"/>
                <w:sz w:val="13"/>
                <w:szCs w:val="13"/>
                <w:color w:val="444A54"/>
              </w:rPr>
              <w:t>107</w:t>
            </w:r>
          </w:p>
        </w:tc>
        <w:tc>
          <w:tcPr>
            <w:tcW w:w="1120" w:type="dxa"/>
            <w:vAlign w:val="bottom"/>
            <w:tcBorders>
              <w:bottom w:val="single" w:sz="8" w:color="E1E2E2"/>
            </w:tcBorders>
            <w:shd w:val="clear" w:color="auto" w:fill="E1E2E2"/>
          </w:tcPr>
          <w:p>
            <w:pPr>
              <w:jc w:val="right"/>
              <w:ind w:right="157"/>
              <w:spacing w:after="0"/>
              <w:rPr>
                <w:sz w:val="20"/>
                <w:szCs w:val="20"/>
                <w:color w:val="auto"/>
              </w:rPr>
            </w:pPr>
            <w:r>
              <w:rPr>
                <w:rFonts w:ascii="Arial" w:cs="Arial" w:eastAsia="Arial" w:hAnsi="Arial"/>
                <w:sz w:val="13"/>
                <w:szCs w:val="13"/>
                <w:color w:val="444A54"/>
              </w:rPr>
              <w:t>102</w:t>
            </w:r>
          </w:p>
        </w:tc>
        <w:tc>
          <w:tcPr>
            <w:tcW w:w="1260" w:type="dxa"/>
            <w:vAlign w:val="bottom"/>
            <w:tcBorders>
              <w:bottom w:val="single" w:sz="8" w:color="E1E2E2"/>
            </w:tcBorders>
            <w:shd w:val="clear" w:color="auto" w:fill="E1E2E2"/>
          </w:tcPr>
          <w:p>
            <w:pPr>
              <w:jc w:val="right"/>
              <w:ind w:right="57"/>
              <w:spacing w:after="0"/>
              <w:rPr>
                <w:sz w:val="20"/>
                <w:szCs w:val="20"/>
                <w:color w:val="auto"/>
              </w:rPr>
            </w:pPr>
            <w:r>
              <w:rPr>
                <w:rFonts w:ascii="Arial" w:cs="Arial" w:eastAsia="Arial" w:hAnsi="Arial"/>
                <w:sz w:val="13"/>
                <w:szCs w:val="13"/>
                <w:color w:val="474C55"/>
              </w:rPr>
              <w:t>188</w:t>
            </w:r>
          </w:p>
        </w:tc>
        <w:tc>
          <w:tcPr>
            <w:tcW w:w="1260" w:type="dxa"/>
            <w:vAlign w:val="bottom"/>
            <w:tcBorders>
              <w:bottom w:val="single" w:sz="8" w:color="E1E2E2"/>
            </w:tcBorders>
            <w:shd w:val="clear" w:color="auto" w:fill="E1E2E2"/>
          </w:tcPr>
          <w:p>
            <w:pPr>
              <w:jc w:val="right"/>
              <w:ind w:right="57"/>
              <w:spacing w:after="0"/>
              <w:rPr>
                <w:sz w:val="20"/>
                <w:szCs w:val="20"/>
                <w:color w:val="auto"/>
              </w:rPr>
            </w:pPr>
            <w:r>
              <w:rPr>
                <w:rFonts w:ascii="Arial" w:cs="Arial" w:eastAsia="Arial" w:hAnsi="Arial"/>
                <w:sz w:val="13"/>
                <w:szCs w:val="13"/>
                <w:color w:val="474C55"/>
              </w:rPr>
              <w:t>0.90</w:t>
            </w:r>
          </w:p>
        </w:tc>
        <w:tc>
          <w:tcPr>
            <w:tcW w:w="0" w:type="dxa"/>
            <w:vAlign w:val="bottom"/>
          </w:tcPr>
          <w:p>
            <w:pPr>
              <w:spacing w:after="0"/>
              <w:rPr>
                <w:sz w:val="1"/>
                <w:szCs w:val="1"/>
                <w:color w:val="auto"/>
              </w:rPr>
            </w:pPr>
          </w:p>
        </w:tc>
      </w:tr>
      <w:tr>
        <w:trPr>
          <w:trHeight w:val="203"/>
        </w:trPr>
        <w:tc>
          <w:tcPr>
            <w:tcW w:w="900" w:type="dxa"/>
            <w:vAlign w:val="bottom"/>
          </w:tcPr>
          <w:p>
            <w:pPr>
              <w:ind w:left="320"/>
              <w:spacing w:after="0"/>
              <w:rPr>
                <w:sz w:val="20"/>
                <w:szCs w:val="20"/>
                <w:color w:val="auto"/>
              </w:rPr>
            </w:pPr>
            <w:r>
              <w:rPr>
                <w:rFonts w:ascii="Arial" w:cs="Arial" w:eastAsia="Arial" w:hAnsi="Arial"/>
                <w:sz w:val="13"/>
                <w:szCs w:val="13"/>
                <w:color w:val="474C55"/>
              </w:rPr>
              <w:t>2022</w:t>
            </w:r>
          </w:p>
        </w:tc>
        <w:tc>
          <w:tcPr>
            <w:tcW w:w="1460" w:type="dxa"/>
            <w:vAlign w:val="bottom"/>
          </w:tcPr>
          <w:p>
            <w:pPr>
              <w:jc w:val="right"/>
              <w:ind w:right="97"/>
              <w:spacing w:after="0"/>
              <w:rPr>
                <w:sz w:val="20"/>
                <w:szCs w:val="20"/>
                <w:color w:val="auto"/>
              </w:rPr>
            </w:pPr>
            <w:r>
              <w:rPr>
                <w:rFonts w:ascii="Arial" w:cs="Arial" w:eastAsia="Arial" w:hAnsi="Arial"/>
                <w:sz w:val="13"/>
                <w:szCs w:val="13"/>
                <w:color w:val="474C55"/>
              </w:rPr>
              <w:t>2,538,380</w:t>
            </w:r>
          </w:p>
        </w:tc>
        <w:tc>
          <w:tcPr>
            <w:tcW w:w="1280" w:type="dxa"/>
            <w:vAlign w:val="bottom"/>
          </w:tcPr>
          <w:p>
            <w:pPr>
              <w:jc w:val="right"/>
              <w:ind w:right="19"/>
              <w:spacing w:after="0"/>
              <w:rPr>
                <w:sz w:val="20"/>
                <w:szCs w:val="20"/>
                <w:color w:val="auto"/>
              </w:rPr>
            </w:pPr>
            <w:r>
              <w:rPr>
                <w:rFonts w:ascii="Arial" w:cs="Arial" w:eastAsia="Arial" w:hAnsi="Arial"/>
                <w:sz w:val="13"/>
                <w:szCs w:val="13"/>
                <w:color w:val="474C55"/>
              </w:rPr>
              <w:t>2,891,751</w:t>
            </w:r>
          </w:p>
        </w:tc>
        <w:tc>
          <w:tcPr>
            <w:tcW w:w="1460" w:type="dxa"/>
            <w:vAlign w:val="bottom"/>
          </w:tcPr>
          <w:p>
            <w:pPr>
              <w:jc w:val="right"/>
              <w:ind w:right="137"/>
              <w:spacing w:after="0"/>
              <w:rPr>
                <w:sz w:val="20"/>
                <w:szCs w:val="20"/>
                <w:color w:val="auto"/>
              </w:rPr>
            </w:pPr>
            <w:r>
              <w:rPr>
                <w:rFonts w:ascii="Arial" w:cs="Arial" w:eastAsia="Arial" w:hAnsi="Arial"/>
                <w:sz w:val="13"/>
                <w:szCs w:val="13"/>
                <w:color w:val="474C55"/>
              </w:rPr>
              <w:t>921,908</w:t>
            </w:r>
          </w:p>
        </w:tc>
        <w:tc>
          <w:tcPr>
            <w:tcW w:w="1560" w:type="dxa"/>
            <w:vAlign w:val="bottom"/>
          </w:tcPr>
          <w:p>
            <w:pPr>
              <w:jc w:val="right"/>
              <w:ind w:right="118"/>
              <w:spacing w:after="0"/>
              <w:rPr>
                <w:sz w:val="20"/>
                <w:szCs w:val="20"/>
                <w:color w:val="auto"/>
              </w:rPr>
            </w:pPr>
            <w:r>
              <w:rPr>
                <w:rFonts w:ascii="Arial" w:cs="Arial" w:eastAsia="Arial" w:hAnsi="Arial"/>
                <w:sz w:val="13"/>
                <w:szCs w:val="13"/>
                <w:color w:val="474C55"/>
              </w:rPr>
              <w:t>1,017,383</w:t>
            </w:r>
          </w:p>
        </w:tc>
        <w:tc>
          <w:tcPr>
            <w:tcW w:w="940" w:type="dxa"/>
            <w:vAlign w:val="bottom"/>
          </w:tcPr>
          <w:p>
            <w:pPr>
              <w:jc w:val="right"/>
              <w:ind w:right="37"/>
              <w:spacing w:after="0"/>
              <w:rPr>
                <w:sz w:val="20"/>
                <w:szCs w:val="20"/>
                <w:color w:val="auto"/>
              </w:rPr>
            </w:pPr>
            <w:r>
              <w:rPr>
                <w:rFonts w:ascii="Arial" w:cs="Arial" w:eastAsia="Arial" w:hAnsi="Arial"/>
                <w:sz w:val="13"/>
                <w:szCs w:val="13"/>
                <w:color w:val="444A54"/>
              </w:rPr>
              <w:t>119</w:t>
            </w:r>
          </w:p>
        </w:tc>
        <w:tc>
          <w:tcPr>
            <w:tcW w:w="1120" w:type="dxa"/>
            <w:vAlign w:val="bottom"/>
          </w:tcPr>
          <w:p>
            <w:pPr>
              <w:jc w:val="right"/>
              <w:ind w:right="157"/>
              <w:spacing w:after="0"/>
              <w:rPr>
                <w:sz w:val="20"/>
                <w:szCs w:val="20"/>
                <w:color w:val="auto"/>
              </w:rPr>
            </w:pPr>
            <w:r>
              <w:rPr>
                <w:rFonts w:ascii="Arial" w:cs="Arial" w:eastAsia="Arial" w:hAnsi="Arial"/>
                <w:sz w:val="13"/>
                <w:szCs w:val="13"/>
                <w:color w:val="444A54"/>
              </w:rPr>
              <w:t>106</w:t>
            </w:r>
          </w:p>
        </w:tc>
        <w:tc>
          <w:tcPr>
            <w:tcW w:w="1260" w:type="dxa"/>
            <w:vAlign w:val="bottom"/>
          </w:tcPr>
          <w:p>
            <w:pPr>
              <w:jc w:val="right"/>
              <w:ind w:right="57"/>
              <w:spacing w:after="0"/>
              <w:rPr>
                <w:sz w:val="20"/>
                <w:szCs w:val="20"/>
                <w:color w:val="auto"/>
              </w:rPr>
            </w:pPr>
            <w:r>
              <w:rPr>
                <w:rFonts w:ascii="Arial" w:cs="Arial" w:eastAsia="Arial" w:hAnsi="Arial"/>
                <w:sz w:val="13"/>
                <w:szCs w:val="13"/>
                <w:color w:val="474C55"/>
              </w:rPr>
              <w:t>277</w:t>
            </w:r>
          </w:p>
        </w:tc>
        <w:tc>
          <w:tcPr>
            <w:tcW w:w="1260" w:type="dxa"/>
            <w:vAlign w:val="bottom"/>
          </w:tcPr>
          <w:p>
            <w:pPr>
              <w:jc w:val="right"/>
              <w:ind w:right="57"/>
              <w:spacing w:after="0"/>
              <w:rPr>
                <w:sz w:val="20"/>
                <w:szCs w:val="20"/>
                <w:color w:val="auto"/>
              </w:rPr>
            </w:pPr>
            <w:r>
              <w:rPr>
                <w:rFonts w:ascii="Arial" w:cs="Arial" w:eastAsia="Arial" w:hAnsi="Arial"/>
                <w:sz w:val="13"/>
                <w:szCs w:val="13"/>
                <w:color w:val="474C55"/>
              </w:rPr>
              <w:t>1.22</w:t>
            </w:r>
          </w:p>
        </w:tc>
        <w:tc>
          <w:tcPr>
            <w:tcW w:w="0" w:type="dxa"/>
            <w:vAlign w:val="bottom"/>
          </w:tcPr>
          <w:p>
            <w:pPr>
              <w:spacing w:after="0"/>
              <w:rPr>
                <w:sz w:val="1"/>
                <w:szCs w:val="1"/>
                <w:color w:val="auto"/>
              </w:rPr>
            </w:pPr>
          </w:p>
        </w:tc>
      </w:tr>
      <w:tr>
        <w:trPr>
          <w:trHeight w:val="35"/>
        </w:trPr>
        <w:tc>
          <w:tcPr>
            <w:tcW w:w="9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900" w:type="dxa"/>
            <w:vAlign w:val="bottom"/>
            <w:tcBorders>
              <w:bottom w:val="single" w:sz="8" w:color="E1E2E2"/>
            </w:tcBorders>
            <w:shd w:val="clear" w:color="auto" w:fill="E1E2E2"/>
          </w:tcPr>
          <w:p>
            <w:pPr>
              <w:ind w:left="320"/>
              <w:spacing w:after="0"/>
              <w:rPr>
                <w:sz w:val="20"/>
                <w:szCs w:val="20"/>
                <w:color w:val="auto"/>
              </w:rPr>
            </w:pPr>
            <w:r>
              <w:rPr>
                <w:rFonts w:ascii="Arial" w:cs="Arial" w:eastAsia="Arial" w:hAnsi="Arial"/>
                <w:sz w:val="13"/>
                <w:szCs w:val="13"/>
                <w:color w:val="474C55"/>
              </w:rPr>
              <w:t>2021</w:t>
            </w:r>
          </w:p>
        </w:tc>
        <w:tc>
          <w:tcPr>
            <w:tcW w:w="1460" w:type="dxa"/>
            <w:vAlign w:val="bottom"/>
            <w:tcBorders>
              <w:bottom w:val="single" w:sz="8" w:color="E1E2E2"/>
            </w:tcBorders>
            <w:shd w:val="clear" w:color="auto" w:fill="E1E2E2"/>
          </w:tcPr>
          <w:p>
            <w:pPr>
              <w:jc w:val="right"/>
              <w:ind w:right="97"/>
              <w:spacing w:after="0"/>
              <w:rPr>
                <w:sz w:val="20"/>
                <w:szCs w:val="20"/>
                <w:color w:val="auto"/>
              </w:rPr>
            </w:pPr>
            <w:r>
              <w:rPr>
                <w:rFonts w:ascii="Arial" w:cs="Arial" w:eastAsia="Arial" w:hAnsi="Arial"/>
                <w:sz w:val="13"/>
                <w:szCs w:val="13"/>
                <w:color w:val="474C55"/>
              </w:rPr>
              <w:t>3,015,446</w:t>
            </w:r>
          </w:p>
        </w:tc>
        <w:tc>
          <w:tcPr>
            <w:tcW w:w="1280" w:type="dxa"/>
            <w:vAlign w:val="bottom"/>
            <w:tcBorders>
              <w:bottom w:val="single" w:sz="8" w:color="E1E2E2"/>
            </w:tcBorders>
            <w:shd w:val="clear" w:color="auto" w:fill="E1E2E2"/>
          </w:tcPr>
          <w:p>
            <w:pPr>
              <w:jc w:val="right"/>
              <w:ind w:right="19"/>
              <w:spacing w:after="0"/>
              <w:rPr>
                <w:sz w:val="20"/>
                <w:szCs w:val="20"/>
                <w:color w:val="auto"/>
              </w:rPr>
            </w:pPr>
            <w:r>
              <w:rPr>
                <w:rFonts w:ascii="Arial" w:cs="Arial" w:eastAsia="Arial" w:hAnsi="Arial"/>
                <w:sz w:val="13"/>
                <w:szCs w:val="13"/>
                <w:color w:val="474C55"/>
              </w:rPr>
              <w:t>4,424,072</w:t>
            </w:r>
          </w:p>
        </w:tc>
        <w:tc>
          <w:tcPr>
            <w:tcW w:w="1460" w:type="dxa"/>
            <w:vAlign w:val="bottom"/>
            <w:tcBorders>
              <w:bottom w:val="single" w:sz="8" w:color="E1E2E2"/>
            </w:tcBorders>
            <w:shd w:val="clear" w:color="auto" w:fill="E1E2E2"/>
          </w:tcPr>
          <w:p>
            <w:pPr>
              <w:jc w:val="right"/>
              <w:ind w:right="137"/>
              <w:spacing w:after="0"/>
              <w:rPr>
                <w:sz w:val="20"/>
                <w:szCs w:val="20"/>
                <w:color w:val="auto"/>
              </w:rPr>
            </w:pPr>
            <w:r>
              <w:rPr>
                <w:rFonts w:ascii="Arial" w:cs="Arial" w:eastAsia="Arial" w:hAnsi="Arial"/>
                <w:sz w:val="13"/>
                <w:szCs w:val="13"/>
                <w:color w:val="474C55"/>
              </w:rPr>
              <w:t>1,136,941</w:t>
            </w:r>
          </w:p>
        </w:tc>
        <w:tc>
          <w:tcPr>
            <w:tcW w:w="1560" w:type="dxa"/>
            <w:vAlign w:val="bottom"/>
            <w:tcBorders>
              <w:bottom w:val="single" w:sz="8" w:color="E1E2E2"/>
            </w:tcBorders>
            <w:shd w:val="clear" w:color="auto" w:fill="E1E2E2"/>
          </w:tcPr>
          <w:p>
            <w:pPr>
              <w:jc w:val="right"/>
              <w:ind w:right="118"/>
              <w:spacing w:after="0"/>
              <w:rPr>
                <w:sz w:val="20"/>
                <w:szCs w:val="20"/>
                <w:color w:val="auto"/>
              </w:rPr>
            </w:pPr>
            <w:r>
              <w:rPr>
                <w:rFonts w:ascii="Arial" w:cs="Arial" w:eastAsia="Arial" w:hAnsi="Arial"/>
                <w:sz w:val="13"/>
                <w:szCs w:val="13"/>
                <w:color w:val="474C55"/>
              </w:rPr>
              <w:t>1,494,952</w:t>
            </w:r>
          </w:p>
        </w:tc>
        <w:tc>
          <w:tcPr>
            <w:tcW w:w="940" w:type="dxa"/>
            <w:vAlign w:val="bottom"/>
            <w:tcBorders>
              <w:bottom w:val="single" w:sz="8" w:color="E1E2E2"/>
            </w:tcBorders>
            <w:shd w:val="clear" w:color="auto" w:fill="E1E2E2"/>
          </w:tcPr>
          <w:p>
            <w:pPr>
              <w:jc w:val="right"/>
              <w:ind w:right="37"/>
              <w:spacing w:after="0"/>
              <w:rPr>
                <w:sz w:val="20"/>
                <w:szCs w:val="20"/>
                <w:color w:val="auto"/>
              </w:rPr>
            </w:pPr>
            <w:r>
              <w:rPr>
                <w:rFonts w:ascii="Arial" w:cs="Arial" w:eastAsia="Arial" w:hAnsi="Arial"/>
                <w:sz w:val="13"/>
                <w:szCs w:val="13"/>
                <w:color w:val="444A54"/>
              </w:rPr>
              <w:t>123</w:t>
            </w:r>
          </w:p>
        </w:tc>
        <w:tc>
          <w:tcPr>
            <w:tcW w:w="1120" w:type="dxa"/>
            <w:vAlign w:val="bottom"/>
            <w:tcBorders>
              <w:bottom w:val="single" w:sz="8" w:color="E1E2E2"/>
            </w:tcBorders>
            <w:shd w:val="clear" w:color="auto" w:fill="E1E2E2"/>
          </w:tcPr>
          <w:p>
            <w:pPr>
              <w:jc w:val="right"/>
              <w:ind w:right="157"/>
              <w:spacing w:after="0"/>
              <w:rPr>
                <w:sz w:val="20"/>
                <w:szCs w:val="20"/>
                <w:color w:val="auto"/>
              </w:rPr>
            </w:pPr>
            <w:r>
              <w:rPr>
                <w:rFonts w:ascii="Arial" w:cs="Arial" w:eastAsia="Arial" w:hAnsi="Arial"/>
                <w:sz w:val="13"/>
                <w:szCs w:val="13"/>
                <w:color w:val="444A54"/>
              </w:rPr>
              <w:t>117</w:t>
            </w:r>
          </w:p>
        </w:tc>
        <w:tc>
          <w:tcPr>
            <w:tcW w:w="1260" w:type="dxa"/>
            <w:vAlign w:val="bottom"/>
            <w:tcBorders>
              <w:bottom w:val="single" w:sz="8" w:color="E1E2E2"/>
            </w:tcBorders>
            <w:shd w:val="clear" w:color="auto" w:fill="E1E2E2"/>
          </w:tcPr>
          <w:p>
            <w:pPr>
              <w:jc w:val="right"/>
              <w:ind w:right="57"/>
              <w:spacing w:after="0"/>
              <w:rPr>
                <w:sz w:val="20"/>
                <w:szCs w:val="20"/>
                <w:color w:val="auto"/>
              </w:rPr>
            </w:pPr>
            <w:r>
              <w:rPr>
                <w:rFonts w:ascii="Arial" w:cs="Arial" w:eastAsia="Arial" w:hAnsi="Arial"/>
                <w:sz w:val="13"/>
                <w:szCs w:val="13"/>
                <w:color w:val="474C55"/>
              </w:rPr>
              <w:t>270</w:t>
            </w:r>
          </w:p>
        </w:tc>
        <w:tc>
          <w:tcPr>
            <w:tcW w:w="1260" w:type="dxa"/>
            <w:vAlign w:val="bottom"/>
            <w:tcBorders>
              <w:bottom w:val="single" w:sz="8" w:color="E1E2E2"/>
            </w:tcBorders>
            <w:shd w:val="clear" w:color="auto" w:fill="E1E2E2"/>
          </w:tcPr>
          <w:p>
            <w:pPr>
              <w:jc w:val="right"/>
              <w:ind w:right="57"/>
              <w:spacing w:after="0"/>
              <w:rPr>
                <w:sz w:val="20"/>
                <w:szCs w:val="20"/>
                <w:color w:val="auto"/>
              </w:rPr>
            </w:pPr>
            <w:r>
              <w:rPr>
                <w:rFonts w:ascii="Arial" w:cs="Arial" w:eastAsia="Arial" w:hAnsi="Arial"/>
                <w:sz w:val="13"/>
                <w:szCs w:val="13"/>
                <w:color w:val="474C55"/>
              </w:rPr>
              <w:t>1.42</w:t>
            </w:r>
          </w:p>
        </w:tc>
        <w:tc>
          <w:tcPr>
            <w:tcW w:w="0" w:type="dxa"/>
            <w:vAlign w:val="bottom"/>
          </w:tcPr>
          <w:p>
            <w:pPr>
              <w:spacing w:after="0"/>
              <w:rPr>
                <w:sz w:val="1"/>
                <w:szCs w:val="1"/>
                <w:color w:val="auto"/>
              </w:rPr>
            </w:pPr>
          </w:p>
        </w:tc>
      </w:tr>
      <w:tr>
        <w:trPr>
          <w:trHeight w:val="203"/>
        </w:trPr>
        <w:tc>
          <w:tcPr>
            <w:tcW w:w="900" w:type="dxa"/>
            <w:vAlign w:val="bottom"/>
          </w:tcPr>
          <w:p>
            <w:pPr>
              <w:ind w:left="320"/>
              <w:spacing w:after="0"/>
              <w:rPr>
                <w:sz w:val="20"/>
                <w:szCs w:val="20"/>
                <w:color w:val="auto"/>
              </w:rPr>
            </w:pPr>
            <w:r>
              <w:rPr>
                <w:rFonts w:ascii="Arial" w:cs="Arial" w:eastAsia="Arial" w:hAnsi="Arial"/>
                <w:sz w:val="13"/>
                <w:szCs w:val="13"/>
                <w:color w:val="474C55"/>
              </w:rPr>
              <w:t>2020</w:t>
            </w:r>
          </w:p>
        </w:tc>
        <w:tc>
          <w:tcPr>
            <w:tcW w:w="1460" w:type="dxa"/>
            <w:vAlign w:val="bottom"/>
          </w:tcPr>
          <w:p>
            <w:pPr>
              <w:jc w:val="right"/>
              <w:ind w:right="97"/>
              <w:spacing w:after="0"/>
              <w:rPr>
                <w:sz w:val="20"/>
                <w:szCs w:val="20"/>
                <w:color w:val="auto"/>
              </w:rPr>
            </w:pPr>
            <w:r>
              <w:rPr>
                <w:rFonts w:ascii="Arial" w:cs="Arial" w:eastAsia="Arial" w:hAnsi="Arial"/>
                <w:sz w:val="13"/>
                <w:szCs w:val="13"/>
                <w:color w:val="474C55"/>
              </w:rPr>
              <w:t>3,442,836</w:t>
            </w:r>
          </w:p>
        </w:tc>
        <w:tc>
          <w:tcPr>
            <w:tcW w:w="1280" w:type="dxa"/>
            <w:vAlign w:val="bottom"/>
          </w:tcPr>
          <w:p>
            <w:pPr>
              <w:jc w:val="right"/>
              <w:ind w:right="19"/>
              <w:spacing w:after="0"/>
              <w:rPr>
                <w:sz w:val="20"/>
                <w:szCs w:val="20"/>
                <w:color w:val="auto"/>
              </w:rPr>
            </w:pPr>
            <w:r>
              <w:rPr>
                <w:rFonts w:ascii="Arial" w:cs="Arial" w:eastAsia="Arial" w:hAnsi="Arial"/>
                <w:sz w:val="13"/>
                <w:szCs w:val="13"/>
                <w:color w:val="474C55"/>
              </w:rPr>
              <w:t>2,920,918</w:t>
            </w:r>
          </w:p>
        </w:tc>
        <w:tc>
          <w:tcPr>
            <w:tcW w:w="1460" w:type="dxa"/>
            <w:vAlign w:val="bottom"/>
          </w:tcPr>
          <w:p>
            <w:pPr>
              <w:jc w:val="right"/>
              <w:ind w:right="137"/>
              <w:spacing w:after="0"/>
              <w:rPr>
                <w:sz w:val="20"/>
                <w:szCs w:val="20"/>
                <w:color w:val="auto"/>
              </w:rPr>
            </w:pPr>
            <w:r>
              <w:rPr>
                <w:rFonts w:ascii="Arial" w:cs="Arial" w:eastAsia="Arial" w:hAnsi="Arial"/>
                <w:sz w:val="13"/>
                <w:szCs w:val="13"/>
                <w:color w:val="474C55"/>
              </w:rPr>
              <w:t>1,041,909</w:t>
            </w:r>
          </w:p>
        </w:tc>
        <w:tc>
          <w:tcPr>
            <w:tcW w:w="1560" w:type="dxa"/>
            <w:vAlign w:val="bottom"/>
          </w:tcPr>
          <w:p>
            <w:pPr>
              <w:jc w:val="right"/>
              <w:ind w:right="118"/>
              <w:spacing w:after="0"/>
              <w:rPr>
                <w:sz w:val="20"/>
                <w:szCs w:val="20"/>
                <w:color w:val="auto"/>
              </w:rPr>
            </w:pPr>
            <w:r>
              <w:rPr>
                <w:rFonts w:ascii="Arial" w:cs="Arial" w:eastAsia="Arial" w:hAnsi="Arial"/>
                <w:sz w:val="13"/>
                <w:szCs w:val="13"/>
                <w:color w:val="474C55"/>
              </w:rPr>
              <w:t>1,172,258</w:t>
            </w:r>
          </w:p>
        </w:tc>
        <w:tc>
          <w:tcPr>
            <w:tcW w:w="940" w:type="dxa"/>
            <w:vAlign w:val="bottom"/>
          </w:tcPr>
          <w:p>
            <w:pPr>
              <w:jc w:val="right"/>
              <w:ind w:right="37"/>
              <w:spacing w:after="0"/>
              <w:rPr>
                <w:sz w:val="20"/>
                <w:szCs w:val="20"/>
                <w:color w:val="auto"/>
              </w:rPr>
            </w:pPr>
            <w:r>
              <w:rPr>
                <w:rFonts w:ascii="Arial" w:cs="Arial" w:eastAsia="Arial" w:hAnsi="Arial"/>
                <w:sz w:val="13"/>
                <w:szCs w:val="13"/>
                <w:color w:val="444A54"/>
              </w:rPr>
              <w:t>95</w:t>
            </w:r>
          </w:p>
        </w:tc>
        <w:tc>
          <w:tcPr>
            <w:tcW w:w="1120" w:type="dxa"/>
            <w:vAlign w:val="bottom"/>
          </w:tcPr>
          <w:p>
            <w:pPr>
              <w:jc w:val="right"/>
              <w:ind w:right="157"/>
              <w:spacing w:after="0"/>
              <w:rPr>
                <w:sz w:val="20"/>
                <w:szCs w:val="20"/>
                <w:color w:val="auto"/>
              </w:rPr>
            </w:pPr>
            <w:r>
              <w:rPr>
                <w:rFonts w:ascii="Arial" w:cs="Arial" w:eastAsia="Arial" w:hAnsi="Arial"/>
                <w:sz w:val="13"/>
                <w:szCs w:val="13"/>
                <w:color w:val="444A54"/>
              </w:rPr>
              <w:t>88</w:t>
            </w:r>
          </w:p>
        </w:tc>
        <w:tc>
          <w:tcPr>
            <w:tcW w:w="1260" w:type="dxa"/>
            <w:vAlign w:val="bottom"/>
          </w:tcPr>
          <w:p>
            <w:pPr>
              <w:jc w:val="right"/>
              <w:ind w:right="57"/>
              <w:spacing w:after="0"/>
              <w:rPr>
                <w:sz w:val="20"/>
                <w:szCs w:val="20"/>
                <w:color w:val="auto"/>
              </w:rPr>
            </w:pPr>
            <w:r>
              <w:rPr>
                <w:rFonts w:ascii="Arial" w:cs="Arial" w:eastAsia="Arial" w:hAnsi="Arial"/>
                <w:sz w:val="13"/>
                <w:szCs w:val="13"/>
                <w:color w:val="474C55"/>
              </w:rPr>
              <w:t>164</w:t>
            </w:r>
          </w:p>
        </w:tc>
        <w:tc>
          <w:tcPr>
            <w:tcW w:w="1260" w:type="dxa"/>
            <w:vAlign w:val="bottom"/>
          </w:tcPr>
          <w:p>
            <w:pPr>
              <w:jc w:val="right"/>
              <w:ind w:right="57"/>
              <w:spacing w:after="0"/>
              <w:rPr>
                <w:sz w:val="20"/>
                <w:szCs w:val="20"/>
                <w:color w:val="auto"/>
              </w:rPr>
            </w:pPr>
            <w:r>
              <w:rPr>
                <w:rFonts w:ascii="Arial" w:cs="Arial" w:eastAsia="Arial" w:hAnsi="Arial"/>
                <w:sz w:val="13"/>
                <w:szCs w:val="13"/>
                <w:color w:val="474C55"/>
              </w:rPr>
              <w:t>1.51</w:t>
            </w:r>
          </w:p>
        </w:tc>
        <w:tc>
          <w:tcPr>
            <w:tcW w:w="0" w:type="dxa"/>
            <w:vAlign w:val="bottom"/>
          </w:tcPr>
          <w:p>
            <w:pPr>
              <w:spacing w:after="0"/>
              <w:rPr>
                <w:sz w:val="1"/>
                <w:szCs w:val="1"/>
                <w:color w:val="auto"/>
              </w:rPr>
            </w:pPr>
          </w:p>
        </w:tc>
      </w:tr>
      <w:tr>
        <w:trPr>
          <w:trHeight w:val="35"/>
        </w:trPr>
        <w:tc>
          <w:tcPr>
            <w:tcW w:w="900" w:type="dxa"/>
            <w:vAlign w:val="bottom"/>
            <w:tcBorders>
              <w:bottom w:val="single" w:sz="8" w:color="E2E3E4"/>
            </w:tcBorders>
          </w:tcPr>
          <w:p>
            <w:pPr>
              <w:spacing w:after="0"/>
              <w:rPr>
                <w:sz w:val="3"/>
                <w:szCs w:val="3"/>
                <w:color w:val="auto"/>
              </w:rPr>
            </w:pPr>
          </w:p>
        </w:tc>
        <w:tc>
          <w:tcPr>
            <w:tcW w:w="1460" w:type="dxa"/>
            <w:vAlign w:val="bottom"/>
            <w:tcBorders>
              <w:bottom w:val="single" w:sz="8" w:color="E2E3E4"/>
            </w:tcBorders>
          </w:tcPr>
          <w:p>
            <w:pPr>
              <w:spacing w:after="0"/>
              <w:rPr>
                <w:sz w:val="3"/>
                <w:szCs w:val="3"/>
                <w:color w:val="auto"/>
              </w:rPr>
            </w:pPr>
          </w:p>
        </w:tc>
        <w:tc>
          <w:tcPr>
            <w:tcW w:w="1280" w:type="dxa"/>
            <w:vAlign w:val="bottom"/>
            <w:tcBorders>
              <w:bottom w:val="single" w:sz="8" w:color="E2E3E4"/>
            </w:tcBorders>
          </w:tcPr>
          <w:p>
            <w:pPr>
              <w:spacing w:after="0"/>
              <w:rPr>
                <w:sz w:val="3"/>
                <w:szCs w:val="3"/>
                <w:color w:val="auto"/>
              </w:rPr>
            </w:pPr>
          </w:p>
        </w:tc>
        <w:tc>
          <w:tcPr>
            <w:tcW w:w="1460" w:type="dxa"/>
            <w:vAlign w:val="bottom"/>
            <w:tcBorders>
              <w:bottom w:val="single" w:sz="8" w:color="E2E3E4"/>
            </w:tcBorders>
          </w:tcPr>
          <w:p>
            <w:pPr>
              <w:spacing w:after="0"/>
              <w:rPr>
                <w:sz w:val="3"/>
                <w:szCs w:val="3"/>
                <w:color w:val="auto"/>
              </w:rPr>
            </w:pPr>
          </w:p>
        </w:tc>
        <w:tc>
          <w:tcPr>
            <w:tcW w:w="1560" w:type="dxa"/>
            <w:vAlign w:val="bottom"/>
            <w:tcBorders>
              <w:bottom w:val="single" w:sz="8" w:color="E2E3E4"/>
            </w:tcBorders>
          </w:tcPr>
          <w:p>
            <w:pPr>
              <w:spacing w:after="0"/>
              <w:rPr>
                <w:sz w:val="3"/>
                <w:szCs w:val="3"/>
                <w:color w:val="auto"/>
              </w:rPr>
            </w:pPr>
          </w:p>
        </w:tc>
        <w:tc>
          <w:tcPr>
            <w:tcW w:w="940" w:type="dxa"/>
            <w:vAlign w:val="bottom"/>
            <w:tcBorders>
              <w:bottom w:val="single" w:sz="8" w:color="E2E3E4"/>
            </w:tcBorders>
          </w:tcPr>
          <w:p>
            <w:pPr>
              <w:spacing w:after="0"/>
              <w:rPr>
                <w:sz w:val="3"/>
                <w:szCs w:val="3"/>
                <w:color w:val="auto"/>
              </w:rPr>
            </w:pPr>
          </w:p>
        </w:tc>
        <w:tc>
          <w:tcPr>
            <w:tcW w:w="1120" w:type="dxa"/>
            <w:vAlign w:val="bottom"/>
            <w:tcBorders>
              <w:bottom w:val="single" w:sz="8" w:color="E2E3E4"/>
            </w:tcBorders>
          </w:tcPr>
          <w:p>
            <w:pPr>
              <w:spacing w:after="0"/>
              <w:rPr>
                <w:sz w:val="3"/>
                <w:szCs w:val="3"/>
                <w:color w:val="auto"/>
              </w:rPr>
            </w:pPr>
          </w:p>
        </w:tc>
        <w:tc>
          <w:tcPr>
            <w:tcW w:w="1260" w:type="dxa"/>
            <w:vAlign w:val="bottom"/>
            <w:tcBorders>
              <w:bottom w:val="single" w:sz="8" w:color="E2E3E4"/>
            </w:tcBorders>
          </w:tcPr>
          <w:p>
            <w:pPr>
              <w:spacing w:after="0"/>
              <w:rPr>
                <w:sz w:val="3"/>
                <w:szCs w:val="3"/>
                <w:color w:val="auto"/>
              </w:rPr>
            </w:pPr>
          </w:p>
        </w:tc>
        <w:tc>
          <w:tcPr>
            <w:tcW w:w="1260" w:type="dxa"/>
            <w:vAlign w:val="bottom"/>
            <w:tcBorders>
              <w:bottom w:val="single" w:sz="8" w:color="E2E3E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80" w:hanging="180"/>
        <w:spacing w:after="0"/>
        <w:tabs>
          <w:tab w:leader="none" w:pos="180" w:val="left"/>
        </w:tabs>
        <w:numPr>
          <w:ilvl w:val="0"/>
          <w:numId w:val="75"/>
        </w:numPr>
        <w:rPr>
          <w:rFonts w:ascii="Arial" w:cs="Arial" w:eastAsia="Arial" w:hAnsi="Arial"/>
          <w:sz w:val="10"/>
          <w:szCs w:val="10"/>
          <w:color w:val="444A54"/>
        </w:rPr>
      </w:pPr>
      <w:r>
        <w:rPr>
          <w:rFonts w:ascii="Arial" w:cs="Arial" w:eastAsia="Arial" w:hAnsi="Arial"/>
          <w:sz w:val="13"/>
          <w:szCs w:val="13"/>
          <w:color w:val="444A54"/>
        </w:rPr>
        <w:t>In each of the years in question, Mr. Harton was our PEO and the remaining NEOs consisted of Messrs. Harralson, Bradshaw and Edwards and Ms. Davis Lux.</w:t>
      </w:r>
    </w:p>
    <w:p>
      <w:pPr>
        <w:spacing w:after="0" w:line="13" w:lineRule="exact"/>
        <w:rPr>
          <w:sz w:val="20"/>
          <w:szCs w:val="20"/>
          <w:color w:val="auto"/>
        </w:rPr>
      </w:pPr>
    </w:p>
    <w:p>
      <w:pPr>
        <w:ind w:left="180" w:right="220" w:hanging="180"/>
        <w:spacing w:after="0" w:line="220" w:lineRule="auto"/>
        <w:tabs>
          <w:tab w:leader="none" w:pos="180" w:val="left"/>
        </w:tabs>
        <w:numPr>
          <w:ilvl w:val="0"/>
          <w:numId w:val="76"/>
        </w:numPr>
        <w:rPr>
          <w:rFonts w:ascii="Arial" w:cs="Arial" w:eastAsia="Arial" w:hAnsi="Arial"/>
          <w:sz w:val="10"/>
          <w:szCs w:val="10"/>
          <w:color w:val="444A54"/>
        </w:rPr>
      </w:pPr>
      <w:r>
        <w:rPr>
          <w:rFonts w:ascii="Arial" w:cs="Arial" w:eastAsia="Arial" w:hAnsi="Arial"/>
          <w:sz w:val="13"/>
          <w:szCs w:val="13"/>
          <w:color w:val="444A54"/>
        </w:rPr>
        <w:t>Compensation Actually Paid is calculated in accordance with Item 402(v) of Regulation S-K and does not reflect compensation actually earned, realized or received by the Company’s NEOs. These amounts reflect the Summary Compensation Table Total Compensation, adjusted as described in footnote 3 below.</w:t>
      </w:r>
    </w:p>
    <w:p>
      <w:pPr>
        <w:spacing w:after="0" w:line="1" w:lineRule="exact"/>
        <w:rPr>
          <w:sz w:val="20"/>
          <w:szCs w:val="20"/>
          <w:color w:val="auto"/>
        </w:rPr>
      </w:pPr>
    </w:p>
    <w:p>
      <w:pPr>
        <w:ind w:left="180" w:right="20" w:hanging="180"/>
        <w:spacing w:after="0" w:line="227" w:lineRule="auto"/>
        <w:tabs>
          <w:tab w:leader="none" w:pos="180" w:val="left"/>
        </w:tabs>
        <w:numPr>
          <w:ilvl w:val="0"/>
          <w:numId w:val="77"/>
        </w:numPr>
        <w:rPr>
          <w:rFonts w:ascii="Arial" w:cs="Arial" w:eastAsia="Arial" w:hAnsi="Arial"/>
          <w:sz w:val="10"/>
          <w:szCs w:val="10"/>
          <w:color w:val="444A54"/>
        </w:rPr>
      </w:pPr>
      <w:r>
        <w:rPr>
          <w:rFonts w:ascii="Arial" w:cs="Arial" w:eastAsia="Arial" w:hAnsi="Arial"/>
          <w:sz w:val="13"/>
          <w:szCs w:val="13"/>
          <w:color w:val="444A54"/>
        </w:rPr>
        <w:t>Compensation Actually Paid reflects the exclusions and inclusions of certain amounts for the NEOs as set forth below. Equity values are calculated in accordance with FASB ASC Topic 718. Amounts in the Exclusion of Stock Awards column are the amounts set forth in the Stock Awards column of the Summary Compensation Table. Amounts in the Exclusion of Change in Pension Value column are the amounts set forth in the Change in Pension Value and Nonqualified Deferred Compensation Earnings column in the Summary Compensation Table. Amounts in the Inclusion of Pension Service Cost column are based on the service cost for services rendered during the listed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6077585</wp:posOffset>
            </wp:positionH>
            <wp:positionV relativeFrom="paragraph">
              <wp:posOffset>109855</wp:posOffset>
            </wp:positionV>
            <wp:extent cx="8255" cy="4133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109855</wp:posOffset>
            </wp:positionV>
            <wp:extent cx="8255" cy="4133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109855</wp:posOffset>
            </wp:positionV>
            <wp:extent cx="8255" cy="4133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109855</wp:posOffset>
            </wp:positionV>
            <wp:extent cx="8255" cy="4133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109855</wp:posOffset>
            </wp:positionV>
            <wp:extent cx="8255" cy="4133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109855</wp:posOffset>
            </wp:positionV>
            <wp:extent cx="8255" cy="4133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41338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 w:type="dxa"/>
            <w:vAlign w:val="bottom"/>
            <w:shd w:val="clear" w:color="auto" w:fill="007DB6"/>
          </w:tcPr>
          <w:p>
            <w:pPr>
              <w:spacing w:after="0"/>
              <w:rPr>
                <w:sz w:val="15"/>
                <w:szCs w:val="15"/>
                <w:color w:val="auto"/>
              </w:rPr>
            </w:pPr>
          </w:p>
        </w:tc>
        <w:tc>
          <w:tcPr>
            <w:tcW w:w="2000" w:type="dxa"/>
            <w:vAlign w:val="bottom"/>
            <w:shd w:val="clear" w:color="auto" w:fill="007DB6"/>
          </w:tcPr>
          <w:p>
            <w:pPr>
              <w:jc w:val="center"/>
              <w:ind w:right="57"/>
              <w:spacing w:after="0"/>
              <w:rPr>
                <w:sz w:val="20"/>
                <w:szCs w:val="20"/>
                <w:color w:val="auto"/>
              </w:rPr>
            </w:pPr>
            <w:r>
              <w:rPr>
                <w:rFonts w:ascii="Arial" w:cs="Arial" w:eastAsia="Arial" w:hAnsi="Arial"/>
                <w:sz w:val="13"/>
                <w:szCs w:val="13"/>
                <w:color w:val="FFFFFF"/>
                <w:w w:val="93"/>
              </w:rPr>
              <w:t>Summary</w:t>
            </w:r>
          </w:p>
        </w:tc>
        <w:tc>
          <w:tcPr>
            <w:tcW w:w="1780" w:type="dxa"/>
            <w:vAlign w:val="bottom"/>
            <w:vMerge w:val="restart"/>
            <w:shd w:val="clear" w:color="auto" w:fill="007DB6"/>
          </w:tcPr>
          <w:p>
            <w:pPr>
              <w:jc w:val="center"/>
              <w:ind w:right="97"/>
              <w:spacing w:after="0"/>
              <w:rPr>
                <w:sz w:val="20"/>
                <w:szCs w:val="20"/>
                <w:color w:val="auto"/>
              </w:rPr>
            </w:pPr>
            <w:r>
              <w:rPr>
                <w:rFonts w:ascii="Arial" w:cs="Arial" w:eastAsia="Arial" w:hAnsi="Arial"/>
                <w:sz w:val="13"/>
                <w:szCs w:val="13"/>
                <w:color w:val="FFFFFF"/>
                <w:w w:val="95"/>
              </w:rPr>
              <w:t>Exclusion of Change</w:t>
            </w:r>
          </w:p>
        </w:tc>
        <w:tc>
          <w:tcPr>
            <w:tcW w:w="1640" w:type="dxa"/>
            <w:vAlign w:val="bottom"/>
            <w:vMerge w:val="restart"/>
            <w:shd w:val="clear" w:color="auto" w:fill="007DB6"/>
          </w:tcPr>
          <w:p>
            <w:pPr>
              <w:jc w:val="center"/>
              <w:ind w:right="117"/>
              <w:spacing w:after="0"/>
              <w:rPr>
                <w:sz w:val="20"/>
                <w:szCs w:val="20"/>
                <w:color w:val="auto"/>
              </w:rPr>
            </w:pPr>
            <w:r>
              <w:rPr>
                <w:rFonts w:ascii="Arial" w:cs="Arial" w:eastAsia="Arial" w:hAnsi="Arial"/>
                <w:sz w:val="13"/>
                <w:szCs w:val="13"/>
                <w:color w:val="FFFFFF"/>
                <w:w w:val="95"/>
              </w:rPr>
              <w:t>Exclusion of Stock</w:t>
            </w:r>
          </w:p>
        </w:tc>
        <w:tc>
          <w:tcPr>
            <w:tcW w:w="1840" w:type="dxa"/>
            <w:vAlign w:val="bottom"/>
            <w:vMerge w:val="restart"/>
            <w:shd w:val="clear" w:color="auto" w:fill="007DB6"/>
          </w:tcPr>
          <w:p>
            <w:pPr>
              <w:jc w:val="center"/>
              <w:ind w:right="137"/>
              <w:spacing w:after="0"/>
              <w:rPr>
                <w:sz w:val="20"/>
                <w:szCs w:val="20"/>
                <w:color w:val="auto"/>
              </w:rPr>
            </w:pPr>
            <w:r>
              <w:rPr>
                <w:rFonts w:ascii="Arial" w:cs="Arial" w:eastAsia="Arial" w:hAnsi="Arial"/>
                <w:sz w:val="13"/>
                <w:szCs w:val="13"/>
                <w:color w:val="FFFFFF"/>
                <w:w w:val="96"/>
              </w:rPr>
              <w:t>Inclusion of Pension</w:t>
            </w:r>
          </w:p>
        </w:tc>
        <w:tc>
          <w:tcPr>
            <w:tcW w:w="1620" w:type="dxa"/>
            <w:vAlign w:val="bottom"/>
            <w:vMerge w:val="restart"/>
            <w:shd w:val="clear" w:color="auto" w:fill="007DB6"/>
          </w:tcPr>
          <w:p>
            <w:pPr>
              <w:jc w:val="center"/>
              <w:ind w:right="97"/>
              <w:spacing w:after="0"/>
              <w:rPr>
                <w:sz w:val="20"/>
                <w:szCs w:val="20"/>
                <w:color w:val="auto"/>
              </w:rPr>
            </w:pPr>
            <w:r>
              <w:rPr>
                <w:rFonts w:ascii="Arial" w:cs="Arial" w:eastAsia="Arial" w:hAnsi="Arial"/>
                <w:sz w:val="13"/>
                <w:szCs w:val="13"/>
                <w:color w:val="FFFFFF"/>
                <w:w w:val="96"/>
              </w:rPr>
              <w:t>Inclusion of Equity</w:t>
            </w:r>
          </w:p>
        </w:tc>
        <w:tc>
          <w:tcPr>
            <w:tcW w:w="1620" w:type="dxa"/>
            <w:vAlign w:val="bottom"/>
            <w:vMerge w:val="restart"/>
            <w:shd w:val="clear" w:color="auto" w:fill="007DB6"/>
          </w:tcPr>
          <w:p>
            <w:pPr>
              <w:jc w:val="center"/>
              <w:spacing w:after="0"/>
              <w:rPr>
                <w:sz w:val="20"/>
                <w:szCs w:val="20"/>
                <w:color w:val="auto"/>
              </w:rPr>
            </w:pPr>
            <w:r>
              <w:rPr>
                <w:rFonts w:ascii="Arial" w:cs="Arial" w:eastAsia="Arial" w:hAnsi="Arial"/>
                <w:sz w:val="13"/>
                <w:szCs w:val="13"/>
                <w:color w:val="FFFFFF"/>
                <w:w w:val="96"/>
              </w:rPr>
              <w:t>Compensation Actually</w:t>
            </w:r>
          </w:p>
        </w:tc>
        <w:tc>
          <w:tcPr>
            <w:tcW w:w="0" w:type="dxa"/>
            <w:vAlign w:val="bottom"/>
          </w:tcPr>
          <w:p>
            <w:pPr>
              <w:spacing w:after="0"/>
              <w:rPr>
                <w:sz w:val="1"/>
                <w:szCs w:val="1"/>
                <w:color w:val="auto"/>
              </w:rPr>
            </w:pPr>
          </w:p>
        </w:tc>
      </w:tr>
      <w:tr>
        <w:trPr>
          <w:trHeight w:val="63"/>
        </w:trPr>
        <w:tc>
          <w:tcPr>
            <w:tcW w:w="740" w:type="dxa"/>
            <w:vAlign w:val="bottom"/>
            <w:shd w:val="clear" w:color="auto" w:fill="007DB6"/>
          </w:tcPr>
          <w:p>
            <w:pPr>
              <w:spacing w:after="0"/>
              <w:rPr>
                <w:sz w:val="5"/>
                <w:szCs w:val="5"/>
                <w:color w:val="auto"/>
              </w:rPr>
            </w:pPr>
          </w:p>
        </w:tc>
        <w:tc>
          <w:tcPr>
            <w:tcW w:w="2000" w:type="dxa"/>
            <w:vAlign w:val="bottom"/>
            <w:vMerge w:val="restart"/>
            <w:shd w:val="clear" w:color="auto" w:fill="007DB6"/>
          </w:tcPr>
          <w:p>
            <w:pPr>
              <w:jc w:val="center"/>
              <w:ind w:right="37"/>
              <w:spacing w:after="0" w:line="138" w:lineRule="exact"/>
              <w:rPr>
                <w:sz w:val="20"/>
                <w:szCs w:val="20"/>
                <w:color w:val="auto"/>
              </w:rPr>
            </w:pPr>
            <w:r>
              <w:rPr>
                <w:rFonts w:ascii="Arial" w:cs="Arial" w:eastAsia="Arial" w:hAnsi="Arial"/>
                <w:sz w:val="13"/>
                <w:szCs w:val="13"/>
                <w:color w:val="FFFFFF"/>
                <w:w w:val="95"/>
              </w:rPr>
              <w:t>Compensation Table</w:t>
            </w:r>
          </w:p>
        </w:tc>
        <w:tc>
          <w:tcPr>
            <w:tcW w:w="1780" w:type="dxa"/>
            <w:vAlign w:val="bottom"/>
            <w:vMerge w:val="continue"/>
            <w:shd w:val="clear" w:color="auto" w:fill="007DB6"/>
          </w:tcPr>
          <w:p>
            <w:pPr>
              <w:spacing w:after="0"/>
              <w:rPr>
                <w:sz w:val="5"/>
                <w:szCs w:val="5"/>
                <w:color w:val="auto"/>
              </w:rPr>
            </w:pPr>
          </w:p>
        </w:tc>
        <w:tc>
          <w:tcPr>
            <w:tcW w:w="1640" w:type="dxa"/>
            <w:vAlign w:val="bottom"/>
            <w:vMerge w:val="continue"/>
            <w:shd w:val="clear" w:color="auto" w:fill="007DB6"/>
          </w:tcPr>
          <w:p>
            <w:pPr>
              <w:spacing w:after="0"/>
              <w:rPr>
                <w:sz w:val="5"/>
                <w:szCs w:val="5"/>
                <w:color w:val="auto"/>
              </w:rPr>
            </w:pPr>
          </w:p>
        </w:tc>
        <w:tc>
          <w:tcPr>
            <w:tcW w:w="1840" w:type="dxa"/>
            <w:vAlign w:val="bottom"/>
            <w:vMerge w:val="continue"/>
            <w:shd w:val="clear" w:color="auto" w:fill="007DB6"/>
          </w:tcPr>
          <w:p>
            <w:pPr>
              <w:spacing w:after="0"/>
              <w:rPr>
                <w:sz w:val="5"/>
                <w:szCs w:val="5"/>
                <w:color w:val="auto"/>
              </w:rPr>
            </w:pPr>
          </w:p>
        </w:tc>
        <w:tc>
          <w:tcPr>
            <w:tcW w:w="1620" w:type="dxa"/>
            <w:vAlign w:val="bottom"/>
            <w:vMerge w:val="continue"/>
            <w:shd w:val="clear" w:color="auto" w:fill="007DB6"/>
          </w:tcPr>
          <w:p>
            <w:pPr>
              <w:spacing w:after="0"/>
              <w:rPr>
                <w:sz w:val="5"/>
                <w:szCs w:val="5"/>
                <w:color w:val="auto"/>
              </w:rPr>
            </w:pPr>
          </w:p>
        </w:tc>
        <w:tc>
          <w:tcPr>
            <w:tcW w:w="1620" w:type="dxa"/>
            <w:vAlign w:val="bottom"/>
            <w:vMerge w:val="continue"/>
            <w:shd w:val="clear" w:color="auto" w:fill="007DB6"/>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40" w:type="dxa"/>
            <w:vAlign w:val="bottom"/>
            <w:vMerge w:val="restart"/>
            <w:shd w:val="clear" w:color="auto" w:fill="007DB6"/>
          </w:tcPr>
          <w:p>
            <w:pPr>
              <w:ind w:left="220"/>
              <w:spacing w:after="0" w:line="138" w:lineRule="exact"/>
              <w:rPr>
                <w:sz w:val="20"/>
                <w:szCs w:val="20"/>
                <w:color w:val="auto"/>
              </w:rPr>
            </w:pPr>
            <w:r>
              <w:rPr>
                <w:rFonts w:ascii="Arial" w:cs="Arial" w:eastAsia="Arial" w:hAnsi="Arial"/>
                <w:sz w:val="13"/>
                <w:szCs w:val="13"/>
                <w:color w:val="FFFFFF"/>
              </w:rPr>
              <w:t>Year</w:t>
            </w:r>
          </w:p>
        </w:tc>
        <w:tc>
          <w:tcPr>
            <w:tcW w:w="2000" w:type="dxa"/>
            <w:vAlign w:val="bottom"/>
            <w:vMerge w:val="continue"/>
            <w:shd w:val="clear" w:color="auto" w:fill="007DB6"/>
          </w:tcPr>
          <w:p>
            <w:pPr>
              <w:spacing w:after="0"/>
              <w:rPr>
                <w:sz w:val="6"/>
                <w:szCs w:val="6"/>
                <w:color w:val="auto"/>
              </w:rPr>
            </w:pPr>
          </w:p>
        </w:tc>
        <w:tc>
          <w:tcPr>
            <w:tcW w:w="1780" w:type="dxa"/>
            <w:vAlign w:val="bottom"/>
            <w:vMerge w:val="restart"/>
            <w:shd w:val="clear" w:color="auto" w:fill="007DB6"/>
          </w:tcPr>
          <w:p>
            <w:pPr>
              <w:jc w:val="center"/>
              <w:ind w:right="97"/>
              <w:spacing w:after="0" w:line="138" w:lineRule="exact"/>
              <w:rPr>
                <w:sz w:val="20"/>
                <w:szCs w:val="20"/>
                <w:color w:val="auto"/>
              </w:rPr>
            </w:pPr>
            <w:r>
              <w:rPr>
                <w:rFonts w:ascii="Arial" w:cs="Arial" w:eastAsia="Arial" w:hAnsi="Arial"/>
                <w:sz w:val="13"/>
                <w:szCs w:val="13"/>
                <w:color w:val="FFFFFF"/>
                <w:w w:val="94"/>
              </w:rPr>
              <w:t>in Pension Value for H.</w:t>
            </w:r>
          </w:p>
        </w:tc>
        <w:tc>
          <w:tcPr>
            <w:tcW w:w="1640" w:type="dxa"/>
            <w:vAlign w:val="bottom"/>
            <w:vMerge w:val="restart"/>
            <w:shd w:val="clear" w:color="auto" w:fill="007DB6"/>
          </w:tcPr>
          <w:p>
            <w:pPr>
              <w:jc w:val="center"/>
              <w:ind w:right="117"/>
              <w:spacing w:after="0" w:line="138" w:lineRule="exact"/>
              <w:rPr>
                <w:sz w:val="20"/>
                <w:szCs w:val="20"/>
                <w:color w:val="auto"/>
              </w:rPr>
            </w:pPr>
            <w:r>
              <w:rPr>
                <w:rFonts w:ascii="Arial" w:cs="Arial" w:eastAsia="Arial" w:hAnsi="Arial"/>
                <w:sz w:val="13"/>
                <w:szCs w:val="13"/>
                <w:color w:val="FFFFFF"/>
                <w:w w:val="95"/>
              </w:rPr>
              <w:t>Awards for H. Lynn</w:t>
            </w:r>
          </w:p>
        </w:tc>
        <w:tc>
          <w:tcPr>
            <w:tcW w:w="1840" w:type="dxa"/>
            <w:vAlign w:val="bottom"/>
            <w:vMerge w:val="restart"/>
            <w:shd w:val="clear" w:color="auto" w:fill="007DB6"/>
          </w:tcPr>
          <w:p>
            <w:pPr>
              <w:jc w:val="center"/>
              <w:ind w:right="157"/>
              <w:spacing w:after="0" w:line="138" w:lineRule="exact"/>
              <w:rPr>
                <w:sz w:val="20"/>
                <w:szCs w:val="20"/>
                <w:color w:val="auto"/>
              </w:rPr>
            </w:pPr>
            <w:r>
              <w:rPr>
                <w:rFonts w:ascii="Arial" w:cs="Arial" w:eastAsia="Arial" w:hAnsi="Arial"/>
                <w:sz w:val="13"/>
                <w:szCs w:val="13"/>
                <w:color w:val="FFFFFF"/>
                <w:w w:val="95"/>
              </w:rPr>
              <w:t>Service Cost for H. Lynn</w:t>
            </w:r>
          </w:p>
        </w:tc>
        <w:tc>
          <w:tcPr>
            <w:tcW w:w="1620" w:type="dxa"/>
            <w:vAlign w:val="bottom"/>
            <w:vMerge w:val="restart"/>
            <w:shd w:val="clear" w:color="auto" w:fill="007DB6"/>
          </w:tcPr>
          <w:p>
            <w:pPr>
              <w:jc w:val="center"/>
              <w:ind w:right="97"/>
              <w:spacing w:after="0" w:line="138" w:lineRule="exact"/>
              <w:rPr>
                <w:sz w:val="20"/>
                <w:szCs w:val="20"/>
                <w:color w:val="auto"/>
              </w:rPr>
            </w:pPr>
            <w:r>
              <w:rPr>
                <w:rFonts w:ascii="Arial" w:cs="Arial" w:eastAsia="Arial" w:hAnsi="Arial"/>
                <w:sz w:val="13"/>
                <w:szCs w:val="13"/>
                <w:color w:val="FFFFFF"/>
                <w:w w:val="95"/>
              </w:rPr>
              <w:t>Values for H. Lynn</w:t>
            </w:r>
          </w:p>
        </w:tc>
        <w:tc>
          <w:tcPr>
            <w:tcW w:w="1620" w:type="dxa"/>
            <w:vAlign w:val="bottom"/>
            <w:vMerge w:val="restart"/>
            <w:shd w:val="clear" w:color="auto" w:fill="007DB6"/>
          </w:tcPr>
          <w:p>
            <w:pPr>
              <w:jc w:val="center"/>
              <w:spacing w:after="0" w:line="138" w:lineRule="exact"/>
              <w:rPr>
                <w:sz w:val="20"/>
                <w:szCs w:val="20"/>
                <w:color w:val="auto"/>
              </w:rPr>
            </w:pPr>
            <w:r>
              <w:rPr>
                <w:rFonts w:ascii="Arial" w:cs="Arial" w:eastAsia="Arial" w:hAnsi="Arial"/>
                <w:sz w:val="13"/>
                <w:szCs w:val="13"/>
                <w:color w:val="FFFFFF"/>
                <w:w w:val="95"/>
              </w:rPr>
              <w:t>Paid to H. Lynn Harton</w:t>
            </w:r>
          </w:p>
        </w:tc>
        <w:tc>
          <w:tcPr>
            <w:tcW w:w="0" w:type="dxa"/>
            <w:vAlign w:val="bottom"/>
          </w:tcPr>
          <w:p>
            <w:pPr>
              <w:spacing w:after="0"/>
              <w:rPr>
                <w:sz w:val="1"/>
                <w:szCs w:val="1"/>
                <w:color w:val="auto"/>
              </w:rPr>
            </w:pPr>
          </w:p>
        </w:tc>
      </w:tr>
      <w:tr>
        <w:trPr>
          <w:trHeight w:val="63"/>
        </w:trPr>
        <w:tc>
          <w:tcPr>
            <w:tcW w:w="740" w:type="dxa"/>
            <w:vAlign w:val="bottom"/>
            <w:vMerge w:val="continue"/>
            <w:shd w:val="clear" w:color="auto" w:fill="007DB6"/>
          </w:tcPr>
          <w:p>
            <w:pPr>
              <w:spacing w:after="0"/>
              <w:rPr>
                <w:sz w:val="5"/>
                <w:szCs w:val="5"/>
                <w:color w:val="auto"/>
              </w:rPr>
            </w:pPr>
          </w:p>
        </w:tc>
        <w:tc>
          <w:tcPr>
            <w:tcW w:w="2000" w:type="dxa"/>
            <w:vAlign w:val="bottom"/>
            <w:vMerge w:val="restart"/>
            <w:shd w:val="clear" w:color="auto" w:fill="007DB6"/>
          </w:tcPr>
          <w:p>
            <w:pPr>
              <w:jc w:val="center"/>
              <w:ind w:right="57"/>
              <w:spacing w:after="0" w:line="138" w:lineRule="exact"/>
              <w:rPr>
                <w:sz w:val="20"/>
                <w:szCs w:val="20"/>
                <w:color w:val="auto"/>
              </w:rPr>
            </w:pPr>
            <w:r>
              <w:rPr>
                <w:rFonts w:ascii="Arial" w:cs="Arial" w:eastAsia="Arial" w:hAnsi="Arial"/>
                <w:sz w:val="13"/>
                <w:szCs w:val="13"/>
                <w:color w:val="FFFFFF"/>
                <w:w w:val="95"/>
              </w:rPr>
              <w:t>Total for H. Lynn Harton</w:t>
            </w:r>
          </w:p>
        </w:tc>
        <w:tc>
          <w:tcPr>
            <w:tcW w:w="1780" w:type="dxa"/>
            <w:vAlign w:val="bottom"/>
            <w:vMerge w:val="continue"/>
            <w:shd w:val="clear" w:color="auto" w:fill="007DB6"/>
          </w:tcPr>
          <w:p>
            <w:pPr>
              <w:spacing w:after="0"/>
              <w:rPr>
                <w:sz w:val="5"/>
                <w:szCs w:val="5"/>
                <w:color w:val="auto"/>
              </w:rPr>
            </w:pPr>
          </w:p>
        </w:tc>
        <w:tc>
          <w:tcPr>
            <w:tcW w:w="1640" w:type="dxa"/>
            <w:vAlign w:val="bottom"/>
            <w:vMerge w:val="continue"/>
            <w:shd w:val="clear" w:color="auto" w:fill="007DB6"/>
          </w:tcPr>
          <w:p>
            <w:pPr>
              <w:spacing w:after="0"/>
              <w:rPr>
                <w:sz w:val="5"/>
                <w:szCs w:val="5"/>
                <w:color w:val="auto"/>
              </w:rPr>
            </w:pPr>
          </w:p>
        </w:tc>
        <w:tc>
          <w:tcPr>
            <w:tcW w:w="1840" w:type="dxa"/>
            <w:vAlign w:val="bottom"/>
            <w:vMerge w:val="continue"/>
            <w:shd w:val="clear" w:color="auto" w:fill="007DB6"/>
          </w:tcPr>
          <w:p>
            <w:pPr>
              <w:spacing w:after="0"/>
              <w:rPr>
                <w:sz w:val="5"/>
                <w:szCs w:val="5"/>
                <w:color w:val="auto"/>
              </w:rPr>
            </w:pPr>
          </w:p>
        </w:tc>
        <w:tc>
          <w:tcPr>
            <w:tcW w:w="1620" w:type="dxa"/>
            <w:vAlign w:val="bottom"/>
            <w:vMerge w:val="continue"/>
            <w:shd w:val="clear" w:color="auto" w:fill="007DB6"/>
          </w:tcPr>
          <w:p>
            <w:pPr>
              <w:spacing w:after="0"/>
              <w:rPr>
                <w:sz w:val="5"/>
                <w:szCs w:val="5"/>
                <w:color w:val="auto"/>
              </w:rPr>
            </w:pPr>
          </w:p>
        </w:tc>
        <w:tc>
          <w:tcPr>
            <w:tcW w:w="1620" w:type="dxa"/>
            <w:vAlign w:val="bottom"/>
            <w:vMerge w:val="continue"/>
            <w:shd w:val="clear" w:color="auto" w:fill="007DB6"/>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40" w:type="dxa"/>
            <w:vAlign w:val="bottom"/>
            <w:shd w:val="clear" w:color="auto" w:fill="007DB6"/>
          </w:tcPr>
          <w:p>
            <w:pPr>
              <w:spacing w:after="0"/>
              <w:rPr>
                <w:sz w:val="6"/>
                <w:szCs w:val="6"/>
                <w:color w:val="auto"/>
              </w:rPr>
            </w:pPr>
          </w:p>
        </w:tc>
        <w:tc>
          <w:tcPr>
            <w:tcW w:w="2000" w:type="dxa"/>
            <w:vAlign w:val="bottom"/>
            <w:vMerge w:val="continue"/>
            <w:shd w:val="clear" w:color="auto" w:fill="007DB6"/>
          </w:tcPr>
          <w:p>
            <w:pPr>
              <w:spacing w:after="0"/>
              <w:rPr>
                <w:sz w:val="6"/>
                <w:szCs w:val="6"/>
                <w:color w:val="auto"/>
              </w:rPr>
            </w:pPr>
          </w:p>
        </w:tc>
        <w:tc>
          <w:tcPr>
            <w:tcW w:w="1780" w:type="dxa"/>
            <w:vAlign w:val="bottom"/>
            <w:vMerge w:val="restart"/>
            <w:shd w:val="clear" w:color="auto" w:fill="007DB6"/>
          </w:tcPr>
          <w:p>
            <w:pPr>
              <w:jc w:val="center"/>
              <w:ind w:right="97"/>
              <w:spacing w:after="0"/>
              <w:rPr>
                <w:sz w:val="20"/>
                <w:szCs w:val="20"/>
                <w:color w:val="auto"/>
              </w:rPr>
            </w:pPr>
            <w:r>
              <w:rPr>
                <w:rFonts w:ascii="Arial" w:cs="Arial" w:eastAsia="Arial" w:hAnsi="Arial"/>
                <w:sz w:val="13"/>
                <w:szCs w:val="13"/>
                <w:color w:val="FFFFFF"/>
                <w:w w:val="95"/>
              </w:rPr>
              <w:t>Lynn Harton ($)</w:t>
            </w:r>
          </w:p>
        </w:tc>
        <w:tc>
          <w:tcPr>
            <w:tcW w:w="1640" w:type="dxa"/>
            <w:vAlign w:val="bottom"/>
            <w:vMerge w:val="restart"/>
            <w:shd w:val="clear" w:color="auto" w:fill="007DB6"/>
          </w:tcPr>
          <w:p>
            <w:pPr>
              <w:jc w:val="center"/>
              <w:ind w:right="137"/>
              <w:spacing w:after="0"/>
              <w:rPr>
                <w:sz w:val="20"/>
                <w:szCs w:val="20"/>
                <w:color w:val="auto"/>
              </w:rPr>
            </w:pPr>
            <w:r>
              <w:rPr>
                <w:rFonts w:ascii="Arial" w:cs="Arial" w:eastAsia="Arial" w:hAnsi="Arial"/>
                <w:sz w:val="13"/>
                <w:szCs w:val="13"/>
                <w:color w:val="FFFFFF"/>
                <w:w w:val="95"/>
              </w:rPr>
              <w:t>Harton ($)</w:t>
            </w:r>
          </w:p>
        </w:tc>
        <w:tc>
          <w:tcPr>
            <w:tcW w:w="1840" w:type="dxa"/>
            <w:vAlign w:val="bottom"/>
            <w:vMerge w:val="restart"/>
            <w:shd w:val="clear" w:color="auto" w:fill="007DB6"/>
          </w:tcPr>
          <w:p>
            <w:pPr>
              <w:jc w:val="center"/>
              <w:ind w:right="137"/>
              <w:spacing w:after="0"/>
              <w:rPr>
                <w:sz w:val="20"/>
                <w:szCs w:val="20"/>
                <w:color w:val="auto"/>
              </w:rPr>
            </w:pPr>
            <w:r>
              <w:rPr>
                <w:rFonts w:ascii="Arial" w:cs="Arial" w:eastAsia="Arial" w:hAnsi="Arial"/>
                <w:sz w:val="13"/>
                <w:szCs w:val="13"/>
                <w:color w:val="FFFFFF"/>
                <w:w w:val="95"/>
              </w:rPr>
              <w:t>Harton ($)</w:t>
            </w:r>
          </w:p>
        </w:tc>
        <w:tc>
          <w:tcPr>
            <w:tcW w:w="1620" w:type="dxa"/>
            <w:vAlign w:val="bottom"/>
            <w:vMerge w:val="restart"/>
            <w:shd w:val="clear" w:color="auto" w:fill="007DB6"/>
          </w:tcPr>
          <w:p>
            <w:pPr>
              <w:jc w:val="center"/>
              <w:ind w:right="97"/>
              <w:spacing w:after="0"/>
              <w:rPr>
                <w:sz w:val="20"/>
                <w:szCs w:val="20"/>
                <w:color w:val="auto"/>
              </w:rPr>
            </w:pPr>
            <w:r>
              <w:rPr>
                <w:rFonts w:ascii="Arial" w:cs="Arial" w:eastAsia="Arial" w:hAnsi="Arial"/>
                <w:sz w:val="13"/>
                <w:szCs w:val="13"/>
                <w:color w:val="FFFFFF"/>
                <w:w w:val="97"/>
              </w:rPr>
              <w:t>Harton ($)*</w:t>
            </w:r>
          </w:p>
        </w:tc>
        <w:tc>
          <w:tcPr>
            <w:tcW w:w="1620" w:type="dxa"/>
            <w:vAlign w:val="bottom"/>
            <w:vMerge w:val="restart"/>
            <w:shd w:val="clear" w:color="auto" w:fill="007DB6"/>
          </w:tcPr>
          <w:p>
            <w:pPr>
              <w:jc w:val="center"/>
              <w:spacing w:after="0"/>
              <w:rPr>
                <w:sz w:val="20"/>
                <w:szCs w:val="20"/>
                <w:color w:val="auto"/>
              </w:rPr>
            </w:pPr>
            <w:r>
              <w:rPr>
                <w:rFonts w:ascii="Arial" w:cs="Arial" w:eastAsia="Arial" w:hAnsi="Arial"/>
                <w:sz w:val="13"/>
                <w:szCs w:val="13"/>
                <w:color w:val="FFFFFF"/>
              </w:rPr>
              <w:t>($)</w:t>
            </w:r>
          </w:p>
        </w:tc>
        <w:tc>
          <w:tcPr>
            <w:tcW w:w="0" w:type="dxa"/>
            <w:vAlign w:val="bottom"/>
          </w:tcPr>
          <w:p>
            <w:pPr>
              <w:spacing w:after="0"/>
              <w:rPr>
                <w:sz w:val="1"/>
                <w:szCs w:val="1"/>
                <w:color w:val="auto"/>
              </w:rPr>
            </w:pPr>
          </w:p>
        </w:tc>
      </w:tr>
      <w:tr>
        <w:trPr>
          <w:trHeight w:val="90"/>
        </w:trPr>
        <w:tc>
          <w:tcPr>
            <w:tcW w:w="740" w:type="dxa"/>
            <w:vAlign w:val="bottom"/>
            <w:shd w:val="clear" w:color="auto" w:fill="007DB6"/>
          </w:tcPr>
          <w:p>
            <w:pPr>
              <w:spacing w:after="0"/>
              <w:rPr>
                <w:sz w:val="7"/>
                <w:szCs w:val="7"/>
                <w:color w:val="auto"/>
              </w:rPr>
            </w:pPr>
          </w:p>
        </w:tc>
        <w:tc>
          <w:tcPr>
            <w:tcW w:w="2000" w:type="dxa"/>
            <w:vAlign w:val="bottom"/>
            <w:vMerge w:val="restart"/>
            <w:shd w:val="clear" w:color="auto" w:fill="007DB6"/>
          </w:tcPr>
          <w:p>
            <w:pPr>
              <w:jc w:val="center"/>
              <w:ind w:right="17"/>
              <w:spacing w:after="0"/>
              <w:rPr>
                <w:sz w:val="20"/>
                <w:szCs w:val="20"/>
                <w:color w:val="auto"/>
              </w:rPr>
            </w:pPr>
            <w:r>
              <w:rPr>
                <w:rFonts w:ascii="Arial" w:cs="Arial" w:eastAsia="Arial" w:hAnsi="Arial"/>
                <w:sz w:val="13"/>
                <w:szCs w:val="13"/>
                <w:color w:val="FFFFFF"/>
              </w:rPr>
              <w:t>($)</w:t>
            </w:r>
          </w:p>
        </w:tc>
        <w:tc>
          <w:tcPr>
            <w:tcW w:w="1780" w:type="dxa"/>
            <w:vAlign w:val="bottom"/>
            <w:vMerge w:val="continue"/>
            <w:shd w:val="clear" w:color="auto" w:fill="007DB6"/>
          </w:tcPr>
          <w:p>
            <w:pPr>
              <w:spacing w:after="0"/>
              <w:rPr>
                <w:sz w:val="7"/>
                <w:szCs w:val="7"/>
                <w:color w:val="auto"/>
              </w:rPr>
            </w:pPr>
          </w:p>
        </w:tc>
        <w:tc>
          <w:tcPr>
            <w:tcW w:w="1640" w:type="dxa"/>
            <w:vAlign w:val="bottom"/>
            <w:vMerge w:val="continue"/>
            <w:shd w:val="clear" w:color="auto" w:fill="007DB6"/>
          </w:tcPr>
          <w:p>
            <w:pPr>
              <w:spacing w:after="0"/>
              <w:rPr>
                <w:sz w:val="7"/>
                <w:szCs w:val="7"/>
                <w:color w:val="auto"/>
              </w:rPr>
            </w:pPr>
          </w:p>
        </w:tc>
        <w:tc>
          <w:tcPr>
            <w:tcW w:w="1840" w:type="dxa"/>
            <w:vAlign w:val="bottom"/>
            <w:vMerge w:val="continue"/>
            <w:shd w:val="clear" w:color="auto" w:fill="007DB6"/>
          </w:tcPr>
          <w:p>
            <w:pPr>
              <w:spacing w:after="0"/>
              <w:rPr>
                <w:sz w:val="7"/>
                <w:szCs w:val="7"/>
                <w:color w:val="auto"/>
              </w:rPr>
            </w:pPr>
          </w:p>
        </w:tc>
        <w:tc>
          <w:tcPr>
            <w:tcW w:w="1620" w:type="dxa"/>
            <w:vAlign w:val="bottom"/>
            <w:vMerge w:val="continue"/>
            <w:shd w:val="clear" w:color="auto" w:fill="007DB6"/>
          </w:tcPr>
          <w:p>
            <w:pPr>
              <w:spacing w:after="0"/>
              <w:rPr>
                <w:sz w:val="7"/>
                <w:szCs w:val="7"/>
                <w:color w:val="auto"/>
              </w:rPr>
            </w:pPr>
          </w:p>
        </w:tc>
        <w:tc>
          <w:tcPr>
            <w:tcW w:w="1620" w:type="dxa"/>
            <w:vAlign w:val="bottom"/>
            <w:vMerge w:val="continue"/>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40" w:type="dxa"/>
            <w:vAlign w:val="bottom"/>
            <w:tcBorders>
              <w:bottom w:val="single" w:sz="8" w:color="007DB6"/>
            </w:tcBorders>
            <w:shd w:val="clear" w:color="auto" w:fill="007DB6"/>
          </w:tcPr>
          <w:p>
            <w:pPr>
              <w:spacing w:after="0"/>
              <w:rPr>
                <w:sz w:val="7"/>
                <w:szCs w:val="7"/>
                <w:color w:val="auto"/>
              </w:rPr>
            </w:pPr>
          </w:p>
        </w:tc>
        <w:tc>
          <w:tcPr>
            <w:tcW w:w="2000" w:type="dxa"/>
            <w:vAlign w:val="bottom"/>
            <w:tcBorders>
              <w:bottom w:val="single" w:sz="8" w:color="007DB6"/>
            </w:tcBorders>
            <w:vMerge w:val="continue"/>
            <w:shd w:val="clear" w:color="auto" w:fill="007DB6"/>
          </w:tcPr>
          <w:p>
            <w:pPr>
              <w:spacing w:after="0"/>
              <w:rPr>
                <w:sz w:val="7"/>
                <w:szCs w:val="7"/>
                <w:color w:val="auto"/>
              </w:rPr>
            </w:pPr>
          </w:p>
        </w:tc>
        <w:tc>
          <w:tcPr>
            <w:tcW w:w="1780" w:type="dxa"/>
            <w:vAlign w:val="bottom"/>
            <w:tcBorders>
              <w:bottom w:val="single" w:sz="8" w:color="007DB6"/>
            </w:tcBorders>
            <w:shd w:val="clear" w:color="auto" w:fill="007DB6"/>
          </w:tcPr>
          <w:p>
            <w:pPr>
              <w:spacing w:after="0"/>
              <w:rPr>
                <w:sz w:val="7"/>
                <w:szCs w:val="7"/>
                <w:color w:val="auto"/>
              </w:rPr>
            </w:pPr>
          </w:p>
        </w:tc>
        <w:tc>
          <w:tcPr>
            <w:tcW w:w="1640" w:type="dxa"/>
            <w:vAlign w:val="bottom"/>
            <w:tcBorders>
              <w:bottom w:val="single" w:sz="8" w:color="007DB6"/>
            </w:tcBorders>
            <w:shd w:val="clear" w:color="auto" w:fill="007DB6"/>
          </w:tcPr>
          <w:p>
            <w:pPr>
              <w:spacing w:after="0"/>
              <w:rPr>
                <w:sz w:val="7"/>
                <w:szCs w:val="7"/>
                <w:color w:val="auto"/>
              </w:rPr>
            </w:pPr>
          </w:p>
        </w:tc>
        <w:tc>
          <w:tcPr>
            <w:tcW w:w="1840" w:type="dxa"/>
            <w:vAlign w:val="bottom"/>
            <w:tcBorders>
              <w:bottom w:val="single" w:sz="8" w:color="007DB6"/>
            </w:tcBorders>
            <w:shd w:val="clear" w:color="auto" w:fill="007DB6"/>
          </w:tcPr>
          <w:p>
            <w:pPr>
              <w:spacing w:after="0"/>
              <w:rPr>
                <w:sz w:val="7"/>
                <w:szCs w:val="7"/>
                <w:color w:val="auto"/>
              </w:rPr>
            </w:pPr>
          </w:p>
        </w:tc>
        <w:tc>
          <w:tcPr>
            <w:tcW w:w="1620" w:type="dxa"/>
            <w:vAlign w:val="bottom"/>
            <w:tcBorders>
              <w:bottom w:val="single" w:sz="8" w:color="007DB6"/>
            </w:tcBorders>
            <w:shd w:val="clear" w:color="auto" w:fill="007DB6"/>
          </w:tcPr>
          <w:p>
            <w:pPr>
              <w:spacing w:after="0"/>
              <w:rPr>
                <w:sz w:val="7"/>
                <w:szCs w:val="7"/>
                <w:color w:val="auto"/>
              </w:rPr>
            </w:pPr>
          </w:p>
        </w:tc>
        <w:tc>
          <w:tcPr>
            <w:tcW w:w="1620" w:type="dxa"/>
            <w:vAlign w:val="bottom"/>
            <w:tcBorders>
              <w:bottom w:val="single" w:sz="8" w:color="007DB6"/>
            </w:tcBorders>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740" w:type="dxa"/>
            <w:vAlign w:val="bottom"/>
            <w:tcBorders>
              <w:bottom w:val="single" w:sz="8" w:color="E1E2E2"/>
            </w:tcBorders>
            <w:shd w:val="clear" w:color="auto" w:fill="E1E2E2"/>
          </w:tcPr>
          <w:p>
            <w:pPr>
              <w:ind w:left="200"/>
              <w:spacing w:after="0"/>
              <w:rPr>
                <w:sz w:val="20"/>
                <w:szCs w:val="20"/>
                <w:color w:val="auto"/>
              </w:rPr>
            </w:pPr>
            <w:r>
              <w:rPr>
                <w:rFonts w:ascii="Arial" w:cs="Arial" w:eastAsia="Arial" w:hAnsi="Arial"/>
                <w:sz w:val="13"/>
                <w:szCs w:val="13"/>
                <w:color w:val="474C55"/>
              </w:rPr>
              <w:t>2024</w:t>
            </w:r>
          </w:p>
        </w:tc>
        <w:tc>
          <w:tcPr>
            <w:tcW w:w="2000" w:type="dxa"/>
            <w:vAlign w:val="bottom"/>
            <w:tcBorders>
              <w:bottom w:val="single" w:sz="8" w:color="E1E2E2"/>
            </w:tcBorders>
            <w:shd w:val="clear" w:color="auto" w:fill="E1E2E2"/>
          </w:tcPr>
          <w:p>
            <w:pPr>
              <w:jc w:val="right"/>
              <w:ind w:right="17"/>
              <w:spacing w:after="0"/>
              <w:rPr>
                <w:sz w:val="20"/>
                <w:szCs w:val="20"/>
                <w:color w:val="auto"/>
              </w:rPr>
            </w:pPr>
            <w:r>
              <w:rPr>
                <w:rFonts w:ascii="Arial" w:cs="Arial" w:eastAsia="Arial" w:hAnsi="Arial"/>
                <w:sz w:val="13"/>
                <w:szCs w:val="13"/>
                <w:color w:val="474C55"/>
              </w:rPr>
              <w:t>$ 4,919,248</w:t>
            </w:r>
          </w:p>
        </w:tc>
        <w:tc>
          <w:tcPr>
            <w:tcW w:w="1780" w:type="dxa"/>
            <w:vAlign w:val="bottom"/>
            <w:tcBorders>
              <w:bottom w:val="single" w:sz="8" w:color="E1E2E2"/>
            </w:tcBorders>
            <w:shd w:val="clear" w:color="auto" w:fill="E1E2E2"/>
          </w:tcPr>
          <w:p>
            <w:pPr>
              <w:jc w:val="right"/>
              <w:ind w:right="117"/>
              <w:spacing w:after="0"/>
              <w:rPr>
                <w:sz w:val="20"/>
                <w:szCs w:val="20"/>
                <w:color w:val="auto"/>
              </w:rPr>
            </w:pPr>
            <w:r>
              <w:rPr>
                <w:rFonts w:ascii="Arial" w:cs="Arial" w:eastAsia="Arial" w:hAnsi="Arial"/>
                <w:sz w:val="13"/>
                <w:szCs w:val="13"/>
                <w:color w:val="474C55"/>
              </w:rPr>
              <w:t>$ -</w:t>
            </w:r>
          </w:p>
        </w:tc>
        <w:tc>
          <w:tcPr>
            <w:tcW w:w="1640" w:type="dxa"/>
            <w:vAlign w:val="bottom"/>
            <w:tcBorders>
              <w:bottom w:val="single" w:sz="8" w:color="E1E2E2"/>
            </w:tcBorders>
            <w:shd w:val="clear" w:color="auto" w:fill="E1E2E2"/>
          </w:tcPr>
          <w:p>
            <w:pPr>
              <w:jc w:val="right"/>
              <w:ind w:right="57"/>
              <w:spacing w:after="0"/>
              <w:rPr>
                <w:sz w:val="20"/>
                <w:szCs w:val="20"/>
                <w:color w:val="auto"/>
              </w:rPr>
            </w:pPr>
            <w:r>
              <w:rPr>
                <w:rFonts w:ascii="Arial" w:cs="Arial" w:eastAsia="Arial" w:hAnsi="Arial"/>
                <w:sz w:val="13"/>
                <w:szCs w:val="13"/>
                <w:color w:val="474C55"/>
              </w:rPr>
              <w:t>$ (2,149,958)</w:t>
            </w:r>
          </w:p>
        </w:tc>
        <w:tc>
          <w:tcPr>
            <w:tcW w:w="1840" w:type="dxa"/>
            <w:vAlign w:val="bottom"/>
            <w:tcBorders>
              <w:bottom w:val="single" w:sz="8" w:color="E1E2E2"/>
            </w:tcBorders>
            <w:shd w:val="clear" w:color="auto" w:fill="E1E2E2"/>
          </w:tcPr>
          <w:p>
            <w:pPr>
              <w:jc w:val="right"/>
              <w:ind w:right="97"/>
              <w:spacing w:after="0"/>
              <w:rPr>
                <w:sz w:val="20"/>
                <w:szCs w:val="20"/>
                <w:color w:val="auto"/>
              </w:rPr>
            </w:pPr>
            <w:r>
              <w:rPr>
                <w:rFonts w:ascii="Arial" w:cs="Arial" w:eastAsia="Arial" w:hAnsi="Arial"/>
                <w:sz w:val="13"/>
                <w:szCs w:val="13"/>
                <w:color w:val="474C55"/>
              </w:rPr>
              <w:t>$ 191,435</w:t>
            </w:r>
          </w:p>
        </w:tc>
        <w:tc>
          <w:tcPr>
            <w:tcW w:w="1620" w:type="dxa"/>
            <w:vAlign w:val="bottom"/>
            <w:tcBorders>
              <w:bottom w:val="single" w:sz="8" w:color="E1E2E2"/>
            </w:tcBorders>
            <w:shd w:val="clear" w:color="auto" w:fill="E1E2E2"/>
          </w:tcPr>
          <w:p>
            <w:pPr>
              <w:jc w:val="right"/>
              <w:ind w:right="37"/>
              <w:spacing w:after="0"/>
              <w:rPr>
                <w:sz w:val="20"/>
                <w:szCs w:val="20"/>
                <w:color w:val="auto"/>
              </w:rPr>
            </w:pPr>
            <w:r>
              <w:rPr>
                <w:rFonts w:ascii="Arial" w:cs="Arial" w:eastAsia="Arial" w:hAnsi="Arial"/>
                <w:sz w:val="13"/>
                <w:szCs w:val="13"/>
                <w:color w:val="474C55"/>
              </w:rPr>
              <w:t>$ 2,207,018</w:t>
            </w:r>
          </w:p>
        </w:tc>
        <w:tc>
          <w:tcPr>
            <w:tcW w:w="1620" w:type="dxa"/>
            <w:vAlign w:val="bottom"/>
            <w:tcBorders>
              <w:bottom w:val="single" w:sz="8" w:color="E1E2E2"/>
            </w:tcBorders>
            <w:shd w:val="clear" w:color="auto" w:fill="E1E2E2"/>
          </w:tcPr>
          <w:p>
            <w:pPr>
              <w:jc w:val="right"/>
              <w:spacing w:after="0"/>
              <w:rPr>
                <w:sz w:val="20"/>
                <w:szCs w:val="20"/>
                <w:color w:val="auto"/>
              </w:rPr>
            </w:pPr>
            <w:r>
              <w:rPr>
                <w:rFonts w:ascii="Arial" w:cs="Arial" w:eastAsia="Arial" w:hAnsi="Arial"/>
                <w:sz w:val="13"/>
                <w:szCs w:val="13"/>
                <w:color w:val="474C55"/>
              </w:rPr>
              <w:t>$ 5,167,743</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0" w:type="dxa"/>
            <w:vAlign w:val="bottom"/>
            <w:shd w:val="clear" w:color="auto" w:fill="007DB6"/>
          </w:tcPr>
          <w:p>
            <w:pPr>
              <w:spacing w:after="0"/>
              <w:rPr>
                <w:sz w:val="15"/>
                <w:szCs w:val="15"/>
                <w:color w:val="auto"/>
              </w:rPr>
            </w:pPr>
          </w:p>
        </w:tc>
        <w:tc>
          <w:tcPr>
            <w:tcW w:w="2000" w:type="dxa"/>
            <w:vAlign w:val="bottom"/>
            <w:shd w:val="clear" w:color="auto" w:fill="007DB6"/>
          </w:tcPr>
          <w:p>
            <w:pPr>
              <w:jc w:val="center"/>
              <w:ind w:right="17"/>
              <w:spacing w:after="0"/>
              <w:rPr>
                <w:sz w:val="20"/>
                <w:szCs w:val="20"/>
                <w:color w:val="auto"/>
              </w:rPr>
            </w:pPr>
            <w:r>
              <w:rPr>
                <w:rFonts w:ascii="Arial" w:cs="Arial" w:eastAsia="Arial" w:hAnsi="Arial"/>
                <w:sz w:val="13"/>
                <w:szCs w:val="13"/>
                <w:color w:val="FFFFFF"/>
                <w:w w:val="96"/>
              </w:rPr>
              <w:t>Average Summary</w:t>
            </w:r>
          </w:p>
        </w:tc>
        <w:tc>
          <w:tcPr>
            <w:tcW w:w="1780" w:type="dxa"/>
            <w:vAlign w:val="bottom"/>
            <w:vMerge w:val="restart"/>
            <w:shd w:val="clear" w:color="auto" w:fill="007DB6"/>
          </w:tcPr>
          <w:p>
            <w:pPr>
              <w:jc w:val="center"/>
              <w:ind w:right="137"/>
              <w:spacing w:after="0"/>
              <w:rPr>
                <w:sz w:val="20"/>
                <w:szCs w:val="20"/>
                <w:color w:val="auto"/>
              </w:rPr>
            </w:pPr>
            <w:r>
              <w:rPr>
                <w:rFonts w:ascii="Arial" w:cs="Arial" w:eastAsia="Arial" w:hAnsi="Arial"/>
                <w:sz w:val="13"/>
                <w:szCs w:val="13"/>
                <w:color w:val="FFFFFF"/>
                <w:w w:val="96"/>
              </w:rPr>
              <w:t>Average Exclusion of</w:t>
            </w:r>
          </w:p>
        </w:tc>
        <w:tc>
          <w:tcPr>
            <w:tcW w:w="1640" w:type="dxa"/>
            <w:vAlign w:val="bottom"/>
            <w:vMerge w:val="restart"/>
            <w:shd w:val="clear" w:color="auto" w:fill="007DB6"/>
          </w:tcPr>
          <w:p>
            <w:pPr>
              <w:jc w:val="center"/>
              <w:ind w:right="137"/>
              <w:spacing w:after="0"/>
              <w:rPr>
                <w:sz w:val="20"/>
                <w:szCs w:val="20"/>
                <w:color w:val="auto"/>
              </w:rPr>
            </w:pPr>
            <w:r>
              <w:rPr>
                <w:rFonts w:ascii="Arial" w:cs="Arial" w:eastAsia="Arial" w:hAnsi="Arial"/>
                <w:sz w:val="13"/>
                <w:szCs w:val="13"/>
                <w:color w:val="FFFFFF"/>
                <w:w w:val="96"/>
              </w:rPr>
              <w:t>Average Exclusion</w:t>
            </w:r>
          </w:p>
        </w:tc>
        <w:tc>
          <w:tcPr>
            <w:tcW w:w="1840" w:type="dxa"/>
            <w:vAlign w:val="bottom"/>
            <w:vMerge w:val="restart"/>
            <w:shd w:val="clear" w:color="auto" w:fill="007DB6"/>
          </w:tcPr>
          <w:p>
            <w:pPr>
              <w:jc w:val="center"/>
              <w:ind w:right="157"/>
              <w:spacing w:after="0"/>
              <w:rPr>
                <w:sz w:val="20"/>
                <w:szCs w:val="20"/>
                <w:color w:val="auto"/>
              </w:rPr>
            </w:pPr>
            <w:r>
              <w:rPr>
                <w:rFonts w:ascii="Arial" w:cs="Arial" w:eastAsia="Arial" w:hAnsi="Arial"/>
                <w:sz w:val="13"/>
                <w:szCs w:val="13"/>
                <w:color w:val="FFFFFF"/>
                <w:w w:val="96"/>
              </w:rPr>
              <w:t>Average Inclusion of</w:t>
            </w:r>
          </w:p>
        </w:tc>
        <w:tc>
          <w:tcPr>
            <w:tcW w:w="1620" w:type="dxa"/>
            <w:vAlign w:val="bottom"/>
            <w:vMerge w:val="restart"/>
            <w:shd w:val="clear" w:color="auto" w:fill="007DB6"/>
          </w:tcPr>
          <w:p>
            <w:pPr>
              <w:jc w:val="center"/>
              <w:ind w:right="97"/>
              <w:spacing w:after="0"/>
              <w:rPr>
                <w:sz w:val="20"/>
                <w:szCs w:val="20"/>
                <w:color w:val="auto"/>
              </w:rPr>
            </w:pPr>
            <w:r>
              <w:rPr>
                <w:rFonts w:ascii="Arial" w:cs="Arial" w:eastAsia="Arial" w:hAnsi="Arial"/>
                <w:sz w:val="13"/>
                <w:szCs w:val="13"/>
                <w:color w:val="FFFFFF"/>
                <w:w w:val="94"/>
              </w:rPr>
              <w:t>Average Inclusion</w:t>
            </w:r>
          </w:p>
        </w:tc>
        <w:tc>
          <w:tcPr>
            <w:tcW w:w="1620" w:type="dxa"/>
            <w:vAlign w:val="bottom"/>
            <w:vMerge w:val="restart"/>
            <w:shd w:val="clear" w:color="auto" w:fill="007DB6"/>
          </w:tcPr>
          <w:p>
            <w:pPr>
              <w:jc w:val="center"/>
              <w:spacing w:after="0"/>
              <w:rPr>
                <w:sz w:val="20"/>
                <w:szCs w:val="20"/>
                <w:color w:val="auto"/>
              </w:rPr>
            </w:pPr>
            <w:r>
              <w:rPr>
                <w:rFonts w:ascii="Arial" w:cs="Arial" w:eastAsia="Arial" w:hAnsi="Arial"/>
                <w:sz w:val="13"/>
                <w:szCs w:val="13"/>
                <w:color w:val="FFFFFF"/>
                <w:w w:val="97"/>
              </w:rPr>
              <w:t>Average Compensation</w:t>
            </w:r>
          </w:p>
        </w:tc>
        <w:tc>
          <w:tcPr>
            <w:tcW w:w="0" w:type="dxa"/>
            <w:vAlign w:val="bottom"/>
          </w:tcPr>
          <w:p>
            <w:pPr>
              <w:spacing w:after="0"/>
              <w:rPr>
                <w:sz w:val="1"/>
                <w:szCs w:val="1"/>
                <w:color w:val="auto"/>
              </w:rPr>
            </w:pPr>
          </w:p>
        </w:tc>
      </w:tr>
      <w:tr>
        <w:trPr>
          <w:trHeight w:val="63"/>
        </w:trPr>
        <w:tc>
          <w:tcPr>
            <w:tcW w:w="740" w:type="dxa"/>
            <w:vAlign w:val="bottom"/>
            <w:shd w:val="clear" w:color="auto" w:fill="007DB6"/>
          </w:tcPr>
          <w:p>
            <w:pPr>
              <w:spacing w:after="0"/>
              <w:rPr>
                <w:sz w:val="5"/>
                <w:szCs w:val="5"/>
                <w:color w:val="auto"/>
              </w:rPr>
            </w:pPr>
          </w:p>
        </w:tc>
        <w:tc>
          <w:tcPr>
            <w:tcW w:w="2000" w:type="dxa"/>
            <w:vAlign w:val="bottom"/>
            <w:vMerge w:val="restart"/>
            <w:shd w:val="clear" w:color="auto" w:fill="007DB6"/>
          </w:tcPr>
          <w:p>
            <w:pPr>
              <w:jc w:val="center"/>
              <w:ind w:right="37"/>
              <w:spacing w:after="0" w:line="138" w:lineRule="exact"/>
              <w:rPr>
                <w:sz w:val="20"/>
                <w:szCs w:val="20"/>
                <w:color w:val="auto"/>
              </w:rPr>
            </w:pPr>
            <w:r>
              <w:rPr>
                <w:rFonts w:ascii="Arial" w:cs="Arial" w:eastAsia="Arial" w:hAnsi="Arial"/>
                <w:sz w:val="13"/>
                <w:szCs w:val="13"/>
                <w:color w:val="FFFFFF"/>
                <w:w w:val="95"/>
              </w:rPr>
              <w:t>Compensation Table</w:t>
            </w:r>
          </w:p>
        </w:tc>
        <w:tc>
          <w:tcPr>
            <w:tcW w:w="1780" w:type="dxa"/>
            <w:vAlign w:val="bottom"/>
            <w:vMerge w:val="continue"/>
            <w:shd w:val="clear" w:color="auto" w:fill="007DB6"/>
          </w:tcPr>
          <w:p>
            <w:pPr>
              <w:spacing w:after="0"/>
              <w:rPr>
                <w:sz w:val="5"/>
                <w:szCs w:val="5"/>
                <w:color w:val="auto"/>
              </w:rPr>
            </w:pPr>
          </w:p>
        </w:tc>
        <w:tc>
          <w:tcPr>
            <w:tcW w:w="1640" w:type="dxa"/>
            <w:vAlign w:val="bottom"/>
            <w:vMerge w:val="continue"/>
            <w:shd w:val="clear" w:color="auto" w:fill="007DB6"/>
          </w:tcPr>
          <w:p>
            <w:pPr>
              <w:spacing w:after="0"/>
              <w:rPr>
                <w:sz w:val="5"/>
                <w:szCs w:val="5"/>
                <w:color w:val="auto"/>
              </w:rPr>
            </w:pPr>
          </w:p>
        </w:tc>
        <w:tc>
          <w:tcPr>
            <w:tcW w:w="1840" w:type="dxa"/>
            <w:vAlign w:val="bottom"/>
            <w:vMerge w:val="continue"/>
            <w:shd w:val="clear" w:color="auto" w:fill="007DB6"/>
          </w:tcPr>
          <w:p>
            <w:pPr>
              <w:spacing w:after="0"/>
              <w:rPr>
                <w:sz w:val="5"/>
                <w:szCs w:val="5"/>
                <w:color w:val="auto"/>
              </w:rPr>
            </w:pPr>
          </w:p>
        </w:tc>
        <w:tc>
          <w:tcPr>
            <w:tcW w:w="1620" w:type="dxa"/>
            <w:vAlign w:val="bottom"/>
            <w:vMerge w:val="continue"/>
            <w:shd w:val="clear" w:color="auto" w:fill="007DB6"/>
          </w:tcPr>
          <w:p>
            <w:pPr>
              <w:spacing w:after="0"/>
              <w:rPr>
                <w:sz w:val="5"/>
                <w:szCs w:val="5"/>
                <w:color w:val="auto"/>
              </w:rPr>
            </w:pPr>
          </w:p>
        </w:tc>
        <w:tc>
          <w:tcPr>
            <w:tcW w:w="1620" w:type="dxa"/>
            <w:vAlign w:val="bottom"/>
            <w:vMerge w:val="continue"/>
            <w:shd w:val="clear" w:color="auto" w:fill="007DB6"/>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40" w:type="dxa"/>
            <w:vAlign w:val="bottom"/>
            <w:vMerge w:val="restart"/>
            <w:shd w:val="clear" w:color="auto" w:fill="007DB6"/>
          </w:tcPr>
          <w:p>
            <w:pPr>
              <w:ind w:left="220"/>
              <w:spacing w:after="0" w:line="138" w:lineRule="exact"/>
              <w:rPr>
                <w:sz w:val="20"/>
                <w:szCs w:val="20"/>
                <w:color w:val="auto"/>
              </w:rPr>
            </w:pPr>
            <w:r>
              <w:rPr>
                <w:rFonts w:ascii="Arial" w:cs="Arial" w:eastAsia="Arial" w:hAnsi="Arial"/>
                <w:sz w:val="13"/>
                <w:szCs w:val="13"/>
                <w:color w:val="FFFFFF"/>
              </w:rPr>
              <w:t>Year</w:t>
            </w:r>
          </w:p>
        </w:tc>
        <w:tc>
          <w:tcPr>
            <w:tcW w:w="2000" w:type="dxa"/>
            <w:vAlign w:val="bottom"/>
            <w:vMerge w:val="continue"/>
            <w:shd w:val="clear" w:color="auto" w:fill="007DB6"/>
          </w:tcPr>
          <w:p>
            <w:pPr>
              <w:spacing w:after="0"/>
              <w:rPr>
                <w:sz w:val="6"/>
                <w:szCs w:val="6"/>
                <w:color w:val="auto"/>
              </w:rPr>
            </w:pPr>
          </w:p>
        </w:tc>
        <w:tc>
          <w:tcPr>
            <w:tcW w:w="1780" w:type="dxa"/>
            <w:vAlign w:val="bottom"/>
            <w:vMerge w:val="restart"/>
            <w:shd w:val="clear" w:color="auto" w:fill="007DB6"/>
          </w:tcPr>
          <w:p>
            <w:pPr>
              <w:jc w:val="center"/>
              <w:ind w:right="117"/>
              <w:spacing w:after="0" w:line="138" w:lineRule="exact"/>
              <w:rPr>
                <w:sz w:val="20"/>
                <w:szCs w:val="20"/>
                <w:color w:val="auto"/>
              </w:rPr>
            </w:pPr>
            <w:r>
              <w:rPr>
                <w:rFonts w:ascii="Arial" w:cs="Arial" w:eastAsia="Arial" w:hAnsi="Arial"/>
                <w:sz w:val="13"/>
                <w:szCs w:val="13"/>
                <w:color w:val="FFFFFF"/>
                <w:w w:val="95"/>
              </w:rPr>
              <w:t>Change in Pension Value</w:t>
            </w:r>
          </w:p>
        </w:tc>
        <w:tc>
          <w:tcPr>
            <w:tcW w:w="1640" w:type="dxa"/>
            <w:vAlign w:val="bottom"/>
            <w:vMerge w:val="restart"/>
            <w:shd w:val="clear" w:color="auto" w:fill="007DB6"/>
          </w:tcPr>
          <w:p>
            <w:pPr>
              <w:jc w:val="center"/>
              <w:ind w:right="137"/>
              <w:spacing w:after="0" w:line="138" w:lineRule="exact"/>
              <w:rPr>
                <w:sz w:val="20"/>
                <w:szCs w:val="20"/>
                <w:color w:val="auto"/>
              </w:rPr>
            </w:pPr>
            <w:r>
              <w:rPr>
                <w:rFonts w:ascii="Arial" w:cs="Arial" w:eastAsia="Arial" w:hAnsi="Arial"/>
                <w:sz w:val="13"/>
                <w:szCs w:val="13"/>
                <w:color w:val="FFFFFF"/>
                <w:w w:val="95"/>
              </w:rPr>
              <w:t>of Stock Awards for</w:t>
            </w:r>
          </w:p>
        </w:tc>
        <w:tc>
          <w:tcPr>
            <w:tcW w:w="1840" w:type="dxa"/>
            <w:vAlign w:val="bottom"/>
            <w:vMerge w:val="restart"/>
            <w:shd w:val="clear" w:color="auto" w:fill="007DB6"/>
          </w:tcPr>
          <w:p>
            <w:pPr>
              <w:jc w:val="center"/>
              <w:ind w:right="157"/>
              <w:spacing w:after="0" w:line="138" w:lineRule="exact"/>
              <w:rPr>
                <w:sz w:val="20"/>
                <w:szCs w:val="20"/>
                <w:color w:val="auto"/>
              </w:rPr>
            </w:pPr>
            <w:r>
              <w:rPr>
                <w:rFonts w:ascii="Arial" w:cs="Arial" w:eastAsia="Arial" w:hAnsi="Arial"/>
                <w:sz w:val="13"/>
                <w:szCs w:val="13"/>
                <w:color w:val="FFFFFF"/>
                <w:w w:val="96"/>
              </w:rPr>
              <w:t>Pension Service Cost for</w:t>
            </w:r>
          </w:p>
        </w:tc>
        <w:tc>
          <w:tcPr>
            <w:tcW w:w="1620" w:type="dxa"/>
            <w:vAlign w:val="bottom"/>
            <w:vMerge w:val="restart"/>
            <w:shd w:val="clear" w:color="auto" w:fill="007DB6"/>
          </w:tcPr>
          <w:p>
            <w:pPr>
              <w:jc w:val="center"/>
              <w:ind w:right="117"/>
              <w:spacing w:after="0" w:line="138" w:lineRule="exact"/>
              <w:rPr>
                <w:sz w:val="20"/>
                <w:szCs w:val="20"/>
                <w:color w:val="auto"/>
              </w:rPr>
            </w:pPr>
            <w:r>
              <w:rPr>
                <w:rFonts w:ascii="Arial" w:cs="Arial" w:eastAsia="Arial" w:hAnsi="Arial"/>
                <w:sz w:val="13"/>
                <w:szCs w:val="13"/>
                <w:color w:val="FFFFFF"/>
                <w:w w:val="95"/>
              </w:rPr>
              <w:t>of Equity Values for</w:t>
            </w:r>
          </w:p>
        </w:tc>
        <w:tc>
          <w:tcPr>
            <w:tcW w:w="1620" w:type="dxa"/>
            <w:vAlign w:val="bottom"/>
            <w:vMerge w:val="restart"/>
            <w:shd w:val="clear" w:color="auto" w:fill="007DB6"/>
          </w:tcPr>
          <w:p>
            <w:pPr>
              <w:jc w:val="center"/>
              <w:spacing w:after="0" w:line="138" w:lineRule="exact"/>
              <w:rPr>
                <w:sz w:val="20"/>
                <w:szCs w:val="20"/>
                <w:color w:val="auto"/>
              </w:rPr>
            </w:pPr>
            <w:r>
              <w:rPr>
                <w:rFonts w:ascii="Arial" w:cs="Arial" w:eastAsia="Arial" w:hAnsi="Arial"/>
                <w:sz w:val="13"/>
                <w:szCs w:val="13"/>
                <w:color w:val="FFFFFF"/>
                <w:w w:val="96"/>
              </w:rPr>
              <w:t>Actually Paid to NonPEO</w:t>
            </w:r>
          </w:p>
        </w:tc>
        <w:tc>
          <w:tcPr>
            <w:tcW w:w="0" w:type="dxa"/>
            <w:vAlign w:val="bottom"/>
          </w:tcPr>
          <w:p>
            <w:pPr>
              <w:spacing w:after="0"/>
              <w:rPr>
                <w:sz w:val="1"/>
                <w:szCs w:val="1"/>
                <w:color w:val="auto"/>
              </w:rPr>
            </w:pPr>
          </w:p>
        </w:tc>
      </w:tr>
      <w:tr>
        <w:trPr>
          <w:trHeight w:val="63"/>
        </w:trPr>
        <w:tc>
          <w:tcPr>
            <w:tcW w:w="740" w:type="dxa"/>
            <w:vAlign w:val="bottom"/>
            <w:vMerge w:val="continue"/>
            <w:shd w:val="clear" w:color="auto" w:fill="007DB6"/>
          </w:tcPr>
          <w:p>
            <w:pPr>
              <w:spacing w:after="0"/>
              <w:rPr>
                <w:sz w:val="5"/>
                <w:szCs w:val="5"/>
                <w:color w:val="auto"/>
              </w:rPr>
            </w:pPr>
          </w:p>
        </w:tc>
        <w:tc>
          <w:tcPr>
            <w:tcW w:w="2000" w:type="dxa"/>
            <w:vAlign w:val="bottom"/>
            <w:vMerge w:val="restart"/>
            <w:shd w:val="clear" w:color="auto" w:fill="007DB6"/>
          </w:tcPr>
          <w:p>
            <w:pPr>
              <w:jc w:val="center"/>
              <w:ind w:right="37"/>
              <w:spacing w:after="0" w:line="138" w:lineRule="exact"/>
              <w:rPr>
                <w:sz w:val="20"/>
                <w:szCs w:val="20"/>
                <w:color w:val="auto"/>
              </w:rPr>
            </w:pPr>
            <w:r>
              <w:rPr>
                <w:rFonts w:ascii="Arial" w:cs="Arial" w:eastAsia="Arial" w:hAnsi="Arial"/>
                <w:sz w:val="13"/>
                <w:szCs w:val="13"/>
                <w:color w:val="FFFFFF"/>
                <w:w w:val="95"/>
              </w:rPr>
              <w:t>Total for NonPEO NEOs</w:t>
            </w:r>
          </w:p>
        </w:tc>
        <w:tc>
          <w:tcPr>
            <w:tcW w:w="1780" w:type="dxa"/>
            <w:vAlign w:val="bottom"/>
            <w:vMerge w:val="continue"/>
            <w:shd w:val="clear" w:color="auto" w:fill="007DB6"/>
          </w:tcPr>
          <w:p>
            <w:pPr>
              <w:spacing w:after="0"/>
              <w:rPr>
                <w:sz w:val="5"/>
                <w:szCs w:val="5"/>
                <w:color w:val="auto"/>
              </w:rPr>
            </w:pPr>
          </w:p>
        </w:tc>
        <w:tc>
          <w:tcPr>
            <w:tcW w:w="1640" w:type="dxa"/>
            <w:vAlign w:val="bottom"/>
            <w:vMerge w:val="continue"/>
            <w:shd w:val="clear" w:color="auto" w:fill="007DB6"/>
          </w:tcPr>
          <w:p>
            <w:pPr>
              <w:spacing w:after="0"/>
              <w:rPr>
                <w:sz w:val="5"/>
                <w:szCs w:val="5"/>
                <w:color w:val="auto"/>
              </w:rPr>
            </w:pPr>
          </w:p>
        </w:tc>
        <w:tc>
          <w:tcPr>
            <w:tcW w:w="1840" w:type="dxa"/>
            <w:vAlign w:val="bottom"/>
            <w:vMerge w:val="continue"/>
            <w:shd w:val="clear" w:color="auto" w:fill="007DB6"/>
          </w:tcPr>
          <w:p>
            <w:pPr>
              <w:spacing w:after="0"/>
              <w:rPr>
                <w:sz w:val="5"/>
                <w:szCs w:val="5"/>
                <w:color w:val="auto"/>
              </w:rPr>
            </w:pPr>
          </w:p>
        </w:tc>
        <w:tc>
          <w:tcPr>
            <w:tcW w:w="1620" w:type="dxa"/>
            <w:vAlign w:val="bottom"/>
            <w:vMerge w:val="continue"/>
            <w:shd w:val="clear" w:color="auto" w:fill="007DB6"/>
          </w:tcPr>
          <w:p>
            <w:pPr>
              <w:spacing w:after="0"/>
              <w:rPr>
                <w:sz w:val="5"/>
                <w:szCs w:val="5"/>
                <w:color w:val="auto"/>
              </w:rPr>
            </w:pPr>
          </w:p>
        </w:tc>
        <w:tc>
          <w:tcPr>
            <w:tcW w:w="1620" w:type="dxa"/>
            <w:vAlign w:val="bottom"/>
            <w:vMerge w:val="continue"/>
            <w:shd w:val="clear" w:color="auto" w:fill="007DB6"/>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40" w:type="dxa"/>
            <w:vAlign w:val="bottom"/>
            <w:shd w:val="clear" w:color="auto" w:fill="007DB6"/>
          </w:tcPr>
          <w:p>
            <w:pPr>
              <w:spacing w:after="0"/>
              <w:rPr>
                <w:sz w:val="6"/>
                <w:szCs w:val="6"/>
                <w:color w:val="auto"/>
              </w:rPr>
            </w:pPr>
          </w:p>
        </w:tc>
        <w:tc>
          <w:tcPr>
            <w:tcW w:w="2000" w:type="dxa"/>
            <w:vAlign w:val="bottom"/>
            <w:vMerge w:val="continue"/>
            <w:shd w:val="clear" w:color="auto" w:fill="007DB6"/>
          </w:tcPr>
          <w:p>
            <w:pPr>
              <w:spacing w:after="0"/>
              <w:rPr>
                <w:sz w:val="6"/>
                <w:szCs w:val="6"/>
                <w:color w:val="auto"/>
              </w:rPr>
            </w:pPr>
          </w:p>
        </w:tc>
        <w:tc>
          <w:tcPr>
            <w:tcW w:w="1780" w:type="dxa"/>
            <w:vAlign w:val="bottom"/>
            <w:vMerge w:val="restart"/>
            <w:shd w:val="clear" w:color="auto" w:fill="007DB6"/>
          </w:tcPr>
          <w:p>
            <w:pPr>
              <w:jc w:val="center"/>
              <w:ind w:right="97"/>
              <w:spacing w:after="0"/>
              <w:rPr>
                <w:sz w:val="20"/>
                <w:szCs w:val="20"/>
                <w:color w:val="auto"/>
              </w:rPr>
            </w:pPr>
            <w:r>
              <w:rPr>
                <w:rFonts w:ascii="Arial" w:cs="Arial" w:eastAsia="Arial" w:hAnsi="Arial"/>
                <w:sz w:val="13"/>
                <w:szCs w:val="13"/>
                <w:color w:val="FFFFFF"/>
                <w:w w:val="95"/>
              </w:rPr>
              <w:t>for NonPEO NEOs ($)</w:t>
            </w:r>
          </w:p>
        </w:tc>
        <w:tc>
          <w:tcPr>
            <w:tcW w:w="1640" w:type="dxa"/>
            <w:vAlign w:val="bottom"/>
            <w:vMerge w:val="restart"/>
            <w:shd w:val="clear" w:color="auto" w:fill="007DB6"/>
          </w:tcPr>
          <w:p>
            <w:pPr>
              <w:jc w:val="center"/>
              <w:ind w:right="137"/>
              <w:spacing w:after="0"/>
              <w:rPr>
                <w:sz w:val="20"/>
                <w:szCs w:val="20"/>
                <w:color w:val="auto"/>
              </w:rPr>
            </w:pPr>
            <w:r>
              <w:rPr>
                <w:rFonts w:ascii="Arial" w:cs="Arial" w:eastAsia="Arial" w:hAnsi="Arial"/>
                <w:sz w:val="13"/>
                <w:szCs w:val="13"/>
                <w:color w:val="FFFFFF"/>
                <w:w w:val="95"/>
              </w:rPr>
              <w:t>NonPEO NEOs ($)</w:t>
            </w:r>
          </w:p>
        </w:tc>
        <w:tc>
          <w:tcPr>
            <w:tcW w:w="1840" w:type="dxa"/>
            <w:vAlign w:val="bottom"/>
            <w:vMerge w:val="restart"/>
            <w:shd w:val="clear" w:color="auto" w:fill="007DB6"/>
          </w:tcPr>
          <w:p>
            <w:pPr>
              <w:jc w:val="center"/>
              <w:ind w:right="117"/>
              <w:spacing w:after="0"/>
              <w:rPr>
                <w:sz w:val="20"/>
                <w:szCs w:val="20"/>
                <w:color w:val="auto"/>
              </w:rPr>
            </w:pPr>
            <w:r>
              <w:rPr>
                <w:rFonts w:ascii="Arial" w:cs="Arial" w:eastAsia="Arial" w:hAnsi="Arial"/>
                <w:sz w:val="13"/>
                <w:szCs w:val="13"/>
                <w:color w:val="FFFFFF"/>
                <w:w w:val="97"/>
              </w:rPr>
              <w:t>NonPEO NEOs ($)</w:t>
            </w:r>
          </w:p>
        </w:tc>
        <w:tc>
          <w:tcPr>
            <w:tcW w:w="1620" w:type="dxa"/>
            <w:vAlign w:val="bottom"/>
            <w:vMerge w:val="restart"/>
            <w:shd w:val="clear" w:color="auto" w:fill="007DB6"/>
          </w:tcPr>
          <w:p>
            <w:pPr>
              <w:jc w:val="center"/>
              <w:ind w:right="97"/>
              <w:spacing w:after="0"/>
              <w:rPr>
                <w:sz w:val="20"/>
                <w:szCs w:val="20"/>
                <w:color w:val="auto"/>
              </w:rPr>
            </w:pPr>
            <w:r>
              <w:rPr>
                <w:rFonts w:ascii="Arial" w:cs="Arial" w:eastAsia="Arial" w:hAnsi="Arial"/>
                <w:sz w:val="13"/>
                <w:szCs w:val="13"/>
                <w:color w:val="FFFFFF"/>
                <w:w w:val="96"/>
              </w:rPr>
              <w:t>NonPEO NEOs ($)*</w:t>
            </w:r>
          </w:p>
        </w:tc>
        <w:tc>
          <w:tcPr>
            <w:tcW w:w="1620" w:type="dxa"/>
            <w:vAlign w:val="bottom"/>
            <w:vMerge w:val="restart"/>
            <w:shd w:val="clear" w:color="auto" w:fill="007DB6"/>
          </w:tcPr>
          <w:p>
            <w:pPr>
              <w:jc w:val="center"/>
              <w:spacing w:after="0"/>
              <w:rPr>
                <w:sz w:val="20"/>
                <w:szCs w:val="20"/>
                <w:color w:val="auto"/>
              </w:rPr>
            </w:pPr>
            <w:r>
              <w:rPr>
                <w:rFonts w:ascii="Arial" w:cs="Arial" w:eastAsia="Arial" w:hAnsi="Arial"/>
                <w:sz w:val="13"/>
                <w:szCs w:val="13"/>
                <w:color w:val="FFFFFF"/>
                <w:w w:val="95"/>
              </w:rPr>
              <w:t>NEOs ($)</w:t>
            </w:r>
          </w:p>
        </w:tc>
        <w:tc>
          <w:tcPr>
            <w:tcW w:w="0" w:type="dxa"/>
            <w:vAlign w:val="bottom"/>
          </w:tcPr>
          <w:p>
            <w:pPr>
              <w:spacing w:after="0"/>
              <w:rPr>
                <w:sz w:val="1"/>
                <w:szCs w:val="1"/>
                <w:color w:val="auto"/>
              </w:rPr>
            </w:pPr>
          </w:p>
        </w:tc>
      </w:tr>
      <w:tr>
        <w:trPr>
          <w:trHeight w:val="90"/>
        </w:trPr>
        <w:tc>
          <w:tcPr>
            <w:tcW w:w="740" w:type="dxa"/>
            <w:vAlign w:val="bottom"/>
            <w:shd w:val="clear" w:color="auto" w:fill="007DB6"/>
          </w:tcPr>
          <w:p>
            <w:pPr>
              <w:spacing w:after="0"/>
              <w:rPr>
                <w:sz w:val="7"/>
                <w:szCs w:val="7"/>
                <w:color w:val="auto"/>
              </w:rPr>
            </w:pPr>
          </w:p>
        </w:tc>
        <w:tc>
          <w:tcPr>
            <w:tcW w:w="2000" w:type="dxa"/>
            <w:vAlign w:val="bottom"/>
            <w:vMerge w:val="restart"/>
            <w:shd w:val="clear" w:color="auto" w:fill="007DB6"/>
          </w:tcPr>
          <w:p>
            <w:pPr>
              <w:jc w:val="center"/>
              <w:ind w:right="17"/>
              <w:spacing w:after="0"/>
              <w:rPr>
                <w:sz w:val="20"/>
                <w:szCs w:val="20"/>
                <w:color w:val="auto"/>
              </w:rPr>
            </w:pPr>
            <w:r>
              <w:rPr>
                <w:rFonts w:ascii="Arial" w:cs="Arial" w:eastAsia="Arial" w:hAnsi="Arial"/>
                <w:sz w:val="13"/>
                <w:szCs w:val="13"/>
                <w:color w:val="FFFFFF"/>
              </w:rPr>
              <w:t>($)</w:t>
            </w:r>
          </w:p>
        </w:tc>
        <w:tc>
          <w:tcPr>
            <w:tcW w:w="1780" w:type="dxa"/>
            <w:vAlign w:val="bottom"/>
            <w:vMerge w:val="continue"/>
            <w:shd w:val="clear" w:color="auto" w:fill="007DB6"/>
          </w:tcPr>
          <w:p>
            <w:pPr>
              <w:spacing w:after="0"/>
              <w:rPr>
                <w:sz w:val="7"/>
                <w:szCs w:val="7"/>
                <w:color w:val="auto"/>
              </w:rPr>
            </w:pPr>
          </w:p>
        </w:tc>
        <w:tc>
          <w:tcPr>
            <w:tcW w:w="1640" w:type="dxa"/>
            <w:vAlign w:val="bottom"/>
            <w:vMerge w:val="continue"/>
            <w:shd w:val="clear" w:color="auto" w:fill="007DB6"/>
          </w:tcPr>
          <w:p>
            <w:pPr>
              <w:spacing w:after="0"/>
              <w:rPr>
                <w:sz w:val="7"/>
                <w:szCs w:val="7"/>
                <w:color w:val="auto"/>
              </w:rPr>
            </w:pPr>
          </w:p>
        </w:tc>
        <w:tc>
          <w:tcPr>
            <w:tcW w:w="1840" w:type="dxa"/>
            <w:vAlign w:val="bottom"/>
            <w:vMerge w:val="continue"/>
            <w:shd w:val="clear" w:color="auto" w:fill="007DB6"/>
          </w:tcPr>
          <w:p>
            <w:pPr>
              <w:spacing w:after="0"/>
              <w:rPr>
                <w:sz w:val="7"/>
                <w:szCs w:val="7"/>
                <w:color w:val="auto"/>
              </w:rPr>
            </w:pPr>
          </w:p>
        </w:tc>
        <w:tc>
          <w:tcPr>
            <w:tcW w:w="1620" w:type="dxa"/>
            <w:vAlign w:val="bottom"/>
            <w:vMerge w:val="continue"/>
            <w:shd w:val="clear" w:color="auto" w:fill="007DB6"/>
          </w:tcPr>
          <w:p>
            <w:pPr>
              <w:spacing w:after="0"/>
              <w:rPr>
                <w:sz w:val="7"/>
                <w:szCs w:val="7"/>
                <w:color w:val="auto"/>
              </w:rPr>
            </w:pPr>
          </w:p>
        </w:tc>
        <w:tc>
          <w:tcPr>
            <w:tcW w:w="1620" w:type="dxa"/>
            <w:vAlign w:val="bottom"/>
            <w:vMerge w:val="continue"/>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40" w:type="dxa"/>
            <w:vAlign w:val="bottom"/>
            <w:tcBorders>
              <w:bottom w:val="single" w:sz="8" w:color="007DB6"/>
            </w:tcBorders>
            <w:shd w:val="clear" w:color="auto" w:fill="007DB6"/>
          </w:tcPr>
          <w:p>
            <w:pPr>
              <w:spacing w:after="0"/>
              <w:rPr>
                <w:sz w:val="7"/>
                <w:szCs w:val="7"/>
                <w:color w:val="auto"/>
              </w:rPr>
            </w:pPr>
          </w:p>
        </w:tc>
        <w:tc>
          <w:tcPr>
            <w:tcW w:w="2000" w:type="dxa"/>
            <w:vAlign w:val="bottom"/>
            <w:tcBorders>
              <w:bottom w:val="single" w:sz="8" w:color="007DB6"/>
            </w:tcBorders>
            <w:vMerge w:val="continue"/>
            <w:shd w:val="clear" w:color="auto" w:fill="007DB6"/>
          </w:tcPr>
          <w:p>
            <w:pPr>
              <w:spacing w:after="0"/>
              <w:rPr>
                <w:sz w:val="7"/>
                <w:szCs w:val="7"/>
                <w:color w:val="auto"/>
              </w:rPr>
            </w:pPr>
          </w:p>
        </w:tc>
        <w:tc>
          <w:tcPr>
            <w:tcW w:w="1780" w:type="dxa"/>
            <w:vAlign w:val="bottom"/>
            <w:tcBorders>
              <w:bottom w:val="single" w:sz="8" w:color="007DB6"/>
            </w:tcBorders>
            <w:shd w:val="clear" w:color="auto" w:fill="007DB6"/>
          </w:tcPr>
          <w:p>
            <w:pPr>
              <w:spacing w:after="0"/>
              <w:rPr>
                <w:sz w:val="7"/>
                <w:szCs w:val="7"/>
                <w:color w:val="auto"/>
              </w:rPr>
            </w:pPr>
          </w:p>
        </w:tc>
        <w:tc>
          <w:tcPr>
            <w:tcW w:w="1640" w:type="dxa"/>
            <w:vAlign w:val="bottom"/>
            <w:tcBorders>
              <w:bottom w:val="single" w:sz="8" w:color="007DB6"/>
            </w:tcBorders>
            <w:shd w:val="clear" w:color="auto" w:fill="007DB6"/>
          </w:tcPr>
          <w:p>
            <w:pPr>
              <w:spacing w:after="0"/>
              <w:rPr>
                <w:sz w:val="7"/>
                <w:szCs w:val="7"/>
                <w:color w:val="auto"/>
              </w:rPr>
            </w:pPr>
          </w:p>
        </w:tc>
        <w:tc>
          <w:tcPr>
            <w:tcW w:w="1840" w:type="dxa"/>
            <w:vAlign w:val="bottom"/>
            <w:tcBorders>
              <w:bottom w:val="single" w:sz="8" w:color="007DB6"/>
            </w:tcBorders>
            <w:shd w:val="clear" w:color="auto" w:fill="007DB6"/>
          </w:tcPr>
          <w:p>
            <w:pPr>
              <w:spacing w:after="0"/>
              <w:rPr>
                <w:sz w:val="7"/>
                <w:szCs w:val="7"/>
                <w:color w:val="auto"/>
              </w:rPr>
            </w:pPr>
          </w:p>
        </w:tc>
        <w:tc>
          <w:tcPr>
            <w:tcW w:w="1620" w:type="dxa"/>
            <w:vAlign w:val="bottom"/>
            <w:tcBorders>
              <w:bottom w:val="single" w:sz="8" w:color="007DB6"/>
            </w:tcBorders>
            <w:shd w:val="clear" w:color="auto" w:fill="007DB6"/>
          </w:tcPr>
          <w:p>
            <w:pPr>
              <w:spacing w:after="0"/>
              <w:rPr>
                <w:sz w:val="7"/>
                <w:szCs w:val="7"/>
                <w:color w:val="auto"/>
              </w:rPr>
            </w:pPr>
          </w:p>
        </w:tc>
        <w:tc>
          <w:tcPr>
            <w:tcW w:w="1620" w:type="dxa"/>
            <w:vAlign w:val="bottom"/>
            <w:tcBorders>
              <w:bottom w:val="single" w:sz="8" w:color="007DB6"/>
            </w:tcBorders>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40" w:type="dxa"/>
            <w:vAlign w:val="bottom"/>
            <w:shd w:val="clear" w:color="auto" w:fill="E1E2E2"/>
          </w:tcPr>
          <w:p>
            <w:pPr>
              <w:ind w:left="200"/>
              <w:spacing w:after="0"/>
              <w:rPr>
                <w:sz w:val="20"/>
                <w:szCs w:val="20"/>
                <w:color w:val="auto"/>
              </w:rPr>
            </w:pPr>
            <w:r>
              <w:rPr>
                <w:rFonts w:ascii="Arial" w:cs="Arial" w:eastAsia="Arial" w:hAnsi="Arial"/>
                <w:sz w:val="13"/>
                <w:szCs w:val="13"/>
                <w:color w:val="474C55"/>
              </w:rPr>
              <w:t>2024</w:t>
            </w:r>
          </w:p>
        </w:tc>
        <w:tc>
          <w:tcPr>
            <w:tcW w:w="2000" w:type="dxa"/>
            <w:vAlign w:val="bottom"/>
            <w:shd w:val="clear" w:color="auto" w:fill="E1E2E2"/>
          </w:tcPr>
          <w:p>
            <w:pPr>
              <w:jc w:val="right"/>
              <w:ind w:right="17"/>
              <w:spacing w:after="0"/>
              <w:rPr>
                <w:sz w:val="20"/>
                <w:szCs w:val="20"/>
                <w:color w:val="auto"/>
              </w:rPr>
            </w:pPr>
            <w:r>
              <w:rPr>
                <w:rFonts w:ascii="Arial" w:cs="Arial" w:eastAsia="Arial" w:hAnsi="Arial"/>
                <w:sz w:val="13"/>
                <w:szCs w:val="13"/>
                <w:color w:val="474C55"/>
              </w:rPr>
              <w:t>$ 1,637,367</w:t>
            </w:r>
          </w:p>
        </w:tc>
        <w:tc>
          <w:tcPr>
            <w:tcW w:w="1780" w:type="dxa"/>
            <w:vAlign w:val="bottom"/>
            <w:shd w:val="clear" w:color="auto" w:fill="E1E2E2"/>
          </w:tcPr>
          <w:p>
            <w:pPr>
              <w:jc w:val="right"/>
              <w:ind w:right="117"/>
              <w:spacing w:after="0"/>
              <w:rPr>
                <w:sz w:val="20"/>
                <w:szCs w:val="20"/>
                <w:color w:val="auto"/>
              </w:rPr>
            </w:pPr>
            <w:r>
              <w:rPr>
                <w:rFonts w:ascii="Arial" w:cs="Arial" w:eastAsia="Arial" w:hAnsi="Arial"/>
                <w:sz w:val="13"/>
                <w:szCs w:val="13"/>
                <w:color w:val="474C55"/>
              </w:rPr>
              <w:t>$ (39,217)</w:t>
            </w:r>
          </w:p>
        </w:tc>
        <w:tc>
          <w:tcPr>
            <w:tcW w:w="1640" w:type="dxa"/>
            <w:vAlign w:val="bottom"/>
            <w:shd w:val="clear" w:color="auto" w:fill="E1E2E2"/>
          </w:tcPr>
          <w:p>
            <w:pPr>
              <w:jc w:val="right"/>
              <w:ind w:right="57"/>
              <w:spacing w:after="0"/>
              <w:rPr>
                <w:sz w:val="20"/>
                <w:szCs w:val="20"/>
                <w:color w:val="auto"/>
              </w:rPr>
            </w:pPr>
            <w:r>
              <w:rPr>
                <w:rFonts w:ascii="Arial" w:cs="Arial" w:eastAsia="Arial" w:hAnsi="Arial"/>
                <w:sz w:val="13"/>
                <w:szCs w:val="13"/>
                <w:color w:val="474C55"/>
              </w:rPr>
              <w:t>$ (491,717)</w:t>
            </w:r>
          </w:p>
        </w:tc>
        <w:tc>
          <w:tcPr>
            <w:tcW w:w="1840" w:type="dxa"/>
            <w:vAlign w:val="bottom"/>
            <w:shd w:val="clear" w:color="auto" w:fill="E1E2E2"/>
          </w:tcPr>
          <w:p>
            <w:pPr>
              <w:jc w:val="right"/>
              <w:ind w:right="97"/>
              <w:spacing w:after="0"/>
              <w:rPr>
                <w:sz w:val="20"/>
                <w:szCs w:val="20"/>
                <w:color w:val="auto"/>
              </w:rPr>
            </w:pPr>
            <w:r>
              <w:rPr>
                <w:rFonts w:ascii="Arial" w:cs="Arial" w:eastAsia="Arial" w:hAnsi="Arial"/>
                <w:sz w:val="13"/>
                <w:szCs w:val="13"/>
                <w:color w:val="474C55"/>
              </w:rPr>
              <w:t>$ 54,495</w:t>
            </w:r>
          </w:p>
        </w:tc>
        <w:tc>
          <w:tcPr>
            <w:tcW w:w="1620" w:type="dxa"/>
            <w:vAlign w:val="bottom"/>
            <w:shd w:val="clear" w:color="auto" w:fill="E1E2E2"/>
          </w:tcPr>
          <w:p>
            <w:pPr>
              <w:jc w:val="right"/>
              <w:ind w:right="37"/>
              <w:spacing w:after="0"/>
              <w:rPr>
                <w:sz w:val="20"/>
                <w:szCs w:val="20"/>
                <w:color w:val="auto"/>
              </w:rPr>
            </w:pPr>
            <w:r>
              <w:rPr>
                <w:rFonts w:ascii="Arial" w:cs="Arial" w:eastAsia="Arial" w:hAnsi="Arial"/>
                <w:sz w:val="13"/>
                <w:szCs w:val="13"/>
                <w:color w:val="474C55"/>
              </w:rPr>
              <w:t>$ 497,214</w:t>
            </w:r>
          </w:p>
        </w:tc>
        <w:tc>
          <w:tcPr>
            <w:tcW w:w="1620" w:type="dxa"/>
            <w:vAlign w:val="bottom"/>
            <w:shd w:val="clear" w:color="auto" w:fill="E1E2E2"/>
          </w:tcPr>
          <w:p>
            <w:pPr>
              <w:jc w:val="right"/>
              <w:spacing w:after="0"/>
              <w:rPr>
                <w:sz w:val="20"/>
                <w:szCs w:val="20"/>
                <w:color w:val="auto"/>
              </w:rPr>
            </w:pPr>
            <w:r>
              <w:rPr>
                <w:rFonts w:ascii="Arial" w:cs="Arial" w:eastAsia="Arial" w:hAnsi="Arial"/>
                <w:sz w:val="13"/>
                <w:szCs w:val="13"/>
                <w:color w:val="474C55"/>
              </w:rPr>
              <w:t>$ 1,658,142</w:t>
            </w:r>
          </w:p>
        </w:tc>
        <w:tc>
          <w:tcPr>
            <w:tcW w:w="0" w:type="dxa"/>
            <w:vAlign w:val="bottom"/>
          </w:tcPr>
          <w:p>
            <w:pPr>
              <w:spacing w:after="0"/>
              <w:rPr>
                <w:sz w:val="1"/>
                <w:szCs w:val="1"/>
                <w:color w:val="auto"/>
              </w:rPr>
            </w:pPr>
          </w:p>
        </w:tc>
      </w:tr>
      <w:tr>
        <w:trPr>
          <w:trHeight w:val="35"/>
        </w:trPr>
        <w:tc>
          <w:tcPr>
            <w:tcW w:w="740" w:type="dxa"/>
            <w:vAlign w:val="bottom"/>
            <w:shd w:val="clear" w:color="auto" w:fill="E1E2E2"/>
          </w:tcPr>
          <w:p>
            <w:pPr>
              <w:spacing w:after="0"/>
              <w:rPr>
                <w:sz w:val="3"/>
                <w:szCs w:val="3"/>
                <w:color w:val="auto"/>
              </w:rPr>
            </w:pPr>
          </w:p>
        </w:tc>
        <w:tc>
          <w:tcPr>
            <w:tcW w:w="2000" w:type="dxa"/>
            <w:vAlign w:val="bottom"/>
            <w:shd w:val="clear" w:color="auto" w:fill="E1E2E2"/>
          </w:tcPr>
          <w:p>
            <w:pPr>
              <w:spacing w:after="0"/>
              <w:rPr>
                <w:sz w:val="3"/>
                <w:szCs w:val="3"/>
                <w:color w:val="auto"/>
              </w:rPr>
            </w:pPr>
          </w:p>
        </w:tc>
        <w:tc>
          <w:tcPr>
            <w:tcW w:w="1780" w:type="dxa"/>
            <w:vAlign w:val="bottom"/>
            <w:shd w:val="clear" w:color="auto" w:fill="E1E2E2"/>
          </w:tcPr>
          <w:p>
            <w:pPr>
              <w:spacing w:after="0"/>
              <w:rPr>
                <w:sz w:val="3"/>
                <w:szCs w:val="3"/>
                <w:color w:val="auto"/>
              </w:rPr>
            </w:pPr>
          </w:p>
        </w:tc>
        <w:tc>
          <w:tcPr>
            <w:tcW w:w="1640" w:type="dxa"/>
            <w:vAlign w:val="bottom"/>
            <w:shd w:val="clear" w:color="auto" w:fill="E1E2E2"/>
          </w:tcPr>
          <w:p>
            <w:pPr>
              <w:spacing w:after="0"/>
              <w:rPr>
                <w:sz w:val="3"/>
                <w:szCs w:val="3"/>
                <w:color w:val="auto"/>
              </w:rPr>
            </w:pPr>
          </w:p>
        </w:tc>
        <w:tc>
          <w:tcPr>
            <w:tcW w:w="1840" w:type="dxa"/>
            <w:vAlign w:val="bottom"/>
            <w:shd w:val="clear" w:color="auto" w:fill="E1E2E2"/>
          </w:tcPr>
          <w:p>
            <w:pPr>
              <w:spacing w:after="0"/>
              <w:rPr>
                <w:sz w:val="3"/>
                <w:szCs w:val="3"/>
                <w:color w:val="auto"/>
              </w:rPr>
            </w:pPr>
          </w:p>
        </w:tc>
        <w:tc>
          <w:tcPr>
            <w:tcW w:w="1620" w:type="dxa"/>
            <w:vAlign w:val="bottom"/>
            <w:shd w:val="clear" w:color="auto" w:fill="E1E2E2"/>
          </w:tcPr>
          <w:p>
            <w:pPr>
              <w:spacing w:after="0"/>
              <w:rPr>
                <w:sz w:val="3"/>
                <w:szCs w:val="3"/>
                <w:color w:val="auto"/>
              </w:rPr>
            </w:pPr>
          </w:p>
        </w:tc>
        <w:tc>
          <w:tcPr>
            <w:tcW w:w="1620" w:type="dxa"/>
            <w:vAlign w:val="bottom"/>
            <w:shd w:val="clear" w:color="auto" w:fill="E1E2E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6077585</wp:posOffset>
            </wp:positionH>
            <wp:positionV relativeFrom="paragraph">
              <wp:posOffset>-563245</wp:posOffset>
            </wp:positionV>
            <wp:extent cx="8255" cy="4133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-563245</wp:posOffset>
            </wp:positionV>
            <wp:extent cx="8255" cy="4133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-563245</wp:posOffset>
            </wp:positionV>
            <wp:extent cx="8255" cy="4133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-563245</wp:posOffset>
            </wp:positionV>
            <wp:extent cx="8255" cy="4133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-563245</wp:posOffset>
            </wp:positionV>
            <wp:extent cx="8255" cy="4133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-563245</wp:posOffset>
            </wp:positionV>
            <wp:extent cx="8255" cy="4133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413385"/>
                    </a:xfrm>
                    <a:prstGeom prst="rect">
                      <a:avLst/>
                    </a:prstGeom>
                    <a:noFill/>
                  </pic:spPr>
                </pic:pic>
              </a:graphicData>
            </a:graphic>
          </wp:anchor>
        </w:drawing>
      </w:r>
    </w:p>
    <w:p>
      <w:pPr>
        <w:spacing w:after="0" w:line="155" w:lineRule="exact"/>
        <w:rPr>
          <w:sz w:val="20"/>
          <w:szCs w:val="20"/>
          <w:color w:val="auto"/>
        </w:rPr>
      </w:pPr>
    </w:p>
    <w:p>
      <w:pPr>
        <w:ind w:left="180" w:right="40" w:hanging="180"/>
        <w:spacing w:after="0" w:line="246" w:lineRule="auto"/>
        <w:tabs>
          <w:tab w:leader="none" w:pos="180" w:val="left"/>
        </w:tabs>
        <w:numPr>
          <w:ilvl w:val="0"/>
          <w:numId w:val="78"/>
        </w:numPr>
        <w:rPr>
          <w:rFonts w:ascii="Arial" w:cs="Arial" w:eastAsia="Arial" w:hAnsi="Arial"/>
          <w:sz w:val="13"/>
          <w:szCs w:val="13"/>
          <w:color w:val="444A54"/>
        </w:rPr>
      </w:pPr>
      <w:r>
        <w:rPr>
          <w:rFonts w:ascii="Arial" w:cs="Arial" w:eastAsia="Arial" w:hAnsi="Arial"/>
          <w:sz w:val="13"/>
          <w:szCs w:val="13"/>
          <w:color w:val="444A54"/>
        </w:rPr>
        <w:t>The amounts in the Inclusion of Equity Values in the two preceding tables are derived from the amounts set forth in the following tables. During 2024, no equity awards were both granted and vested in the same year nor were any equity awards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107315</wp:posOffset>
            </wp:positionV>
            <wp:extent cx="8255" cy="4133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107315</wp:posOffset>
            </wp:positionV>
            <wp:extent cx="8255" cy="4133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107315</wp:posOffset>
            </wp:positionV>
            <wp:extent cx="8255" cy="4133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41338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107315</wp:posOffset>
            </wp:positionV>
            <wp:extent cx="8255" cy="4133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41338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 w:type="dxa"/>
            <w:vAlign w:val="bottom"/>
            <w:shd w:val="clear" w:color="auto" w:fill="007DB6"/>
          </w:tcPr>
          <w:p>
            <w:pPr>
              <w:spacing w:after="0"/>
              <w:rPr>
                <w:sz w:val="15"/>
                <w:szCs w:val="15"/>
                <w:color w:val="auto"/>
              </w:rPr>
            </w:pPr>
          </w:p>
        </w:tc>
        <w:tc>
          <w:tcPr>
            <w:tcW w:w="2860" w:type="dxa"/>
            <w:vAlign w:val="bottom"/>
            <w:shd w:val="clear" w:color="auto" w:fill="007DB6"/>
          </w:tcPr>
          <w:p>
            <w:pPr>
              <w:jc w:val="center"/>
              <w:ind w:right="117"/>
              <w:spacing w:after="0"/>
              <w:rPr>
                <w:sz w:val="20"/>
                <w:szCs w:val="20"/>
                <w:color w:val="auto"/>
              </w:rPr>
            </w:pPr>
            <w:r>
              <w:rPr>
                <w:rFonts w:ascii="Arial" w:cs="Arial" w:eastAsia="Arial" w:hAnsi="Arial"/>
                <w:sz w:val="13"/>
                <w:szCs w:val="13"/>
                <w:color w:val="FFFFFF"/>
                <w:w w:val="94"/>
              </w:rPr>
              <w:t>Year-End Fair Value of Equity Awards</w:t>
            </w:r>
          </w:p>
        </w:tc>
        <w:tc>
          <w:tcPr>
            <w:tcW w:w="2560" w:type="dxa"/>
            <w:vAlign w:val="bottom"/>
            <w:shd w:val="clear" w:color="auto" w:fill="007DB6"/>
          </w:tcPr>
          <w:p>
            <w:pPr>
              <w:jc w:val="center"/>
              <w:ind w:right="117"/>
              <w:spacing w:after="0"/>
              <w:rPr>
                <w:sz w:val="20"/>
                <w:szCs w:val="20"/>
                <w:color w:val="auto"/>
              </w:rPr>
            </w:pPr>
            <w:r>
              <w:rPr>
                <w:rFonts w:ascii="Arial" w:cs="Arial" w:eastAsia="Arial" w:hAnsi="Arial"/>
                <w:sz w:val="13"/>
                <w:szCs w:val="13"/>
                <w:color w:val="FFFFFF"/>
                <w:w w:val="95"/>
              </w:rPr>
              <w:t>Change in Fair Value from Last Day</w:t>
            </w:r>
          </w:p>
        </w:tc>
        <w:tc>
          <w:tcPr>
            <w:tcW w:w="2600" w:type="dxa"/>
            <w:vAlign w:val="bottom"/>
            <w:shd w:val="clear" w:color="auto" w:fill="007DB6"/>
          </w:tcPr>
          <w:p>
            <w:pPr>
              <w:jc w:val="center"/>
              <w:ind w:right="137"/>
              <w:spacing w:after="0"/>
              <w:rPr>
                <w:sz w:val="20"/>
                <w:szCs w:val="20"/>
                <w:color w:val="auto"/>
              </w:rPr>
            </w:pPr>
            <w:r>
              <w:rPr>
                <w:rFonts w:ascii="Arial" w:cs="Arial" w:eastAsia="Arial" w:hAnsi="Arial"/>
                <w:sz w:val="13"/>
                <w:szCs w:val="13"/>
                <w:color w:val="FFFFFF"/>
                <w:w w:val="95"/>
              </w:rPr>
              <w:t>Change in Fair Value from Last Day of</w:t>
            </w:r>
          </w:p>
        </w:tc>
        <w:tc>
          <w:tcPr>
            <w:tcW w:w="2480" w:type="dxa"/>
            <w:vAlign w:val="bottom"/>
            <w:shd w:val="clear" w:color="auto" w:fill="007DB6"/>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40" w:type="dxa"/>
            <w:vAlign w:val="bottom"/>
            <w:vMerge w:val="restart"/>
            <w:shd w:val="clear" w:color="auto" w:fill="007DB6"/>
          </w:tcPr>
          <w:p>
            <w:pPr>
              <w:ind w:left="220"/>
              <w:spacing w:after="0"/>
              <w:rPr>
                <w:sz w:val="20"/>
                <w:szCs w:val="20"/>
                <w:color w:val="auto"/>
              </w:rPr>
            </w:pPr>
            <w:r>
              <w:rPr>
                <w:rFonts w:ascii="Arial" w:cs="Arial" w:eastAsia="Arial" w:hAnsi="Arial"/>
                <w:sz w:val="13"/>
                <w:szCs w:val="13"/>
                <w:color w:val="FFFFFF"/>
              </w:rPr>
              <w:t>Year</w:t>
            </w:r>
          </w:p>
        </w:tc>
        <w:tc>
          <w:tcPr>
            <w:tcW w:w="2860" w:type="dxa"/>
            <w:vAlign w:val="bottom"/>
            <w:shd w:val="clear" w:color="auto" w:fill="007DB6"/>
          </w:tcPr>
          <w:p>
            <w:pPr>
              <w:jc w:val="center"/>
              <w:ind w:right="137"/>
              <w:spacing w:after="0" w:line="138" w:lineRule="exact"/>
              <w:rPr>
                <w:sz w:val="20"/>
                <w:szCs w:val="20"/>
                <w:color w:val="auto"/>
              </w:rPr>
            </w:pPr>
            <w:r>
              <w:rPr>
                <w:rFonts w:ascii="Arial" w:cs="Arial" w:eastAsia="Arial" w:hAnsi="Arial"/>
                <w:sz w:val="13"/>
                <w:szCs w:val="13"/>
                <w:color w:val="FFFFFF"/>
                <w:w w:val="95"/>
              </w:rPr>
              <w:t>Granted During Year That Remained</w:t>
            </w:r>
          </w:p>
        </w:tc>
        <w:tc>
          <w:tcPr>
            <w:tcW w:w="2560" w:type="dxa"/>
            <w:vAlign w:val="bottom"/>
            <w:shd w:val="clear" w:color="auto" w:fill="007DB6"/>
          </w:tcPr>
          <w:p>
            <w:pPr>
              <w:jc w:val="center"/>
              <w:ind w:right="97"/>
              <w:spacing w:after="0" w:line="138" w:lineRule="exact"/>
              <w:rPr>
                <w:sz w:val="20"/>
                <w:szCs w:val="20"/>
                <w:color w:val="auto"/>
              </w:rPr>
            </w:pPr>
            <w:r>
              <w:rPr>
                <w:rFonts w:ascii="Arial" w:cs="Arial" w:eastAsia="Arial" w:hAnsi="Arial"/>
                <w:sz w:val="13"/>
                <w:szCs w:val="13"/>
                <w:color w:val="FFFFFF"/>
                <w:w w:val="94"/>
              </w:rPr>
              <w:t>of Prior Year to Last Day of Year of</w:t>
            </w:r>
          </w:p>
        </w:tc>
        <w:tc>
          <w:tcPr>
            <w:tcW w:w="2600" w:type="dxa"/>
            <w:vAlign w:val="bottom"/>
            <w:shd w:val="clear" w:color="auto" w:fill="007DB6"/>
          </w:tcPr>
          <w:p>
            <w:pPr>
              <w:jc w:val="center"/>
              <w:ind w:right="117"/>
              <w:spacing w:after="0" w:line="138" w:lineRule="exact"/>
              <w:rPr>
                <w:sz w:val="20"/>
                <w:szCs w:val="20"/>
                <w:color w:val="auto"/>
              </w:rPr>
            </w:pPr>
            <w:r>
              <w:rPr>
                <w:rFonts w:ascii="Arial" w:cs="Arial" w:eastAsia="Arial" w:hAnsi="Arial"/>
                <w:sz w:val="13"/>
                <w:szCs w:val="13"/>
                <w:color w:val="FFFFFF"/>
                <w:w w:val="95"/>
              </w:rPr>
              <w:t>Prior Year to Vesting Date of Unvested</w:t>
            </w:r>
          </w:p>
        </w:tc>
        <w:tc>
          <w:tcPr>
            <w:tcW w:w="2480" w:type="dxa"/>
            <w:vAlign w:val="bottom"/>
            <w:shd w:val="clear" w:color="auto" w:fill="007DB6"/>
          </w:tcPr>
          <w:p>
            <w:pPr>
              <w:jc w:val="center"/>
              <w:spacing w:after="0" w:line="138" w:lineRule="exact"/>
              <w:rPr>
                <w:sz w:val="20"/>
                <w:szCs w:val="20"/>
                <w:color w:val="auto"/>
              </w:rPr>
            </w:pPr>
            <w:r>
              <w:rPr>
                <w:rFonts w:ascii="Arial" w:cs="Arial" w:eastAsia="Arial" w:hAnsi="Arial"/>
                <w:sz w:val="13"/>
                <w:szCs w:val="13"/>
                <w:color w:val="FFFFFF"/>
                <w:w w:val="95"/>
              </w:rPr>
              <w:t>Total - Inclusion of Equity Values for H.</w:t>
            </w:r>
          </w:p>
        </w:tc>
        <w:tc>
          <w:tcPr>
            <w:tcW w:w="0" w:type="dxa"/>
            <w:vAlign w:val="bottom"/>
          </w:tcPr>
          <w:p>
            <w:pPr>
              <w:spacing w:after="0"/>
              <w:rPr>
                <w:sz w:val="1"/>
                <w:szCs w:val="1"/>
                <w:color w:val="auto"/>
              </w:rPr>
            </w:pPr>
          </w:p>
        </w:tc>
      </w:tr>
      <w:tr>
        <w:trPr>
          <w:trHeight w:val="90"/>
        </w:trPr>
        <w:tc>
          <w:tcPr>
            <w:tcW w:w="740" w:type="dxa"/>
            <w:vAlign w:val="bottom"/>
            <w:vMerge w:val="continue"/>
            <w:shd w:val="clear" w:color="auto" w:fill="007DB6"/>
          </w:tcPr>
          <w:p>
            <w:pPr>
              <w:spacing w:after="0"/>
              <w:rPr>
                <w:sz w:val="7"/>
                <w:szCs w:val="7"/>
                <w:color w:val="auto"/>
              </w:rPr>
            </w:pPr>
          </w:p>
        </w:tc>
        <w:tc>
          <w:tcPr>
            <w:tcW w:w="2860" w:type="dxa"/>
            <w:vAlign w:val="bottom"/>
            <w:vMerge w:val="restart"/>
            <w:shd w:val="clear" w:color="auto" w:fill="007DB6"/>
          </w:tcPr>
          <w:p>
            <w:pPr>
              <w:jc w:val="center"/>
              <w:ind w:right="137"/>
              <w:spacing w:after="0" w:line="138" w:lineRule="exact"/>
              <w:rPr>
                <w:sz w:val="20"/>
                <w:szCs w:val="20"/>
                <w:color w:val="auto"/>
              </w:rPr>
            </w:pPr>
            <w:r>
              <w:rPr>
                <w:rFonts w:ascii="Arial" w:cs="Arial" w:eastAsia="Arial" w:hAnsi="Arial"/>
                <w:sz w:val="13"/>
                <w:szCs w:val="13"/>
                <w:color w:val="FFFFFF"/>
                <w:w w:val="96"/>
              </w:rPr>
              <w:t>Unvested as of Last Day of Year for H.</w:t>
            </w:r>
          </w:p>
        </w:tc>
        <w:tc>
          <w:tcPr>
            <w:tcW w:w="2560" w:type="dxa"/>
            <w:vAlign w:val="bottom"/>
            <w:vMerge w:val="restart"/>
            <w:shd w:val="clear" w:color="auto" w:fill="007DB6"/>
          </w:tcPr>
          <w:p>
            <w:pPr>
              <w:jc w:val="center"/>
              <w:ind w:right="97"/>
              <w:spacing w:after="0" w:line="138" w:lineRule="exact"/>
              <w:rPr>
                <w:sz w:val="20"/>
                <w:szCs w:val="20"/>
                <w:color w:val="auto"/>
              </w:rPr>
            </w:pPr>
            <w:r>
              <w:rPr>
                <w:rFonts w:ascii="Arial" w:cs="Arial" w:eastAsia="Arial" w:hAnsi="Arial"/>
                <w:sz w:val="13"/>
                <w:szCs w:val="13"/>
                <w:color w:val="FFFFFF"/>
                <w:w w:val="95"/>
              </w:rPr>
              <w:t>Unvested Equity Awards for H. Lynn</w:t>
            </w:r>
          </w:p>
        </w:tc>
        <w:tc>
          <w:tcPr>
            <w:tcW w:w="2600" w:type="dxa"/>
            <w:vAlign w:val="bottom"/>
            <w:vMerge w:val="restart"/>
            <w:shd w:val="clear" w:color="auto" w:fill="007DB6"/>
          </w:tcPr>
          <w:p>
            <w:pPr>
              <w:jc w:val="center"/>
              <w:ind w:right="117"/>
              <w:spacing w:after="0" w:line="138" w:lineRule="exact"/>
              <w:rPr>
                <w:sz w:val="20"/>
                <w:szCs w:val="20"/>
                <w:color w:val="auto"/>
              </w:rPr>
            </w:pPr>
            <w:r>
              <w:rPr>
                <w:rFonts w:ascii="Arial" w:cs="Arial" w:eastAsia="Arial" w:hAnsi="Arial"/>
                <w:sz w:val="13"/>
                <w:szCs w:val="13"/>
                <w:color w:val="FFFFFF"/>
                <w:w w:val="95"/>
              </w:rPr>
              <w:t>Equity Awards that Vested During</w:t>
            </w:r>
          </w:p>
        </w:tc>
        <w:tc>
          <w:tcPr>
            <w:tcW w:w="2480" w:type="dxa"/>
            <w:vAlign w:val="bottom"/>
            <w:vMerge w:val="restart"/>
            <w:shd w:val="clear" w:color="auto" w:fill="007DB6"/>
          </w:tcPr>
          <w:p>
            <w:pPr>
              <w:jc w:val="center"/>
              <w:spacing w:after="0" w:line="138" w:lineRule="exact"/>
              <w:rPr>
                <w:sz w:val="20"/>
                <w:szCs w:val="20"/>
                <w:color w:val="auto"/>
              </w:rPr>
            </w:pPr>
            <w:r>
              <w:rPr>
                <w:rFonts w:ascii="Arial" w:cs="Arial" w:eastAsia="Arial" w:hAnsi="Arial"/>
                <w:sz w:val="13"/>
                <w:szCs w:val="13"/>
                <w:color w:val="FFFFFF"/>
                <w:w w:val="95"/>
              </w:rPr>
              <w:t>Lynn Harton ($)</w:t>
            </w:r>
          </w:p>
        </w:tc>
        <w:tc>
          <w:tcPr>
            <w:tcW w:w="0" w:type="dxa"/>
            <w:vAlign w:val="bottom"/>
          </w:tcPr>
          <w:p>
            <w:pPr>
              <w:spacing w:after="0"/>
              <w:rPr>
                <w:sz w:val="1"/>
                <w:szCs w:val="1"/>
                <w:color w:val="auto"/>
              </w:rPr>
            </w:pPr>
          </w:p>
        </w:tc>
      </w:tr>
      <w:tr>
        <w:trPr>
          <w:trHeight w:val="47"/>
        </w:trPr>
        <w:tc>
          <w:tcPr>
            <w:tcW w:w="740" w:type="dxa"/>
            <w:vAlign w:val="bottom"/>
            <w:shd w:val="clear" w:color="auto" w:fill="007DB6"/>
          </w:tcPr>
          <w:p>
            <w:pPr>
              <w:spacing w:after="0"/>
              <w:rPr>
                <w:sz w:val="4"/>
                <w:szCs w:val="4"/>
                <w:color w:val="auto"/>
              </w:rPr>
            </w:pPr>
          </w:p>
        </w:tc>
        <w:tc>
          <w:tcPr>
            <w:tcW w:w="2860" w:type="dxa"/>
            <w:vAlign w:val="bottom"/>
            <w:vMerge w:val="continue"/>
            <w:shd w:val="clear" w:color="auto" w:fill="007DB6"/>
          </w:tcPr>
          <w:p>
            <w:pPr>
              <w:spacing w:after="0"/>
              <w:rPr>
                <w:sz w:val="4"/>
                <w:szCs w:val="4"/>
                <w:color w:val="auto"/>
              </w:rPr>
            </w:pPr>
          </w:p>
        </w:tc>
        <w:tc>
          <w:tcPr>
            <w:tcW w:w="2560" w:type="dxa"/>
            <w:vAlign w:val="bottom"/>
            <w:vMerge w:val="continue"/>
            <w:shd w:val="clear" w:color="auto" w:fill="007DB6"/>
          </w:tcPr>
          <w:p>
            <w:pPr>
              <w:spacing w:after="0"/>
              <w:rPr>
                <w:sz w:val="4"/>
                <w:szCs w:val="4"/>
                <w:color w:val="auto"/>
              </w:rPr>
            </w:pPr>
          </w:p>
        </w:tc>
        <w:tc>
          <w:tcPr>
            <w:tcW w:w="2600" w:type="dxa"/>
            <w:vAlign w:val="bottom"/>
            <w:vMerge w:val="continue"/>
            <w:shd w:val="clear" w:color="auto" w:fill="007DB6"/>
          </w:tcPr>
          <w:p>
            <w:pPr>
              <w:spacing w:after="0"/>
              <w:rPr>
                <w:sz w:val="4"/>
                <w:szCs w:val="4"/>
                <w:color w:val="auto"/>
              </w:rPr>
            </w:pPr>
          </w:p>
        </w:tc>
        <w:tc>
          <w:tcPr>
            <w:tcW w:w="2480" w:type="dxa"/>
            <w:vAlign w:val="bottom"/>
            <w:vMerge w:val="continue"/>
            <w:shd w:val="clear" w:color="auto" w:fill="007DB6"/>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740" w:type="dxa"/>
            <w:vAlign w:val="bottom"/>
            <w:tcBorders>
              <w:bottom w:val="single" w:sz="8" w:color="007DB6"/>
            </w:tcBorders>
            <w:shd w:val="clear" w:color="auto" w:fill="007DB6"/>
          </w:tcPr>
          <w:p>
            <w:pPr>
              <w:spacing w:after="0"/>
              <w:rPr>
                <w:sz w:val="15"/>
                <w:szCs w:val="15"/>
                <w:color w:val="auto"/>
              </w:rPr>
            </w:pPr>
          </w:p>
        </w:tc>
        <w:tc>
          <w:tcPr>
            <w:tcW w:w="2860" w:type="dxa"/>
            <w:vAlign w:val="bottom"/>
            <w:tcBorders>
              <w:bottom w:val="single" w:sz="8" w:color="007DB6"/>
            </w:tcBorders>
            <w:shd w:val="clear" w:color="auto" w:fill="007DB6"/>
          </w:tcPr>
          <w:p>
            <w:pPr>
              <w:jc w:val="center"/>
              <w:ind w:right="97"/>
              <w:spacing w:after="0"/>
              <w:rPr>
                <w:sz w:val="20"/>
                <w:szCs w:val="20"/>
                <w:color w:val="auto"/>
              </w:rPr>
            </w:pPr>
            <w:r>
              <w:rPr>
                <w:rFonts w:ascii="Arial" w:cs="Arial" w:eastAsia="Arial" w:hAnsi="Arial"/>
                <w:sz w:val="13"/>
                <w:szCs w:val="13"/>
                <w:color w:val="FFFFFF"/>
                <w:w w:val="95"/>
              </w:rPr>
              <w:t>Lynn Harton ($)</w:t>
            </w:r>
          </w:p>
        </w:tc>
        <w:tc>
          <w:tcPr>
            <w:tcW w:w="2560" w:type="dxa"/>
            <w:vAlign w:val="bottom"/>
            <w:tcBorders>
              <w:bottom w:val="single" w:sz="8" w:color="007DB6"/>
            </w:tcBorders>
            <w:shd w:val="clear" w:color="auto" w:fill="007DB6"/>
          </w:tcPr>
          <w:p>
            <w:pPr>
              <w:jc w:val="center"/>
              <w:ind w:right="97"/>
              <w:spacing w:after="0"/>
              <w:rPr>
                <w:sz w:val="20"/>
                <w:szCs w:val="20"/>
                <w:color w:val="auto"/>
              </w:rPr>
            </w:pPr>
            <w:r>
              <w:rPr>
                <w:rFonts w:ascii="Arial" w:cs="Arial" w:eastAsia="Arial" w:hAnsi="Arial"/>
                <w:sz w:val="13"/>
                <w:szCs w:val="13"/>
                <w:color w:val="FFFFFF"/>
                <w:w w:val="95"/>
              </w:rPr>
              <w:t>Harton ($)</w:t>
            </w:r>
          </w:p>
        </w:tc>
        <w:tc>
          <w:tcPr>
            <w:tcW w:w="2600" w:type="dxa"/>
            <w:vAlign w:val="bottom"/>
            <w:tcBorders>
              <w:bottom w:val="single" w:sz="8" w:color="007DB6"/>
            </w:tcBorders>
            <w:shd w:val="clear" w:color="auto" w:fill="007DB6"/>
          </w:tcPr>
          <w:p>
            <w:pPr>
              <w:jc w:val="center"/>
              <w:ind w:right="97"/>
              <w:spacing w:after="0"/>
              <w:rPr>
                <w:sz w:val="20"/>
                <w:szCs w:val="20"/>
                <w:color w:val="auto"/>
              </w:rPr>
            </w:pPr>
            <w:r>
              <w:rPr>
                <w:rFonts w:ascii="Arial" w:cs="Arial" w:eastAsia="Arial" w:hAnsi="Arial"/>
                <w:sz w:val="13"/>
                <w:szCs w:val="13"/>
                <w:color w:val="FFFFFF"/>
                <w:w w:val="94"/>
              </w:rPr>
              <w:t>Year for H. Lynn Harton ($)</w:t>
            </w:r>
          </w:p>
        </w:tc>
        <w:tc>
          <w:tcPr>
            <w:tcW w:w="2480" w:type="dxa"/>
            <w:vAlign w:val="bottom"/>
            <w:tcBorders>
              <w:bottom w:val="single" w:sz="8" w:color="007DB6"/>
            </w:tcBorders>
            <w:shd w:val="clear" w:color="auto" w:fill="007DB6"/>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40" w:type="dxa"/>
            <w:vAlign w:val="bottom"/>
            <w:tcBorders>
              <w:bottom w:val="single" w:sz="8" w:color="E1E2E2"/>
            </w:tcBorders>
            <w:shd w:val="clear" w:color="auto" w:fill="E1E2E2"/>
          </w:tcPr>
          <w:p>
            <w:pPr>
              <w:ind w:left="200"/>
              <w:spacing w:after="0"/>
              <w:rPr>
                <w:sz w:val="20"/>
                <w:szCs w:val="20"/>
                <w:color w:val="auto"/>
              </w:rPr>
            </w:pPr>
            <w:r>
              <w:rPr>
                <w:rFonts w:ascii="Arial" w:cs="Arial" w:eastAsia="Arial" w:hAnsi="Arial"/>
                <w:sz w:val="13"/>
                <w:szCs w:val="13"/>
                <w:color w:val="474C55"/>
              </w:rPr>
              <w:t>2024</w:t>
            </w:r>
          </w:p>
        </w:tc>
        <w:tc>
          <w:tcPr>
            <w:tcW w:w="2860" w:type="dxa"/>
            <w:vAlign w:val="bottom"/>
            <w:tcBorders>
              <w:bottom w:val="single" w:sz="8" w:color="E1E2E2"/>
            </w:tcBorders>
            <w:shd w:val="clear" w:color="auto" w:fill="E1E2E2"/>
          </w:tcPr>
          <w:p>
            <w:pPr>
              <w:jc w:val="right"/>
              <w:ind w:right="97"/>
              <w:spacing w:after="0"/>
              <w:rPr>
                <w:sz w:val="20"/>
                <w:szCs w:val="20"/>
                <w:color w:val="auto"/>
              </w:rPr>
            </w:pPr>
            <w:r>
              <w:rPr>
                <w:rFonts w:ascii="Arial" w:cs="Arial" w:eastAsia="Arial" w:hAnsi="Arial"/>
                <w:sz w:val="13"/>
                <w:szCs w:val="13"/>
                <w:color w:val="474C55"/>
              </w:rPr>
              <w:t>$ 2,304,849</w:t>
            </w:r>
          </w:p>
        </w:tc>
        <w:tc>
          <w:tcPr>
            <w:tcW w:w="2560" w:type="dxa"/>
            <w:vAlign w:val="bottom"/>
            <w:tcBorders>
              <w:bottom w:val="single" w:sz="8" w:color="E1E2E2"/>
            </w:tcBorders>
            <w:shd w:val="clear" w:color="auto" w:fill="E1E2E2"/>
          </w:tcPr>
          <w:p>
            <w:pPr>
              <w:jc w:val="right"/>
              <w:ind w:right="57"/>
              <w:spacing w:after="0"/>
              <w:rPr>
                <w:sz w:val="20"/>
                <w:szCs w:val="20"/>
                <w:color w:val="auto"/>
              </w:rPr>
            </w:pPr>
            <w:r>
              <w:rPr>
                <w:rFonts w:ascii="Arial" w:cs="Arial" w:eastAsia="Arial" w:hAnsi="Arial"/>
                <w:sz w:val="13"/>
                <w:szCs w:val="13"/>
                <w:color w:val="474C55"/>
              </w:rPr>
              <w:t>$ (75,405)</w:t>
            </w:r>
          </w:p>
        </w:tc>
        <w:tc>
          <w:tcPr>
            <w:tcW w:w="2600" w:type="dxa"/>
            <w:vAlign w:val="bottom"/>
            <w:tcBorders>
              <w:bottom w:val="single" w:sz="8" w:color="E1E2E2"/>
            </w:tcBorders>
            <w:shd w:val="clear" w:color="auto" w:fill="E1E2E2"/>
          </w:tcPr>
          <w:p>
            <w:pPr>
              <w:jc w:val="right"/>
              <w:ind w:right="77"/>
              <w:spacing w:after="0"/>
              <w:rPr>
                <w:sz w:val="20"/>
                <w:szCs w:val="20"/>
                <w:color w:val="auto"/>
              </w:rPr>
            </w:pPr>
            <w:r>
              <w:rPr>
                <w:rFonts w:ascii="Arial" w:cs="Arial" w:eastAsia="Arial" w:hAnsi="Arial"/>
                <w:sz w:val="13"/>
                <w:szCs w:val="13"/>
                <w:color w:val="474C55"/>
              </w:rPr>
              <w:t>$ (22,426)</w:t>
            </w:r>
          </w:p>
        </w:tc>
        <w:tc>
          <w:tcPr>
            <w:tcW w:w="2480" w:type="dxa"/>
            <w:vAlign w:val="bottom"/>
            <w:tcBorders>
              <w:bottom w:val="single" w:sz="8" w:color="E1E2E2"/>
            </w:tcBorders>
            <w:shd w:val="clear" w:color="auto" w:fill="E1E2E2"/>
          </w:tcPr>
          <w:p>
            <w:pPr>
              <w:jc w:val="right"/>
              <w:spacing w:after="0"/>
              <w:rPr>
                <w:sz w:val="20"/>
                <w:szCs w:val="20"/>
                <w:color w:val="auto"/>
              </w:rPr>
            </w:pPr>
            <w:r>
              <w:rPr>
                <w:rFonts w:ascii="Arial" w:cs="Arial" w:eastAsia="Arial" w:hAnsi="Arial"/>
                <w:sz w:val="13"/>
                <w:szCs w:val="13"/>
                <w:color w:val="474C55"/>
              </w:rPr>
              <w:t>$ 2,207,018</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40" w:type="dxa"/>
            <w:vAlign w:val="bottom"/>
            <w:shd w:val="clear" w:color="auto" w:fill="007DB6"/>
          </w:tcPr>
          <w:p>
            <w:pPr>
              <w:spacing w:after="0"/>
              <w:rPr>
                <w:sz w:val="15"/>
                <w:szCs w:val="15"/>
                <w:color w:val="auto"/>
              </w:rPr>
            </w:pPr>
          </w:p>
        </w:tc>
        <w:tc>
          <w:tcPr>
            <w:tcW w:w="2860" w:type="dxa"/>
            <w:vAlign w:val="bottom"/>
            <w:vMerge w:val="restart"/>
            <w:shd w:val="clear" w:color="auto" w:fill="007DB6"/>
          </w:tcPr>
          <w:p>
            <w:pPr>
              <w:jc w:val="center"/>
              <w:ind w:right="97"/>
              <w:spacing w:after="0"/>
              <w:rPr>
                <w:sz w:val="20"/>
                <w:szCs w:val="20"/>
                <w:color w:val="auto"/>
              </w:rPr>
            </w:pPr>
            <w:r>
              <w:rPr>
                <w:rFonts w:ascii="Arial" w:cs="Arial" w:eastAsia="Arial" w:hAnsi="Arial"/>
                <w:sz w:val="13"/>
                <w:szCs w:val="13"/>
                <w:color w:val="FFFFFF"/>
                <w:w w:val="94"/>
              </w:rPr>
              <w:t>Average Year-End Fair Value of</w:t>
            </w:r>
          </w:p>
        </w:tc>
        <w:tc>
          <w:tcPr>
            <w:tcW w:w="2560" w:type="dxa"/>
            <w:vAlign w:val="bottom"/>
            <w:vMerge w:val="restart"/>
            <w:shd w:val="clear" w:color="auto" w:fill="007DB6"/>
          </w:tcPr>
          <w:p>
            <w:pPr>
              <w:jc w:val="center"/>
              <w:ind w:right="117"/>
              <w:spacing w:after="0"/>
              <w:rPr>
                <w:sz w:val="20"/>
                <w:szCs w:val="20"/>
                <w:color w:val="auto"/>
              </w:rPr>
            </w:pPr>
            <w:r>
              <w:rPr>
                <w:rFonts w:ascii="Arial" w:cs="Arial" w:eastAsia="Arial" w:hAnsi="Arial"/>
                <w:sz w:val="13"/>
                <w:szCs w:val="13"/>
                <w:color w:val="FFFFFF"/>
                <w:w w:val="95"/>
              </w:rPr>
              <w:t>Average Change in Fair Value from</w:t>
            </w:r>
          </w:p>
        </w:tc>
        <w:tc>
          <w:tcPr>
            <w:tcW w:w="2600" w:type="dxa"/>
            <w:vAlign w:val="bottom"/>
            <w:shd w:val="clear" w:color="auto" w:fill="007DB6"/>
          </w:tcPr>
          <w:p>
            <w:pPr>
              <w:jc w:val="center"/>
              <w:ind w:right="137"/>
              <w:spacing w:after="0"/>
              <w:rPr>
                <w:sz w:val="20"/>
                <w:szCs w:val="20"/>
                <w:color w:val="auto"/>
              </w:rPr>
            </w:pPr>
            <w:r>
              <w:rPr>
                <w:rFonts w:ascii="Arial" w:cs="Arial" w:eastAsia="Arial" w:hAnsi="Arial"/>
                <w:sz w:val="13"/>
                <w:szCs w:val="13"/>
                <w:color w:val="FFFFFF"/>
                <w:w w:val="96"/>
              </w:rPr>
              <w:t>Average Change in Fair Value from</w:t>
            </w:r>
          </w:p>
        </w:tc>
        <w:tc>
          <w:tcPr>
            <w:tcW w:w="2480" w:type="dxa"/>
            <w:vAlign w:val="bottom"/>
            <w:shd w:val="clear" w:color="auto" w:fill="007DB6"/>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740" w:type="dxa"/>
            <w:vAlign w:val="bottom"/>
            <w:shd w:val="clear" w:color="auto" w:fill="007DB6"/>
          </w:tcPr>
          <w:p>
            <w:pPr>
              <w:spacing w:after="0"/>
              <w:rPr>
                <w:sz w:val="5"/>
                <w:szCs w:val="5"/>
                <w:color w:val="auto"/>
              </w:rPr>
            </w:pPr>
          </w:p>
        </w:tc>
        <w:tc>
          <w:tcPr>
            <w:tcW w:w="2860" w:type="dxa"/>
            <w:vAlign w:val="bottom"/>
            <w:vMerge w:val="continue"/>
            <w:shd w:val="clear" w:color="auto" w:fill="007DB6"/>
          </w:tcPr>
          <w:p>
            <w:pPr>
              <w:spacing w:after="0"/>
              <w:rPr>
                <w:sz w:val="5"/>
                <w:szCs w:val="5"/>
                <w:color w:val="auto"/>
              </w:rPr>
            </w:pPr>
          </w:p>
        </w:tc>
        <w:tc>
          <w:tcPr>
            <w:tcW w:w="2560" w:type="dxa"/>
            <w:vAlign w:val="bottom"/>
            <w:vMerge w:val="continue"/>
            <w:shd w:val="clear" w:color="auto" w:fill="007DB6"/>
          </w:tcPr>
          <w:p>
            <w:pPr>
              <w:spacing w:after="0"/>
              <w:rPr>
                <w:sz w:val="5"/>
                <w:szCs w:val="5"/>
                <w:color w:val="auto"/>
              </w:rPr>
            </w:pPr>
          </w:p>
        </w:tc>
        <w:tc>
          <w:tcPr>
            <w:tcW w:w="2600" w:type="dxa"/>
            <w:vAlign w:val="bottom"/>
            <w:vMerge w:val="restart"/>
            <w:shd w:val="clear" w:color="auto" w:fill="007DB6"/>
          </w:tcPr>
          <w:p>
            <w:pPr>
              <w:jc w:val="center"/>
              <w:ind w:right="137"/>
              <w:spacing w:after="0" w:line="138" w:lineRule="exact"/>
              <w:rPr>
                <w:sz w:val="20"/>
                <w:szCs w:val="20"/>
                <w:color w:val="auto"/>
              </w:rPr>
            </w:pPr>
            <w:r>
              <w:rPr>
                <w:rFonts w:ascii="Arial" w:cs="Arial" w:eastAsia="Arial" w:hAnsi="Arial"/>
                <w:sz w:val="13"/>
                <w:szCs w:val="13"/>
                <w:color w:val="FFFFFF"/>
                <w:w w:val="95"/>
              </w:rPr>
              <w:t>Last Day of Prior Year to Vesting</w:t>
            </w:r>
          </w:p>
        </w:tc>
        <w:tc>
          <w:tcPr>
            <w:tcW w:w="2480" w:type="dxa"/>
            <w:vAlign w:val="bottom"/>
            <w:shd w:val="clear" w:color="auto" w:fill="007DB6"/>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40" w:type="dxa"/>
            <w:vAlign w:val="bottom"/>
            <w:shd w:val="clear" w:color="auto" w:fill="007DB6"/>
          </w:tcPr>
          <w:p>
            <w:pPr>
              <w:spacing w:after="0"/>
              <w:rPr>
                <w:sz w:val="6"/>
                <w:szCs w:val="6"/>
                <w:color w:val="auto"/>
              </w:rPr>
            </w:pPr>
          </w:p>
        </w:tc>
        <w:tc>
          <w:tcPr>
            <w:tcW w:w="2860" w:type="dxa"/>
            <w:vAlign w:val="bottom"/>
            <w:vMerge w:val="restart"/>
            <w:shd w:val="clear" w:color="auto" w:fill="007DB6"/>
          </w:tcPr>
          <w:p>
            <w:pPr>
              <w:jc w:val="center"/>
              <w:ind w:right="137"/>
              <w:spacing w:after="0" w:line="138" w:lineRule="exact"/>
              <w:rPr>
                <w:sz w:val="20"/>
                <w:szCs w:val="20"/>
                <w:color w:val="auto"/>
              </w:rPr>
            </w:pPr>
            <w:r>
              <w:rPr>
                <w:rFonts w:ascii="Arial" w:cs="Arial" w:eastAsia="Arial" w:hAnsi="Arial"/>
                <w:sz w:val="13"/>
                <w:szCs w:val="13"/>
                <w:color w:val="FFFFFF"/>
                <w:w w:val="95"/>
              </w:rPr>
              <w:t>Equity Awards Granted During Year</w:t>
            </w:r>
          </w:p>
        </w:tc>
        <w:tc>
          <w:tcPr>
            <w:tcW w:w="2560" w:type="dxa"/>
            <w:vAlign w:val="bottom"/>
            <w:vMerge w:val="restart"/>
            <w:shd w:val="clear" w:color="auto" w:fill="007DB6"/>
          </w:tcPr>
          <w:p>
            <w:pPr>
              <w:jc w:val="center"/>
              <w:ind w:right="117"/>
              <w:spacing w:after="0" w:line="138" w:lineRule="exact"/>
              <w:rPr>
                <w:sz w:val="20"/>
                <w:szCs w:val="20"/>
                <w:color w:val="auto"/>
              </w:rPr>
            </w:pPr>
            <w:r>
              <w:rPr>
                <w:rFonts w:ascii="Arial" w:cs="Arial" w:eastAsia="Arial" w:hAnsi="Arial"/>
                <w:sz w:val="13"/>
                <w:szCs w:val="13"/>
                <w:color w:val="FFFFFF"/>
                <w:w w:val="95"/>
              </w:rPr>
              <w:t>Last Day of Prior Year to Last Day of</w:t>
            </w:r>
          </w:p>
        </w:tc>
        <w:tc>
          <w:tcPr>
            <w:tcW w:w="2600" w:type="dxa"/>
            <w:vAlign w:val="bottom"/>
            <w:vMerge w:val="continue"/>
            <w:shd w:val="clear" w:color="auto" w:fill="007DB6"/>
          </w:tcPr>
          <w:p>
            <w:pPr>
              <w:spacing w:after="0"/>
              <w:rPr>
                <w:sz w:val="6"/>
                <w:szCs w:val="6"/>
                <w:color w:val="auto"/>
              </w:rPr>
            </w:pPr>
          </w:p>
        </w:tc>
        <w:tc>
          <w:tcPr>
            <w:tcW w:w="2480" w:type="dxa"/>
            <w:vAlign w:val="bottom"/>
            <w:vMerge w:val="restart"/>
            <w:shd w:val="clear" w:color="auto" w:fill="007DB6"/>
          </w:tcPr>
          <w:p>
            <w:pPr>
              <w:jc w:val="center"/>
              <w:ind w:right="37"/>
              <w:spacing w:after="0" w:line="138" w:lineRule="exact"/>
              <w:rPr>
                <w:sz w:val="20"/>
                <w:szCs w:val="20"/>
                <w:color w:val="auto"/>
              </w:rPr>
            </w:pPr>
            <w:r>
              <w:rPr>
                <w:rFonts w:ascii="Arial" w:cs="Arial" w:eastAsia="Arial" w:hAnsi="Arial"/>
                <w:sz w:val="13"/>
                <w:szCs w:val="13"/>
                <w:color w:val="FFFFFF"/>
                <w:w w:val="95"/>
              </w:rPr>
              <w:t>Total - Average Inclusion of Equity</w:t>
            </w:r>
          </w:p>
        </w:tc>
        <w:tc>
          <w:tcPr>
            <w:tcW w:w="0" w:type="dxa"/>
            <w:vAlign w:val="bottom"/>
          </w:tcPr>
          <w:p>
            <w:pPr>
              <w:spacing w:after="0"/>
              <w:rPr>
                <w:sz w:val="1"/>
                <w:szCs w:val="1"/>
                <w:color w:val="auto"/>
              </w:rPr>
            </w:pPr>
          </w:p>
        </w:tc>
      </w:tr>
      <w:tr>
        <w:trPr>
          <w:trHeight w:val="63"/>
        </w:trPr>
        <w:tc>
          <w:tcPr>
            <w:tcW w:w="740" w:type="dxa"/>
            <w:vAlign w:val="bottom"/>
            <w:vMerge w:val="restart"/>
            <w:shd w:val="clear" w:color="auto" w:fill="007DB6"/>
          </w:tcPr>
          <w:p>
            <w:pPr>
              <w:ind w:left="220"/>
              <w:spacing w:after="0" w:line="138" w:lineRule="exact"/>
              <w:rPr>
                <w:sz w:val="20"/>
                <w:szCs w:val="20"/>
                <w:color w:val="auto"/>
              </w:rPr>
            </w:pPr>
            <w:r>
              <w:rPr>
                <w:rFonts w:ascii="Arial" w:cs="Arial" w:eastAsia="Arial" w:hAnsi="Arial"/>
                <w:sz w:val="13"/>
                <w:szCs w:val="13"/>
                <w:color w:val="FFFFFF"/>
              </w:rPr>
              <w:t>Year</w:t>
            </w:r>
          </w:p>
        </w:tc>
        <w:tc>
          <w:tcPr>
            <w:tcW w:w="2860" w:type="dxa"/>
            <w:vAlign w:val="bottom"/>
            <w:vMerge w:val="continue"/>
            <w:shd w:val="clear" w:color="auto" w:fill="007DB6"/>
          </w:tcPr>
          <w:p>
            <w:pPr>
              <w:spacing w:after="0"/>
              <w:rPr>
                <w:sz w:val="5"/>
                <w:szCs w:val="5"/>
                <w:color w:val="auto"/>
              </w:rPr>
            </w:pPr>
          </w:p>
        </w:tc>
        <w:tc>
          <w:tcPr>
            <w:tcW w:w="2560" w:type="dxa"/>
            <w:vAlign w:val="bottom"/>
            <w:vMerge w:val="continue"/>
            <w:shd w:val="clear" w:color="auto" w:fill="007DB6"/>
          </w:tcPr>
          <w:p>
            <w:pPr>
              <w:spacing w:after="0"/>
              <w:rPr>
                <w:sz w:val="5"/>
                <w:szCs w:val="5"/>
                <w:color w:val="auto"/>
              </w:rPr>
            </w:pPr>
          </w:p>
        </w:tc>
        <w:tc>
          <w:tcPr>
            <w:tcW w:w="2600" w:type="dxa"/>
            <w:vAlign w:val="bottom"/>
            <w:vMerge w:val="restart"/>
            <w:shd w:val="clear" w:color="auto" w:fill="007DB6"/>
          </w:tcPr>
          <w:p>
            <w:pPr>
              <w:jc w:val="center"/>
              <w:ind w:right="97"/>
              <w:spacing w:after="0" w:line="138" w:lineRule="exact"/>
              <w:rPr>
                <w:sz w:val="20"/>
                <w:szCs w:val="20"/>
                <w:color w:val="auto"/>
              </w:rPr>
            </w:pPr>
            <w:r>
              <w:rPr>
                <w:rFonts w:ascii="Arial" w:cs="Arial" w:eastAsia="Arial" w:hAnsi="Arial"/>
                <w:sz w:val="13"/>
                <w:szCs w:val="13"/>
                <w:color w:val="FFFFFF"/>
                <w:w w:val="96"/>
              </w:rPr>
              <w:t>Date of Unvested Equity Awards</w:t>
            </w:r>
          </w:p>
        </w:tc>
        <w:tc>
          <w:tcPr>
            <w:tcW w:w="2480" w:type="dxa"/>
            <w:vAlign w:val="bottom"/>
            <w:vMerge w:val="continue"/>
            <w:shd w:val="clear" w:color="auto" w:fill="007DB6"/>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40" w:type="dxa"/>
            <w:vAlign w:val="bottom"/>
            <w:vMerge w:val="continue"/>
            <w:shd w:val="clear" w:color="auto" w:fill="007DB6"/>
          </w:tcPr>
          <w:p>
            <w:pPr>
              <w:spacing w:after="0"/>
              <w:rPr>
                <w:sz w:val="6"/>
                <w:szCs w:val="6"/>
                <w:color w:val="auto"/>
              </w:rPr>
            </w:pPr>
          </w:p>
        </w:tc>
        <w:tc>
          <w:tcPr>
            <w:tcW w:w="2860" w:type="dxa"/>
            <w:vAlign w:val="bottom"/>
            <w:vMerge w:val="restart"/>
            <w:shd w:val="clear" w:color="auto" w:fill="007DB6"/>
          </w:tcPr>
          <w:p>
            <w:pPr>
              <w:jc w:val="center"/>
              <w:ind w:right="97"/>
              <w:spacing w:after="0" w:line="138" w:lineRule="exact"/>
              <w:rPr>
                <w:sz w:val="20"/>
                <w:szCs w:val="20"/>
                <w:color w:val="auto"/>
              </w:rPr>
            </w:pPr>
            <w:r>
              <w:rPr>
                <w:rFonts w:ascii="Arial" w:cs="Arial" w:eastAsia="Arial" w:hAnsi="Arial"/>
                <w:sz w:val="13"/>
                <w:szCs w:val="13"/>
                <w:color w:val="FFFFFF"/>
                <w:w w:val="95"/>
              </w:rPr>
              <w:t>That Remained Unvested as of Last</w:t>
            </w:r>
          </w:p>
        </w:tc>
        <w:tc>
          <w:tcPr>
            <w:tcW w:w="2560" w:type="dxa"/>
            <w:vAlign w:val="bottom"/>
            <w:vMerge w:val="restart"/>
            <w:shd w:val="clear" w:color="auto" w:fill="007DB6"/>
          </w:tcPr>
          <w:p>
            <w:pPr>
              <w:jc w:val="center"/>
              <w:ind w:right="137"/>
              <w:spacing w:after="0" w:line="138" w:lineRule="exact"/>
              <w:rPr>
                <w:sz w:val="20"/>
                <w:szCs w:val="20"/>
                <w:color w:val="auto"/>
              </w:rPr>
            </w:pPr>
            <w:r>
              <w:rPr>
                <w:rFonts w:ascii="Arial" w:cs="Arial" w:eastAsia="Arial" w:hAnsi="Arial"/>
                <w:sz w:val="13"/>
                <w:szCs w:val="13"/>
                <w:color w:val="FFFFFF"/>
                <w:w w:val="95"/>
              </w:rPr>
              <w:t>Year of Unvested Equity Awards for</w:t>
            </w:r>
          </w:p>
        </w:tc>
        <w:tc>
          <w:tcPr>
            <w:tcW w:w="2600" w:type="dxa"/>
            <w:vAlign w:val="bottom"/>
            <w:vMerge w:val="continue"/>
            <w:shd w:val="clear" w:color="auto" w:fill="007DB6"/>
          </w:tcPr>
          <w:p>
            <w:pPr>
              <w:spacing w:after="0"/>
              <w:rPr>
                <w:sz w:val="6"/>
                <w:szCs w:val="6"/>
                <w:color w:val="auto"/>
              </w:rPr>
            </w:pPr>
          </w:p>
        </w:tc>
        <w:tc>
          <w:tcPr>
            <w:tcW w:w="2480" w:type="dxa"/>
            <w:vAlign w:val="bottom"/>
            <w:vMerge w:val="restart"/>
            <w:shd w:val="clear" w:color="auto" w:fill="007DB6"/>
          </w:tcPr>
          <w:p>
            <w:pPr>
              <w:jc w:val="center"/>
              <w:ind w:right="17"/>
              <w:spacing w:after="0" w:line="138" w:lineRule="exact"/>
              <w:rPr>
                <w:sz w:val="20"/>
                <w:szCs w:val="20"/>
                <w:color w:val="auto"/>
              </w:rPr>
            </w:pPr>
            <w:r>
              <w:rPr>
                <w:rFonts w:ascii="Arial" w:cs="Arial" w:eastAsia="Arial" w:hAnsi="Arial"/>
                <w:sz w:val="13"/>
                <w:szCs w:val="13"/>
                <w:color w:val="FFFFFF"/>
                <w:w w:val="95"/>
              </w:rPr>
              <w:t>Values for NonPEO NEOs ($)</w:t>
            </w:r>
          </w:p>
        </w:tc>
        <w:tc>
          <w:tcPr>
            <w:tcW w:w="0" w:type="dxa"/>
            <w:vAlign w:val="bottom"/>
          </w:tcPr>
          <w:p>
            <w:pPr>
              <w:spacing w:after="0"/>
              <w:rPr>
                <w:sz w:val="1"/>
                <w:szCs w:val="1"/>
                <w:color w:val="auto"/>
              </w:rPr>
            </w:pPr>
          </w:p>
        </w:tc>
      </w:tr>
      <w:tr>
        <w:trPr>
          <w:trHeight w:val="63"/>
        </w:trPr>
        <w:tc>
          <w:tcPr>
            <w:tcW w:w="740" w:type="dxa"/>
            <w:vAlign w:val="bottom"/>
            <w:shd w:val="clear" w:color="auto" w:fill="007DB6"/>
          </w:tcPr>
          <w:p>
            <w:pPr>
              <w:spacing w:after="0"/>
              <w:rPr>
                <w:sz w:val="5"/>
                <w:szCs w:val="5"/>
                <w:color w:val="auto"/>
              </w:rPr>
            </w:pPr>
          </w:p>
        </w:tc>
        <w:tc>
          <w:tcPr>
            <w:tcW w:w="2860" w:type="dxa"/>
            <w:vAlign w:val="bottom"/>
            <w:vMerge w:val="continue"/>
            <w:shd w:val="clear" w:color="auto" w:fill="007DB6"/>
          </w:tcPr>
          <w:p>
            <w:pPr>
              <w:spacing w:after="0"/>
              <w:rPr>
                <w:sz w:val="5"/>
                <w:szCs w:val="5"/>
                <w:color w:val="auto"/>
              </w:rPr>
            </w:pPr>
          </w:p>
        </w:tc>
        <w:tc>
          <w:tcPr>
            <w:tcW w:w="2560" w:type="dxa"/>
            <w:vAlign w:val="bottom"/>
            <w:vMerge w:val="continue"/>
            <w:shd w:val="clear" w:color="auto" w:fill="007DB6"/>
          </w:tcPr>
          <w:p>
            <w:pPr>
              <w:spacing w:after="0"/>
              <w:rPr>
                <w:sz w:val="5"/>
                <w:szCs w:val="5"/>
                <w:color w:val="auto"/>
              </w:rPr>
            </w:pPr>
          </w:p>
        </w:tc>
        <w:tc>
          <w:tcPr>
            <w:tcW w:w="2600" w:type="dxa"/>
            <w:vAlign w:val="bottom"/>
            <w:vMerge w:val="restart"/>
            <w:shd w:val="clear" w:color="auto" w:fill="007DB6"/>
          </w:tcPr>
          <w:p>
            <w:pPr>
              <w:jc w:val="center"/>
              <w:ind w:right="117"/>
              <w:spacing w:after="0" w:line="138" w:lineRule="exact"/>
              <w:rPr>
                <w:sz w:val="20"/>
                <w:szCs w:val="20"/>
                <w:color w:val="auto"/>
              </w:rPr>
            </w:pPr>
            <w:r>
              <w:rPr>
                <w:rFonts w:ascii="Arial" w:cs="Arial" w:eastAsia="Arial" w:hAnsi="Arial"/>
                <w:sz w:val="13"/>
                <w:szCs w:val="13"/>
                <w:color w:val="FFFFFF"/>
                <w:w w:val="95"/>
              </w:rPr>
              <w:t>that Vested During Year for NonPEO</w:t>
            </w:r>
          </w:p>
        </w:tc>
        <w:tc>
          <w:tcPr>
            <w:tcW w:w="2480" w:type="dxa"/>
            <w:vAlign w:val="bottom"/>
            <w:vMerge w:val="continue"/>
            <w:shd w:val="clear" w:color="auto" w:fill="007DB6"/>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40" w:type="dxa"/>
            <w:vAlign w:val="bottom"/>
            <w:shd w:val="clear" w:color="auto" w:fill="007DB6"/>
          </w:tcPr>
          <w:p>
            <w:pPr>
              <w:spacing w:after="0"/>
              <w:rPr>
                <w:sz w:val="6"/>
                <w:szCs w:val="6"/>
                <w:color w:val="auto"/>
              </w:rPr>
            </w:pPr>
          </w:p>
        </w:tc>
        <w:tc>
          <w:tcPr>
            <w:tcW w:w="2860" w:type="dxa"/>
            <w:vAlign w:val="bottom"/>
            <w:vMerge w:val="restart"/>
            <w:shd w:val="clear" w:color="auto" w:fill="007DB6"/>
          </w:tcPr>
          <w:p>
            <w:pPr>
              <w:jc w:val="center"/>
              <w:ind w:right="97"/>
              <w:spacing w:after="0"/>
              <w:rPr>
                <w:sz w:val="20"/>
                <w:szCs w:val="20"/>
                <w:color w:val="auto"/>
              </w:rPr>
            </w:pPr>
            <w:r>
              <w:rPr>
                <w:rFonts w:ascii="Arial" w:cs="Arial" w:eastAsia="Arial" w:hAnsi="Arial"/>
                <w:sz w:val="13"/>
                <w:szCs w:val="13"/>
                <w:color w:val="FFFFFF"/>
                <w:w w:val="94"/>
              </w:rPr>
              <w:t>Day of Year for NonPEO NEOs ($)</w:t>
            </w:r>
          </w:p>
        </w:tc>
        <w:tc>
          <w:tcPr>
            <w:tcW w:w="2560" w:type="dxa"/>
            <w:vAlign w:val="bottom"/>
            <w:vMerge w:val="restart"/>
            <w:shd w:val="clear" w:color="auto" w:fill="007DB6"/>
          </w:tcPr>
          <w:p>
            <w:pPr>
              <w:jc w:val="center"/>
              <w:ind w:right="117"/>
              <w:spacing w:after="0"/>
              <w:rPr>
                <w:sz w:val="20"/>
                <w:szCs w:val="20"/>
                <w:color w:val="auto"/>
              </w:rPr>
            </w:pPr>
            <w:r>
              <w:rPr>
                <w:rFonts w:ascii="Arial" w:cs="Arial" w:eastAsia="Arial" w:hAnsi="Arial"/>
                <w:sz w:val="13"/>
                <w:szCs w:val="13"/>
                <w:color w:val="FFFFFF"/>
                <w:w w:val="97"/>
              </w:rPr>
              <w:t>NonPEO NEOs ($)</w:t>
            </w:r>
          </w:p>
        </w:tc>
        <w:tc>
          <w:tcPr>
            <w:tcW w:w="2600" w:type="dxa"/>
            <w:vAlign w:val="bottom"/>
            <w:vMerge w:val="continue"/>
            <w:shd w:val="clear" w:color="auto" w:fill="007DB6"/>
          </w:tcPr>
          <w:p>
            <w:pPr>
              <w:spacing w:after="0"/>
              <w:rPr>
                <w:sz w:val="6"/>
                <w:szCs w:val="6"/>
                <w:color w:val="auto"/>
              </w:rPr>
            </w:pPr>
          </w:p>
        </w:tc>
        <w:tc>
          <w:tcPr>
            <w:tcW w:w="2480" w:type="dxa"/>
            <w:vAlign w:val="bottom"/>
            <w:shd w:val="clear" w:color="auto" w:fill="007DB6"/>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40" w:type="dxa"/>
            <w:vAlign w:val="bottom"/>
            <w:shd w:val="clear" w:color="auto" w:fill="007DB6"/>
          </w:tcPr>
          <w:p>
            <w:pPr>
              <w:spacing w:after="0"/>
              <w:rPr>
                <w:sz w:val="7"/>
                <w:szCs w:val="7"/>
                <w:color w:val="auto"/>
              </w:rPr>
            </w:pPr>
          </w:p>
        </w:tc>
        <w:tc>
          <w:tcPr>
            <w:tcW w:w="2860" w:type="dxa"/>
            <w:vAlign w:val="bottom"/>
            <w:vMerge w:val="continue"/>
            <w:shd w:val="clear" w:color="auto" w:fill="007DB6"/>
          </w:tcPr>
          <w:p>
            <w:pPr>
              <w:spacing w:after="0"/>
              <w:rPr>
                <w:sz w:val="7"/>
                <w:szCs w:val="7"/>
                <w:color w:val="auto"/>
              </w:rPr>
            </w:pPr>
          </w:p>
        </w:tc>
        <w:tc>
          <w:tcPr>
            <w:tcW w:w="2560" w:type="dxa"/>
            <w:vAlign w:val="bottom"/>
            <w:vMerge w:val="continue"/>
            <w:shd w:val="clear" w:color="auto" w:fill="007DB6"/>
          </w:tcPr>
          <w:p>
            <w:pPr>
              <w:spacing w:after="0"/>
              <w:rPr>
                <w:sz w:val="7"/>
                <w:szCs w:val="7"/>
                <w:color w:val="auto"/>
              </w:rPr>
            </w:pPr>
          </w:p>
        </w:tc>
        <w:tc>
          <w:tcPr>
            <w:tcW w:w="2600" w:type="dxa"/>
            <w:vAlign w:val="bottom"/>
            <w:vMerge w:val="restart"/>
            <w:shd w:val="clear" w:color="auto" w:fill="007DB6"/>
          </w:tcPr>
          <w:p>
            <w:pPr>
              <w:jc w:val="center"/>
              <w:ind w:right="97"/>
              <w:spacing w:after="0"/>
              <w:rPr>
                <w:sz w:val="20"/>
                <w:szCs w:val="20"/>
                <w:color w:val="auto"/>
              </w:rPr>
            </w:pPr>
            <w:r>
              <w:rPr>
                <w:rFonts w:ascii="Arial" w:cs="Arial" w:eastAsia="Arial" w:hAnsi="Arial"/>
                <w:sz w:val="13"/>
                <w:szCs w:val="13"/>
                <w:color w:val="FFFFFF"/>
                <w:w w:val="95"/>
              </w:rPr>
              <w:t>NEOs ($)</w:t>
            </w:r>
          </w:p>
        </w:tc>
        <w:tc>
          <w:tcPr>
            <w:tcW w:w="2480" w:type="dxa"/>
            <w:vAlign w:val="bottom"/>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40" w:type="dxa"/>
            <w:vAlign w:val="bottom"/>
            <w:tcBorders>
              <w:bottom w:val="single" w:sz="8" w:color="007DB6"/>
            </w:tcBorders>
            <w:shd w:val="clear" w:color="auto" w:fill="007DB6"/>
          </w:tcPr>
          <w:p>
            <w:pPr>
              <w:spacing w:after="0"/>
              <w:rPr>
                <w:sz w:val="7"/>
                <w:szCs w:val="7"/>
                <w:color w:val="auto"/>
              </w:rPr>
            </w:pPr>
          </w:p>
        </w:tc>
        <w:tc>
          <w:tcPr>
            <w:tcW w:w="2860" w:type="dxa"/>
            <w:vAlign w:val="bottom"/>
            <w:tcBorders>
              <w:bottom w:val="single" w:sz="8" w:color="007DB6"/>
            </w:tcBorders>
            <w:shd w:val="clear" w:color="auto" w:fill="007DB6"/>
          </w:tcPr>
          <w:p>
            <w:pPr>
              <w:spacing w:after="0"/>
              <w:rPr>
                <w:sz w:val="7"/>
                <w:szCs w:val="7"/>
                <w:color w:val="auto"/>
              </w:rPr>
            </w:pPr>
          </w:p>
        </w:tc>
        <w:tc>
          <w:tcPr>
            <w:tcW w:w="2560" w:type="dxa"/>
            <w:vAlign w:val="bottom"/>
            <w:tcBorders>
              <w:bottom w:val="single" w:sz="8" w:color="007DB6"/>
            </w:tcBorders>
            <w:shd w:val="clear" w:color="auto" w:fill="007DB6"/>
          </w:tcPr>
          <w:p>
            <w:pPr>
              <w:spacing w:after="0"/>
              <w:rPr>
                <w:sz w:val="7"/>
                <w:szCs w:val="7"/>
                <w:color w:val="auto"/>
              </w:rPr>
            </w:pPr>
          </w:p>
        </w:tc>
        <w:tc>
          <w:tcPr>
            <w:tcW w:w="2600" w:type="dxa"/>
            <w:vAlign w:val="bottom"/>
            <w:tcBorders>
              <w:bottom w:val="single" w:sz="8" w:color="007DB6"/>
            </w:tcBorders>
            <w:vMerge w:val="continue"/>
            <w:shd w:val="clear" w:color="auto" w:fill="007DB6"/>
          </w:tcPr>
          <w:p>
            <w:pPr>
              <w:spacing w:after="0"/>
              <w:rPr>
                <w:sz w:val="7"/>
                <w:szCs w:val="7"/>
                <w:color w:val="auto"/>
              </w:rPr>
            </w:pPr>
          </w:p>
        </w:tc>
        <w:tc>
          <w:tcPr>
            <w:tcW w:w="2480" w:type="dxa"/>
            <w:vAlign w:val="bottom"/>
            <w:tcBorders>
              <w:bottom w:val="single" w:sz="8" w:color="007DB6"/>
            </w:tcBorders>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40" w:type="dxa"/>
            <w:vAlign w:val="bottom"/>
            <w:shd w:val="clear" w:color="auto" w:fill="E1E2E2"/>
          </w:tcPr>
          <w:p>
            <w:pPr>
              <w:ind w:left="200"/>
              <w:spacing w:after="0"/>
              <w:rPr>
                <w:sz w:val="20"/>
                <w:szCs w:val="20"/>
                <w:color w:val="auto"/>
              </w:rPr>
            </w:pPr>
            <w:r>
              <w:rPr>
                <w:rFonts w:ascii="Arial" w:cs="Arial" w:eastAsia="Arial" w:hAnsi="Arial"/>
                <w:sz w:val="13"/>
                <w:szCs w:val="13"/>
                <w:color w:val="474C55"/>
              </w:rPr>
              <w:t>2024</w:t>
            </w:r>
          </w:p>
        </w:tc>
        <w:tc>
          <w:tcPr>
            <w:tcW w:w="2860" w:type="dxa"/>
            <w:vAlign w:val="bottom"/>
            <w:shd w:val="clear" w:color="auto" w:fill="E1E2E2"/>
          </w:tcPr>
          <w:p>
            <w:pPr>
              <w:jc w:val="right"/>
              <w:ind w:right="97"/>
              <w:spacing w:after="0"/>
              <w:rPr>
                <w:sz w:val="20"/>
                <w:szCs w:val="20"/>
                <w:color w:val="auto"/>
              </w:rPr>
            </w:pPr>
            <w:r>
              <w:rPr>
                <w:rFonts w:ascii="Arial" w:cs="Arial" w:eastAsia="Arial" w:hAnsi="Arial"/>
                <w:sz w:val="13"/>
                <w:szCs w:val="13"/>
                <w:color w:val="474C55"/>
              </w:rPr>
              <w:t>$ 527,138</w:t>
            </w:r>
          </w:p>
        </w:tc>
        <w:tc>
          <w:tcPr>
            <w:tcW w:w="2560" w:type="dxa"/>
            <w:vAlign w:val="bottom"/>
            <w:shd w:val="clear" w:color="auto" w:fill="E1E2E2"/>
          </w:tcPr>
          <w:p>
            <w:pPr>
              <w:jc w:val="right"/>
              <w:ind w:right="57"/>
              <w:spacing w:after="0"/>
              <w:rPr>
                <w:sz w:val="20"/>
                <w:szCs w:val="20"/>
                <w:color w:val="auto"/>
              </w:rPr>
            </w:pPr>
            <w:r>
              <w:rPr>
                <w:rFonts w:ascii="Arial" w:cs="Arial" w:eastAsia="Arial" w:hAnsi="Arial"/>
                <w:sz w:val="13"/>
                <w:szCs w:val="13"/>
                <w:color w:val="474C55"/>
              </w:rPr>
              <w:t>$ (23,649)</w:t>
            </w:r>
          </w:p>
        </w:tc>
        <w:tc>
          <w:tcPr>
            <w:tcW w:w="2600" w:type="dxa"/>
            <w:vAlign w:val="bottom"/>
            <w:shd w:val="clear" w:color="auto" w:fill="E1E2E2"/>
          </w:tcPr>
          <w:p>
            <w:pPr>
              <w:jc w:val="right"/>
              <w:ind w:right="77"/>
              <w:spacing w:after="0"/>
              <w:rPr>
                <w:sz w:val="20"/>
                <w:szCs w:val="20"/>
                <w:color w:val="auto"/>
              </w:rPr>
            </w:pPr>
            <w:r>
              <w:rPr>
                <w:rFonts w:ascii="Arial" w:cs="Arial" w:eastAsia="Arial" w:hAnsi="Arial"/>
                <w:sz w:val="13"/>
                <w:szCs w:val="13"/>
                <w:color w:val="474C55"/>
              </w:rPr>
              <w:t>$ (6,275)</w:t>
            </w:r>
          </w:p>
        </w:tc>
        <w:tc>
          <w:tcPr>
            <w:tcW w:w="2480" w:type="dxa"/>
            <w:vAlign w:val="bottom"/>
            <w:shd w:val="clear" w:color="auto" w:fill="E1E2E2"/>
          </w:tcPr>
          <w:p>
            <w:pPr>
              <w:jc w:val="right"/>
              <w:spacing w:after="0"/>
              <w:rPr>
                <w:sz w:val="20"/>
                <w:szCs w:val="20"/>
                <w:color w:val="auto"/>
              </w:rPr>
            </w:pPr>
            <w:r>
              <w:rPr>
                <w:rFonts w:ascii="Arial" w:cs="Arial" w:eastAsia="Arial" w:hAnsi="Arial"/>
                <w:sz w:val="13"/>
                <w:szCs w:val="13"/>
                <w:color w:val="474C55"/>
              </w:rPr>
              <w:t>$ 497,214</w:t>
            </w:r>
          </w:p>
        </w:tc>
        <w:tc>
          <w:tcPr>
            <w:tcW w:w="0" w:type="dxa"/>
            <w:vAlign w:val="bottom"/>
          </w:tcPr>
          <w:p>
            <w:pPr>
              <w:spacing w:after="0"/>
              <w:rPr>
                <w:sz w:val="1"/>
                <w:szCs w:val="1"/>
                <w:color w:val="auto"/>
              </w:rPr>
            </w:pPr>
          </w:p>
        </w:tc>
      </w:tr>
      <w:tr>
        <w:trPr>
          <w:trHeight w:val="35"/>
        </w:trPr>
        <w:tc>
          <w:tcPr>
            <w:tcW w:w="740" w:type="dxa"/>
            <w:vAlign w:val="bottom"/>
            <w:shd w:val="clear" w:color="auto" w:fill="E1E2E2"/>
          </w:tcPr>
          <w:p>
            <w:pPr>
              <w:spacing w:after="0"/>
              <w:rPr>
                <w:sz w:val="3"/>
                <w:szCs w:val="3"/>
                <w:color w:val="auto"/>
              </w:rPr>
            </w:pPr>
          </w:p>
        </w:tc>
        <w:tc>
          <w:tcPr>
            <w:tcW w:w="2860" w:type="dxa"/>
            <w:vAlign w:val="bottom"/>
            <w:shd w:val="clear" w:color="auto" w:fill="E1E2E2"/>
          </w:tcPr>
          <w:p>
            <w:pPr>
              <w:spacing w:after="0"/>
              <w:rPr>
                <w:sz w:val="3"/>
                <w:szCs w:val="3"/>
                <w:color w:val="auto"/>
              </w:rPr>
            </w:pPr>
          </w:p>
        </w:tc>
        <w:tc>
          <w:tcPr>
            <w:tcW w:w="2560" w:type="dxa"/>
            <w:vAlign w:val="bottom"/>
            <w:shd w:val="clear" w:color="auto" w:fill="E1E2E2"/>
          </w:tcPr>
          <w:p>
            <w:pPr>
              <w:spacing w:after="0"/>
              <w:rPr>
                <w:sz w:val="3"/>
                <w:szCs w:val="3"/>
                <w:color w:val="auto"/>
              </w:rPr>
            </w:pPr>
          </w:p>
        </w:tc>
        <w:tc>
          <w:tcPr>
            <w:tcW w:w="2600" w:type="dxa"/>
            <w:vAlign w:val="bottom"/>
            <w:shd w:val="clear" w:color="auto" w:fill="E1E2E2"/>
          </w:tcPr>
          <w:p>
            <w:pPr>
              <w:spacing w:after="0"/>
              <w:rPr>
                <w:sz w:val="3"/>
                <w:szCs w:val="3"/>
                <w:color w:val="auto"/>
              </w:rPr>
            </w:pPr>
          </w:p>
        </w:tc>
        <w:tc>
          <w:tcPr>
            <w:tcW w:w="2480" w:type="dxa"/>
            <w:vAlign w:val="bottom"/>
            <w:shd w:val="clear" w:color="auto" w:fill="E1E2E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-650875</wp:posOffset>
            </wp:positionV>
            <wp:extent cx="8255" cy="5003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500380"/>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-650875</wp:posOffset>
            </wp:positionV>
            <wp:extent cx="8255" cy="5003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50038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-650875</wp:posOffset>
            </wp:positionV>
            <wp:extent cx="8255" cy="5003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500380"/>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-650875</wp:posOffset>
            </wp:positionV>
            <wp:extent cx="8255" cy="5003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500380"/>
                    </a:xfrm>
                    <a:prstGeom prst="rect">
                      <a:avLst/>
                    </a:prstGeom>
                    <a:noFill/>
                  </pic:spPr>
                </pic:pic>
              </a:graphicData>
            </a:graphic>
          </wp:anchor>
        </w:drawing>
      </w:r>
    </w:p>
    <w:p>
      <w:pPr>
        <w:spacing w:after="0" w:line="155" w:lineRule="exact"/>
        <w:rPr>
          <w:sz w:val="20"/>
          <w:szCs w:val="20"/>
          <w:color w:val="auto"/>
        </w:rPr>
      </w:pPr>
    </w:p>
    <w:p>
      <w:pPr>
        <w:ind w:left="180" w:right="40" w:hanging="180"/>
        <w:spacing w:after="0" w:line="229" w:lineRule="auto"/>
        <w:tabs>
          <w:tab w:leader="none" w:pos="180" w:val="left"/>
        </w:tabs>
        <w:numPr>
          <w:ilvl w:val="0"/>
          <w:numId w:val="79"/>
        </w:numPr>
        <w:rPr>
          <w:rFonts w:ascii="Arial" w:cs="Arial" w:eastAsia="Arial" w:hAnsi="Arial"/>
          <w:sz w:val="10"/>
          <w:szCs w:val="10"/>
          <w:color w:val="444A54"/>
        </w:rPr>
      </w:pPr>
      <w:r>
        <w:rPr>
          <w:rFonts w:ascii="Arial" w:cs="Arial" w:eastAsia="Arial" w:hAnsi="Arial"/>
          <w:sz w:val="13"/>
          <w:szCs w:val="13"/>
          <w:color w:val="444A54"/>
        </w:rPr>
        <w:t>The peer group TSR set forth in this table utilizes the KBW Nasdaq Regional Banking Index, which we also utilize in the stock performance graph required by Item 201(e) of Regulation S-K included in our Annual Report for the year ended December 31, 2024. The comparison assumes $100 was invested for the period starting December 31, 2019, through the end of the listed year in the Company and in the KBW Nasdaq Regional Banking Index, respectively. Historical stock performance is not necessarily indicative of future stock performance. The peer group for 2024 was changed to the KBW Nasdaq Regional Banking Index as it is comprised of banks more representative of our size and business composition compared to those in the Nasdaq Bank Index used as our peer group in 2023. The table below compares the cumulative returns of United Community and these two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111125</wp:posOffset>
            </wp:positionV>
            <wp:extent cx="1636395" cy="389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636395" cy="38925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111125</wp:posOffset>
            </wp:positionV>
            <wp:extent cx="8255" cy="2381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23812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111125</wp:posOffset>
            </wp:positionV>
            <wp:extent cx="8255" cy="2381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23812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111125</wp:posOffset>
            </wp:positionV>
            <wp:extent cx="8255" cy="2381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23812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 w:type="dxa"/>
            <w:vAlign w:val="bottom"/>
            <w:vMerge w:val="restart"/>
            <w:shd w:val="clear" w:color="auto" w:fill="007DB6"/>
          </w:tcPr>
          <w:p>
            <w:pPr>
              <w:ind w:left="220"/>
              <w:spacing w:after="0"/>
              <w:rPr>
                <w:sz w:val="20"/>
                <w:szCs w:val="20"/>
                <w:color w:val="auto"/>
              </w:rPr>
            </w:pPr>
            <w:r>
              <w:rPr>
                <w:rFonts w:ascii="Arial" w:cs="Arial" w:eastAsia="Arial" w:hAnsi="Arial"/>
                <w:sz w:val="13"/>
                <w:szCs w:val="13"/>
                <w:color w:val="FFFFFF"/>
              </w:rPr>
              <w:t>Year</w:t>
            </w:r>
          </w:p>
        </w:tc>
        <w:tc>
          <w:tcPr>
            <w:tcW w:w="2080" w:type="dxa"/>
            <w:vAlign w:val="bottom"/>
            <w:vMerge w:val="restart"/>
            <w:shd w:val="clear" w:color="auto" w:fill="007DB6"/>
          </w:tcPr>
          <w:p>
            <w:pPr>
              <w:ind w:left="440"/>
              <w:spacing w:after="0"/>
              <w:rPr>
                <w:sz w:val="20"/>
                <w:szCs w:val="20"/>
                <w:color w:val="auto"/>
              </w:rPr>
            </w:pPr>
            <w:r>
              <w:rPr>
                <w:rFonts w:ascii="Arial" w:cs="Arial" w:eastAsia="Arial" w:hAnsi="Arial"/>
                <w:sz w:val="13"/>
                <w:szCs w:val="13"/>
                <w:color w:val="FFFFFF"/>
              </w:rPr>
              <w:t>United Community TSR ($)</w:t>
            </w:r>
          </w:p>
        </w:tc>
        <w:tc>
          <w:tcPr>
            <w:tcW w:w="2720" w:type="dxa"/>
            <w:vAlign w:val="bottom"/>
            <w:shd w:val="clear" w:color="auto" w:fill="007DB6"/>
          </w:tcPr>
          <w:p>
            <w:pPr>
              <w:jc w:val="right"/>
              <w:spacing w:after="0"/>
              <w:rPr>
                <w:sz w:val="20"/>
                <w:szCs w:val="20"/>
                <w:color w:val="auto"/>
              </w:rPr>
            </w:pPr>
            <w:r>
              <w:rPr>
                <w:rFonts w:ascii="Arial" w:cs="Arial" w:eastAsia="Arial" w:hAnsi="Arial"/>
                <w:sz w:val="13"/>
                <w:szCs w:val="13"/>
                <w:color w:val="FFFFFF"/>
              </w:rPr>
              <w:t>Nasdaq Bank Index Cumulative</w:t>
            </w:r>
          </w:p>
        </w:tc>
        <w:tc>
          <w:tcPr>
            <w:tcW w:w="560" w:type="dxa"/>
            <w:vAlign w:val="bottom"/>
            <w:shd w:val="clear" w:color="auto" w:fill="007DB6"/>
          </w:tcPr>
          <w:p>
            <w:pPr>
              <w:spacing w:after="0"/>
              <w:rPr>
                <w:sz w:val="15"/>
                <w:szCs w:val="15"/>
                <w:color w:val="auto"/>
              </w:rPr>
            </w:pPr>
          </w:p>
        </w:tc>
        <w:tc>
          <w:tcPr>
            <w:tcW w:w="4980" w:type="dxa"/>
            <w:vAlign w:val="bottom"/>
            <w:shd w:val="clear" w:color="auto" w:fill="007DB6"/>
          </w:tcPr>
          <w:p>
            <w:pPr>
              <w:jc w:val="right"/>
              <w:ind w:right="2917"/>
              <w:spacing w:after="0"/>
              <w:rPr>
                <w:sz w:val="20"/>
                <w:szCs w:val="20"/>
                <w:color w:val="auto"/>
              </w:rPr>
            </w:pPr>
            <w:r>
              <w:rPr>
                <w:rFonts w:ascii="Arial" w:cs="Arial" w:eastAsia="Arial" w:hAnsi="Arial"/>
                <w:sz w:val="13"/>
                <w:szCs w:val="13"/>
                <w:color w:val="FFFFFF"/>
              </w:rPr>
              <w:t>KBW Nasdaq Regional Banking</w:t>
            </w:r>
          </w:p>
        </w:tc>
        <w:tc>
          <w:tcPr>
            <w:tcW w:w="0" w:type="dxa"/>
            <w:vAlign w:val="bottom"/>
          </w:tcPr>
          <w:p>
            <w:pPr>
              <w:spacing w:after="0"/>
              <w:rPr>
                <w:sz w:val="1"/>
                <w:szCs w:val="1"/>
                <w:color w:val="auto"/>
              </w:rPr>
            </w:pPr>
          </w:p>
        </w:tc>
      </w:tr>
      <w:tr>
        <w:trPr>
          <w:trHeight w:val="90"/>
        </w:trPr>
        <w:tc>
          <w:tcPr>
            <w:tcW w:w="900" w:type="dxa"/>
            <w:vAlign w:val="bottom"/>
            <w:vMerge w:val="continue"/>
            <w:shd w:val="clear" w:color="auto" w:fill="007DB6"/>
          </w:tcPr>
          <w:p>
            <w:pPr>
              <w:spacing w:after="0"/>
              <w:rPr>
                <w:sz w:val="7"/>
                <w:szCs w:val="7"/>
                <w:color w:val="auto"/>
              </w:rPr>
            </w:pPr>
          </w:p>
        </w:tc>
        <w:tc>
          <w:tcPr>
            <w:tcW w:w="2080" w:type="dxa"/>
            <w:vAlign w:val="bottom"/>
            <w:vMerge w:val="continue"/>
            <w:shd w:val="clear" w:color="auto" w:fill="007DB6"/>
          </w:tcPr>
          <w:p>
            <w:pPr>
              <w:spacing w:after="0"/>
              <w:rPr>
                <w:sz w:val="7"/>
                <w:szCs w:val="7"/>
                <w:color w:val="auto"/>
              </w:rPr>
            </w:pPr>
          </w:p>
        </w:tc>
        <w:tc>
          <w:tcPr>
            <w:tcW w:w="2720" w:type="dxa"/>
            <w:vAlign w:val="bottom"/>
            <w:vMerge w:val="restart"/>
            <w:shd w:val="clear" w:color="auto" w:fill="007DB6"/>
          </w:tcPr>
          <w:p>
            <w:pPr>
              <w:jc w:val="right"/>
              <w:ind w:right="557"/>
              <w:spacing w:after="0"/>
              <w:rPr>
                <w:sz w:val="20"/>
                <w:szCs w:val="20"/>
                <w:color w:val="auto"/>
              </w:rPr>
            </w:pPr>
            <w:r>
              <w:rPr>
                <w:rFonts w:ascii="Arial" w:cs="Arial" w:eastAsia="Arial" w:hAnsi="Arial"/>
                <w:sz w:val="13"/>
                <w:szCs w:val="13"/>
                <w:color w:val="FFFFFF"/>
              </w:rPr>
              <w:t>Return ($)</w:t>
            </w:r>
          </w:p>
        </w:tc>
        <w:tc>
          <w:tcPr>
            <w:tcW w:w="560" w:type="dxa"/>
            <w:vAlign w:val="bottom"/>
            <w:shd w:val="clear" w:color="auto" w:fill="007DB6"/>
          </w:tcPr>
          <w:p>
            <w:pPr>
              <w:spacing w:after="0"/>
              <w:rPr>
                <w:sz w:val="7"/>
                <w:szCs w:val="7"/>
                <w:color w:val="auto"/>
              </w:rPr>
            </w:pPr>
          </w:p>
        </w:tc>
        <w:tc>
          <w:tcPr>
            <w:tcW w:w="4980" w:type="dxa"/>
            <w:vAlign w:val="bottom"/>
            <w:vMerge w:val="restart"/>
            <w:shd w:val="clear" w:color="auto" w:fill="007DB6"/>
          </w:tcPr>
          <w:p>
            <w:pPr>
              <w:jc w:val="right"/>
              <w:ind w:right="3017"/>
              <w:spacing w:after="0"/>
              <w:rPr>
                <w:sz w:val="20"/>
                <w:szCs w:val="20"/>
                <w:color w:val="auto"/>
              </w:rPr>
            </w:pPr>
            <w:r>
              <w:rPr>
                <w:rFonts w:ascii="Arial" w:cs="Arial" w:eastAsia="Arial" w:hAnsi="Arial"/>
                <w:sz w:val="13"/>
                <w:szCs w:val="13"/>
                <w:color w:val="FFFFFF"/>
              </w:rPr>
              <w:t>Index Cumulative Return ($)</w:t>
            </w:r>
          </w:p>
        </w:tc>
        <w:tc>
          <w:tcPr>
            <w:tcW w:w="0" w:type="dxa"/>
            <w:vAlign w:val="bottom"/>
          </w:tcPr>
          <w:p>
            <w:pPr>
              <w:spacing w:after="0"/>
              <w:rPr>
                <w:sz w:val="1"/>
                <w:szCs w:val="1"/>
                <w:color w:val="auto"/>
              </w:rPr>
            </w:pPr>
          </w:p>
        </w:tc>
      </w:tr>
      <w:tr>
        <w:trPr>
          <w:trHeight w:val="90"/>
        </w:trPr>
        <w:tc>
          <w:tcPr>
            <w:tcW w:w="900" w:type="dxa"/>
            <w:vAlign w:val="bottom"/>
            <w:tcBorders>
              <w:bottom w:val="single" w:sz="8" w:color="007DB6"/>
            </w:tcBorders>
            <w:shd w:val="clear" w:color="auto" w:fill="007DB6"/>
          </w:tcPr>
          <w:p>
            <w:pPr>
              <w:spacing w:after="0"/>
              <w:rPr>
                <w:sz w:val="7"/>
                <w:szCs w:val="7"/>
                <w:color w:val="auto"/>
              </w:rPr>
            </w:pPr>
          </w:p>
        </w:tc>
        <w:tc>
          <w:tcPr>
            <w:tcW w:w="2080" w:type="dxa"/>
            <w:vAlign w:val="bottom"/>
            <w:tcBorders>
              <w:bottom w:val="single" w:sz="8" w:color="007DB6"/>
            </w:tcBorders>
            <w:shd w:val="clear" w:color="auto" w:fill="007DB6"/>
          </w:tcPr>
          <w:p>
            <w:pPr>
              <w:spacing w:after="0"/>
              <w:rPr>
                <w:sz w:val="7"/>
                <w:szCs w:val="7"/>
                <w:color w:val="auto"/>
              </w:rPr>
            </w:pPr>
          </w:p>
        </w:tc>
        <w:tc>
          <w:tcPr>
            <w:tcW w:w="2720" w:type="dxa"/>
            <w:vAlign w:val="bottom"/>
            <w:tcBorders>
              <w:bottom w:val="single" w:sz="8" w:color="007DB6"/>
            </w:tcBorders>
            <w:vMerge w:val="continue"/>
            <w:shd w:val="clear" w:color="auto" w:fill="007DB6"/>
          </w:tcPr>
          <w:p>
            <w:pPr>
              <w:spacing w:after="0"/>
              <w:rPr>
                <w:sz w:val="7"/>
                <w:szCs w:val="7"/>
                <w:color w:val="auto"/>
              </w:rPr>
            </w:pPr>
          </w:p>
        </w:tc>
        <w:tc>
          <w:tcPr>
            <w:tcW w:w="560" w:type="dxa"/>
            <w:vAlign w:val="bottom"/>
            <w:tcBorders>
              <w:bottom w:val="single" w:sz="8" w:color="007DB6"/>
            </w:tcBorders>
            <w:shd w:val="clear" w:color="auto" w:fill="007DB6"/>
          </w:tcPr>
          <w:p>
            <w:pPr>
              <w:spacing w:after="0"/>
              <w:rPr>
                <w:sz w:val="7"/>
                <w:szCs w:val="7"/>
                <w:color w:val="auto"/>
              </w:rPr>
            </w:pPr>
          </w:p>
        </w:tc>
        <w:tc>
          <w:tcPr>
            <w:tcW w:w="4980" w:type="dxa"/>
            <w:vAlign w:val="bottom"/>
            <w:tcBorders>
              <w:bottom w:val="single" w:sz="8" w:color="007DB6"/>
            </w:tcBorders>
            <w:vMerge w:val="continue"/>
            <w:shd w:val="clear" w:color="auto" w:fill="007DB6"/>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900" w:type="dxa"/>
            <w:vAlign w:val="bottom"/>
            <w:tcBorders>
              <w:bottom w:val="single" w:sz="8" w:color="E1E2E2"/>
            </w:tcBorders>
            <w:shd w:val="clear" w:color="auto" w:fill="E1E2E2"/>
          </w:tcPr>
          <w:p>
            <w:pPr>
              <w:ind w:left="200"/>
              <w:spacing w:after="0"/>
              <w:rPr>
                <w:sz w:val="20"/>
                <w:szCs w:val="20"/>
                <w:color w:val="auto"/>
              </w:rPr>
            </w:pPr>
            <w:r>
              <w:rPr>
                <w:rFonts w:ascii="Arial" w:cs="Arial" w:eastAsia="Arial" w:hAnsi="Arial"/>
                <w:sz w:val="13"/>
                <w:szCs w:val="13"/>
                <w:color w:val="auto"/>
              </w:rPr>
              <w:t>2024</w:t>
            </w:r>
          </w:p>
        </w:tc>
        <w:tc>
          <w:tcPr>
            <w:tcW w:w="2080" w:type="dxa"/>
            <w:vAlign w:val="bottom"/>
            <w:tcBorders>
              <w:bottom w:val="single" w:sz="8" w:color="E1E2E2"/>
            </w:tcBorders>
            <w:shd w:val="clear" w:color="auto" w:fill="E1E2E2"/>
          </w:tcPr>
          <w:p>
            <w:pPr>
              <w:spacing w:after="0"/>
              <w:rPr>
                <w:sz w:val="18"/>
                <w:szCs w:val="18"/>
                <w:color w:val="auto"/>
              </w:rPr>
            </w:pPr>
          </w:p>
        </w:tc>
        <w:tc>
          <w:tcPr>
            <w:tcW w:w="2720" w:type="dxa"/>
            <w:vAlign w:val="bottom"/>
            <w:tcBorders>
              <w:bottom w:val="single" w:sz="8" w:color="E1E2E2"/>
            </w:tcBorders>
            <w:shd w:val="clear" w:color="auto" w:fill="E1E2E2"/>
          </w:tcPr>
          <w:p>
            <w:pPr>
              <w:jc w:val="right"/>
              <w:ind w:right="2197"/>
              <w:spacing w:after="0"/>
              <w:rPr>
                <w:sz w:val="20"/>
                <w:szCs w:val="20"/>
                <w:color w:val="auto"/>
              </w:rPr>
            </w:pPr>
            <w:r>
              <w:rPr>
                <w:rFonts w:ascii="Arial" w:cs="Arial" w:eastAsia="Arial" w:hAnsi="Arial"/>
                <w:sz w:val="13"/>
                <w:szCs w:val="13"/>
                <w:color w:val="auto"/>
              </w:rPr>
              <w:t>$ 122</w:t>
            </w:r>
          </w:p>
        </w:tc>
        <w:tc>
          <w:tcPr>
            <w:tcW w:w="560" w:type="dxa"/>
            <w:vAlign w:val="bottom"/>
            <w:tcBorders>
              <w:bottom w:val="single" w:sz="8" w:color="E1E2E2"/>
            </w:tcBorders>
            <w:shd w:val="clear" w:color="auto" w:fill="E1E2E2"/>
          </w:tcPr>
          <w:p>
            <w:pPr>
              <w:jc w:val="right"/>
              <w:ind w:right="157"/>
              <w:spacing w:after="0"/>
              <w:rPr>
                <w:sz w:val="20"/>
                <w:szCs w:val="20"/>
                <w:color w:val="auto"/>
              </w:rPr>
            </w:pPr>
            <w:r>
              <w:rPr>
                <w:rFonts w:ascii="Arial" w:cs="Arial" w:eastAsia="Arial" w:hAnsi="Arial"/>
                <w:sz w:val="13"/>
                <w:szCs w:val="13"/>
                <w:color w:val="auto"/>
                <w:w w:val="98"/>
              </w:rPr>
              <w:t>$ 133</w:t>
            </w:r>
          </w:p>
        </w:tc>
        <w:tc>
          <w:tcPr>
            <w:tcW w:w="4980" w:type="dxa"/>
            <w:vAlign w:val="bottom"/>
            <w:tcBorders>
              <w:bottom w:val="single" w:sz="8" w:color="E1E2E2"/>
            </w:tcBorders>
            <w:shd w:val="clear" w:color="auto" w:fill="E1E2E2"/>
          </w:tcPr>
          <w:p>
            <w:pPr>
              <w:jc w:val="right"/>
              <w:ind w:right="2557"/>
              <w:spacing w:after="0"/>
              <w:rPr>
                <w:sz w:val="20"/>
                <w:szCs w:val="20"/>
                <w:color w:val="auto"/>
              </w:rPr>
            </w:pPr>
            <w:r>
              <w:rPr>
                <w:rFonts w:ascii="Arial" w:cs="Arial" w:eastAsia="Arial" w:hAnsi="Arial"/>
                <w:sz w:val="13"/>
                <w:szCs w:val="13"/>
                <w:color w:val="auto"/>
              </w:rPr>
              <w:t>$ 112</w:t>
            </w:r>
          </w:p>
        </w:tc>
        <w:tc>
          <w:tcPr>
            <w:tcW w:w="0" w:type="dxa"/>
            <w:vAlign w:val="bottom"/>
          </w:tcPr>
          <w:p>
            <w:pPr>
              <w:spacing w:after="0"/>
              <w:rPr>
                <w:sz w:val="1"/>
                <w:szCs w:val="1"/>
                <w:color w:val="auto"/>
              </w:rPr>
            </w:pPr>
          </w:p>
        </w:tc>
      </w:tr>
      <w:tr>
        <w:trPr>
          <w:trHeight w:val="203"/>
        </w:trPr>
        <w:tc>
          <w:tcPr>
            <w:tcW w:w="900" w:type="dxa"/>
            <w:vAlign w:val="bottom"/>
          </w:tcPr>
          <w:p>
            <w:pPr>
              <w:ind w:left="200"/>
              <w:spacing w:after="0"/>
              <w:rPr>
                <w:sz w:val="20"/>
                <w:szCs w:val="20"/>
                <w:color w:val="auto"/>
              </w:rPr>
            </w:pPr>
            <w:r>
              <w:rPr>
                <w:rFonts w:ascii="Arial" w:cs="Arial" w:eastAsia="Arial" w:hAnsi="Arial"/>
                <w:sz w:val="13"/>
                <w:szCs w:val="13"/>
                <w:color w:val="auto"/>
              </w:rPr>
              <w:t>2023</w:t>
            </w:r>
          </w:p>
        </w:tc>
        <w:tc>
          <w:tcPr>
            <w:tcW w:w="2080" w:type="dxa"/>
            <w:vAlign w:val="bottom"/>
          </w:tcPr>
          <w:p>
            <w:pPr>
              <w:spacing w:after="0"/>
              <w:rPr>
                <w:sz w:val="17"/>
                <w:szCs w:val="17"/>
                <w:color w:val="auto"/>
              </w:rPr>
            </w:pPr>
          </w:p>
        </w:tc>
        <w:tc>
          <w:tcPr>
            <w:tcW w:w="2720" w:type="dxa"/>
            <w:vAlign w:val="bottom"/>
          </w:tcPr>
          <w:p>
            <w:pPr>
              <w:jc w:val="right"/>
              <w:ind w:right="2197"/>
              <w:spacing w:after="0"/>
              <w:rPr>
                <w:sz w:val="20"/>
                <w:szCs w:val="20"/>
                <w:color w:val="auto"/>
              </w:rPr>
            </w:pPr>
            <w:r>
              <w:rPr>
                <w:rFonts w:ascii="Arial" w:cs="Arial" w:eastAsia="Arial" w:hAnsi="Arial"/>
                <w:sz w:val="13"/>
                <w:szCs w:val="13"/>
                <w:color w:val="auto"/>
              </w:rPr>
              <w:t>107</w:t>
            </w:r>
          </w:p>
        </w:tc>
        <w:tc>
          <w:tcPr>
            <w:tcW w:w="560" w:type="dxa"/>
            <w:vAlign w:val="bottom"/>
          </w:tcPr>
          <w:p>
            <w:pPr>
              <w:jc w:val="right"/>
              <w:ind w:right="157"/>
              <w:spacing w:after="0"/>
              <w:rPr>
                <w:sz w:val="20"/>
                <w:szCs w:val="20"/>
                <w:color w:val="auto"/>
              </w:rPr>
            </w:pPr>
            <w:r>
              <w:rPr>
                <w:rFonts w:ascii="Arial" w:cs="Arial" w:eastAsia="Arial" w:hAnsi="Arial"/>
                <w:sz w:val="13"/>
                <w:szCs w:val="13"/>
                <w:color w:val="auto"/>
              </w:rPr>
              <w:t>97</w:t>
            </w:r>
          </w:p>
        </w:tc>
        <w:tc>
          <w:tcPr>
            <w:tcW w:w="4980" w:type="dxa"/>
            <w:vAlign w:val="bottom"/>
          </w:tcPr>
          <w:p>
            <w:pPr>
              <w:jc w:val="right"/>
              <w:ind w:right="2557"/>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35"/>
        </w:trPr>
        <w:tc>
          <w:tcPr>
            <w:tcW w:w="9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900" w:type="dxa"/>
            <w:vAlign w:val="bottom"/>
            <w:tcBorders>
              <w:bottom w:val="single" w:sz="8" w:color="E1E2E2"/>
            </w:tcBorders>
            <w:shd w:val="clear" w:color="auto" w:fill="E1E2E2"/>
          </w:tcPr>
          <w:p>
            <w:pPr>
              <w:ind w:left="200"/>
              <w:spacing w:after="0"/>
              <w:rPr>
                <w:sz w:val="20"/>
                <w:szCs w:val="20"/>
                <w:color w:val="auto"/>
              </w:rPr>
            </w:pPr>
            <w:r>
              <w:rPr>
                <w:rFonts w:ascii="Arial" w:cs="Arial" w:eastAsia="Arial" w:hAnsi="Arial"/>
                <w:sz w:val="13"/>
                <w:szCs w:val="13"/>
                <w:color w:val="auto"/>
              </w:rPr>
              <w:t>2022</w:t>
            </w:r>
          </w:p>
        </w:tc>
        <w:tc>
          <w:tcPr>
            <w:tcW w:w="2080" w:type="dxa"/>
            <w:vAlign w:val="bottom"/>
            <w:tcBorders>
              <w:bottom w:val="single" w:sz="8" w:color="E1E2E2"/>
            </w:tcBorders>
            <w:shd w:val="clear" w:color="auto" w:fill="E1E2E2"/>
          </w:tcPr>
          <w:p>
            <w:pPr>
              <w:spacing w:after="0"/>
              <w:rPr>
                <w:sz w:val="18"/>
                <w:szCs w:val="18"/>
                <w:color w:val="auto"/>
              </w:rPr>
            </w:pPr>
          </w:p>
        </w:tc>
        <w:tc>
          <w:tcPr>
            <w:tcW w:w="2720" w:type="dxa"/>
            <w:vAlign w:val="bottom"/>
            <w:tcBorders>
              <w:bottom w:val="single" w:sz="8" w:color="E1E2E2"/>
            </w:tcBorders>
            <w:shd w:val="clear" w:color="auto" w:fill="E1E2E2"/>
          </w:tcPr>
          <w:p>
            <w:pPr>
              <w:jc w:val="right"/>
              <w:ind w:right="2197"/>
              <w:spacing w:after="0"/>
              <w:rPr>
                <w:sz w:val="20"/>
                <w:szCs w:val="20"/>
                <w:color w:val="auto"/>
              </w:rPr>
            </w:pPr>
            <w:r>
              <w:rPr>
                <w:rFonts w:ascii="Arial" w:cs="Arial" w:eastAsia="Arial" w:hAnsi="Arial"/>
                <w:sz w:val="13"/>
                <w:szCs w:val="13"/>
                <w:color w:val="auto"/>
              </w:rPr>
              <w:t>119</w:t>
            </w:r>
          </w:p>
        </w:tc>
        <w:tc>
          <w:tcPr>
            <w:tcW w:w="560" w:type="dxa"/>
            <w:vAlign w:val="bottom"/>
            <w:tcBorders>
              <w:bottom w:val="single" w:sz="8" w:color="E1E2E2"/>
            </w:tcBorders>
            <w:shd w:val="clear" w:color="auto" w:fill="E1E2E2"/>
          </w:tcPr>
          <w:p>
            <w:pPr>
              <w:jc w:val="right"/>
              <w:ind w:right="157"/>
              <w:spacing w:after="0"/>
              <w:rPr>
                <w:sz w:val="20"/>
                <w:szCs w:val="20"/>
                <w:color w:val="auto"/>
              </w:rPr>
            </w:pPr>
            <w:r>
              <w:rPr>
                <w:rFonts w:ascii="Arial" w:cs="Arial" w:eastAsia="Arial" w:hAnsi="Arial"/>
                <w:sz w:val="13"/>
                <w:szCs w:val="13"/>
                <w:color w:val="auto"/>
              </w:rPr>
              <w:t>98</w:t>
            </w:r>
          </w:p>
        </w:tc>
        <w:tc>
          <w:tcPr>
            <w:tcW w:w="4980" w:type="dxa"/>
            <w:vAlign w:val="bottom"/>
            <w:tcBorders>
              <w:bottom w:val="single" w:sz="8" w:color="E1E2E2"/>
            </w:tcBorders>
            <w:shd w:val="clear" w:color="auto" w:fill="E1E2E2"/>
          </w:tcPr>
          <w:p>
            <w:pPr>
              <w:jc w:val="right"/>
              <w:ind w:right="2557"/>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03"/>
        </w:trPr>
        <w:tc>
          <w:tcPr>
            <w:tcW w:w="900" w:type="dxa"/>
            <w:vAlign w:val="bottom"/>
          </w:tcPr>
          <w:p>
            <w:pPr>
              <w:ind w:left="200"/>
              <w:spacing w:after="0"/>
              <w:rPr>
                <w:sz w:val="20"/>
                <w:szCs w:val="20"/>
                <w:color w:val="auto"/>
              </w:rPr>
            </w:pPr>
            <w:r>
              <w:rPr>
                <w:rFonts w:ascii="Arial" w:cs="Arial" w:eastAsia="Arial" w:hAnsi="Arial"/>
                <w:sz w:val="13"/>
                <w:szCs w:val="13"/>
                <w:color w:val="auto"/>
              </w:rPr>
              <w:t>2021</w:t>
            </w:r>
          </w:p>
        </w:tc>
        <w:tc>
          <w:tcPr>
            <w:tcW w:w="2080" w:type="dxa"/>
            <w:vAlign w:val="bottom"/>
          </w:tcPr>
          <w:p>
            <w:pPr>
              <w:spacing w:after="0"/>
              <w:rPr>
                <w:sz w:val="17"/>
                <w:szCs w:val="17"/>
                <w:color w:val="auto"/>
              </w:rPr>
            </w:pPr>
          </w:p>
        </w:tc>
        <w:tc>
          <w:tcPr>
            <w:tcW w:w="2720" w:type="dxa"/>
            <w:vAlign w:val="bottom"/>
          </w:tcPr>
          <w:p>
            <w:pPr>
              <w:jc w:val="right"/>
              <w:ind w:right="2197"/>
              <w:spacing w:after="0"/>
              <w:rPr>
                <w:sz w:val="20"/>
                <w:szCs w:val="20"/>
                <w:color w:val="auto"/>
              </w:rPr>
            </w:pPr>
            <w:r>
              <w:rPr>
                <w:rFonts w:ascii="Arial" w:cs="Arial" w:eastAsia="Arial" w:hAnsi="Arial"/>
                <w:sz w:val="13"/>
                <w:szCs w:val="13"/>
                <w:color w:val="auto"/>
              </w:rPr>
              <w:t>123</w:t>
            </w:r>
          </w:p>
        </w:tc>
        <w:tc>
          <w:tcPr>
            <w:tcW w:w="560" w:type="dxa"/>
            <w:vAlign w:val="bottom"/>
          </w:tcPr>
          <w:p>
            <w:pPr>
              <w:jc w:val="right"/>
              <w:ind w:right="157"/>
              <w:spacing w:after="0"/>
              <w:rPr>
                <w:sz w:val="20"/>
                <w:szCs w:val="20"/>
                <w:color w:val="auto"/>
              </w:rPr>
            </w:pPr>
            <w:r>
              <w:rPr>
                <w:rFonts w:ascii="Arial" w:cs="Arial" w:eastAsia="Arial" w:hAnsi="Arial"/>
                <w:sz w:val="13"/>
                <w:szCs w:val="13"/>
                <w:color w:val="auto"/>
              </w:rPr>
              <w:t>124</w:t>
            </w:r>
          </w:p>
        </w:tc>
        <w:tc>
          <w:tcPr>
            <w:tcW w:w="4980" w:type="dxa"/>
            <w:vAlign w:val="bottom"/>
          </w:tcPr>
          <w:p>
            <w:pPr>
              <w:jc w:val="right"/>
              <w:ind w:right="2557"/>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35"/>
        </w:trPr>
        <w:tc>
          <w:tcPr>
            <w:tcW w:w="9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900" w:type="dxa"/>
            <w:vAlign w:val="bottom"/>
            <w:shd w:val="clear" w:color="auto" w:fill="E1E2E2"/>
          </w:tcPr>
          <w:p>
            <w:pPr>
              <w:ind w:left="200"/>
              <w:spacing w:after="0"/>
              <w:rPr>
                <w:sz w:val="20"/>
                <w:szCs w:val="20"/>
                <w:color w:val="auto"/>
              </w:rPr>
            </w:pPr>
            <w:r>
              <w:rPr>
                <w:rFonts w:ascii="Arial" w:cs="Arial" w:eastAsia="Arial" w:hAnsi="Arial"/>
                <w:sz w:val="13"/>
                <w:szCs w:val="13"/>
                <w:color w:val="auto"/>
              </w:rPr>
              <w:t>2020</w:t>
            </w:r>
          </w:p>
        </w:tc>
        <w:tc>
          <w:tcPr>
            <w:tcW w:w="2080" w:type="dxa"/>
            <w:vAlign w:val="bottom"/>
            <w:shd w:val="clear" w:color="auto" w:fill="E1E2E2"/>
          </w:tcPr>
          <w:p>
            <w:pPr>
              <w:spacing w:after="0"/>
              <w:rPr>
                <w:sz w:val="17"/>
                <w:szCs w:val="17"/>
                <w:color w:val="auto"/>
              </w:rPr>
            </w:pPr>
          </w:p>
        </w:tc>
        <w:tc>
          <w:tcPr>
            <w:tcW w:w="2720" w:type="dxa"/>
            <w:vAlign w:val="bottom"/>
            <w:shd w:val="clear" w:color="auto" w:fill="E1E2E2"/>
          </w:tcPr>
          <w:p>
            <w:pPr>
              <w:jc w:val="right"/>
              <w:ind w:right="2197"/>
              <w:spacing w:after="0"/>
              <w:rPr>
                <w:sz w:val="20"/>
                <w:szCs w:val="20"/>
                <w:color w:val="auto"/>
              </w:rPr>
            </w:pPr>
            <w:r>
              <w:rPr>
                <w:rFonts w:ascii="Arial" w:cs="Arial" w:eastAsia="Arial" w:hAnsi="Arial"/>
                <w:sz w:val="13"/>
                <w:szCs w:val="13"/>
                <w:color w:val="auto"/>
              </w:rPr>
              <w:t>95</w:t>
            </w:r>
          </w:p>
        </w:tc>
        <w:tc>
          <w:tcPr>
            <w:tcW w:w="560" w:type="dxa"/>
            <w:vAlign w:val="bottom"/>
            <w:shd w:val="clear" w:color="auto" w:fill="E1E2E2"/>
          </w:tcPr>
          <w:p>
            <w:pPr>
              <w:jc w:val="right"/>
              <w:ind w:right="157"/>
              <w:spacing w:after="0"/>
              <w:rPr>
                <w:sz w:val="20"/>
                <w:szCs w:val="20"/>
                <w:color w:val="auto"/>
              </w:rPr>
            </w:pPr>
            <w:r>
              <w:rPr>
                <w:rFonts w:ascii="Arial" w:cs="Arial" w:eastAsia="Arial" w:hAnsi="Arial"/>
                <w:sz w:val="13"/>
                <w:szCs w:val="13"/>
                <w:color w:val="auto"/>
              </w:rPr>
              <w:t>90</w:t>
            </w:r>
          </w:p>
        </w:tc>
        <w:tc>
          <w:tcPr>
            <w:tcW w:w="4980" w:type="dxa"/>
            <w:vAlign w:val="bottom"/>
            <w:shd w:val="clear" w:color="auto" w:fill="E1E2E2"/>
          </w:tcPr>
          <w:p>
            <w:pPr>
              <w:jc w:val="right"/>
              <w:ind w:right="2557"/>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35"/>
        </w:trPr>
        <w:tc>
          <w:tcPr>
            <w:tcW w:w="900" w:type="dxa"/>
            <w:vAlign w:val="bottom"/>
            <w:shd w:val="clear" w:color="auto" w:fill="E1E2E2"/>
          </w:tcPr>
          <w:p>
            <w:pPr>
              <w:spacing w:after="0"/>
              <w:rPr>
                <w:sz w:val="3"/>
                <w:szCs w:val="3"/>
                <w:color w:val="auto"/>
              </w:rPr>
            </w:pPr>
          </w:p>
        </w:tc>
        <w:tc>
          <w:tcPr>
            <w:tcW w:w="2080" w:type="dxa"/>
            <w:vAlign w:val="bottom"/>
            <w:shd w:val="clear" w:color="auto" w:fill="E1E2E2"/>
          </w:tcPr>
          <w:p>
            <w:pPr>
              <w:spacing w:after="0"/>
              <w:rPr>
                <w:sz w:val="3"/>
                <w:szCs w:val="3"/>
                <w:color w:val="auto"/>
              </w:rPr>
            </w:pPr>
          </w:p>
        </w:tc>
        <w:tc>
          <w:tcPr>
            <w:tcW w:w="2720" w:type="dxa"/>
            <w:vAlign w:val="bottom"/>
            <w:shd w:val="clear" w:color="auto" w:fill="E1E2E2"/>
          </w:tcPr>
          <w:p>
            <w:pPr>
              <w:spacing w:after="0"/>
              <w:rPr>
                <w:sz w:val="3"/>
                <w:szCs w:val="3"/>
                <w:color w:val="auto"/>
              </w:rPr>
            </w:pPr>
          </w:p>
        </w:tc>
        <w:tc>
          <w:tcPr>
            <w:tcW w:w="560" w:type="dxa"/>
            <w:vAlign w:val="bottom"/>
            <w:shd w:val="clear" w:color="auto" w:fill="E1E2E2"/>
          </w:tcPr>
          <w:p>
            <w:pPr>
              <w:spacing w:after="0"/>
              <w:rPr>
                <w:sz w:val="3"/>
                <w:szCs w:val="3"/>
                <w:color w:val="auto"/>
              </w:rPr>
            </w:pPr>
          </w:p>
        </w:tc>
        <w:tc>
          <w:tcPr>
            <w:tcW w:w="4980" w:type="dxa"/>
            <w:vAlign w:val="bottom"/>
            <w:shd w:val="clear" w:color="auto" w:fill="E1E2E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-452120</wp:posOffset>
            </wp:positionV>
            <wp:extent cx="1636395" cy="1511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636395" cy="15113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-150495</wp:posOffset>
            </wp:positionV>
            <wp:extent cx="1636395" cy="1511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636395" cy="151130"/>
                    </a:xfrm>
                    <a:prstGeom prst="rect">
                      <a:avLst/>
                    </a:prstGeom>
                    <a:noFill/>
                  </pic:spPr>
                </pic:pic>
              </a:graphicData>
            </a:graphic>
          </wp:anchor>
        </w:drawing>
      </w:r>
    </w:p>
    <w:p>
      <w:pPr>
        <w:spacing w:after="0" w:line="155" w:lineRule="exact"/>
        <w:rPr>
          <w:sz w:val="20"/>
          <w:szCs w:val="20"/>
          <w:color w:val="auto"/>
        </w:rPr>
      </w:pPr>
    </w:p>
    <w:p>
      <w:pPr>
        <w:ind w:left="180" w:right="20" w:hanging="180"/>
        <w:spacing w:after="0" w:line="235" w:lineRule="auto"/>
        <w:tabs>
          <w:tab w:leader="none" w:pos="180" w:val="left"/>
        </w:tabs>
        <w:numPr>
          <w:ilvl w:val="0"/>
          <w:numId w:val="80"/>
        </w:numPr>
        <w:rPr>
          <w:rFonts w:ascii="Arial" w:cs="Arial" w:eastAsia="Arial" w:hAnsi="Arial"/>
          <w:sz w:val="10"/>
          <w:szCs w:val="10"/>
          <w:color w:val="444A54"/>
        </w:rPr>
      </w:pPr>
      <w:r>
        <w:rPr>
          <w:rFonts w:ascii="Arial" w:cs="Arial" w:eastAsia="Arial" w:hAnsi="Arial"/>
          <w:sz w:val="13"/>
          <w:szCs w:val="13"/>
          <w:color w:val="444A54"/>
        </w:rPr>
        <w:t>We determined return on average assets to be the most important financial performance measure used to link Company performance to Compensation Actually Paid to our PEO and NonPEO NEOs in 2024. This performance measure may not have been the most important financial performance measure for prior years, and we may determine a different financial performance measure to be the most important financial performance measure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24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ind w:right="1440"/>
        <w:spacing w:after="0" w:line="288" w:lineRule="auto"/>
        <w:rPr>
          <w:sz w:val="20"/>
          <w:szCs w:val="20"/>
          <w:color w:val="auto"/>
        </w:rPr>
      </w:pPr>
      <w:r>
        <w:rPr>
          <w:rFonts w:ascii="Arial" w:cs="Arial" w:eastAsia="Arial" w:hAnsi="Arial"/>
          <w:sz w:val="24"/>
          <w:szCs w:val="24"/>
          <w:b w:val="1"/>
          <w:bCs w:val="1"/>
          <w:color w:val="017AB5"/>
        </w:rPr>
        <w:t>Relationship Between PEO and NonPEO NEO Compensation Actually Paid, Company Shareholder Return and Peer Group TSR</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444A54"/>
        </w:rPr>
        <w:t>The following graph sets forth the relationship between Compensation Actually Paid to our NEOs and the cumulative TSR of the Company over the five most recently completed fiscal years. The graph also compares the cumulative TSR for the Company and that of the KBW Nasdaq Regional Banking Index TSR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31115</wp:posOffset>
            </wp:positionV>
            <wp:extent cx="5330825" cy="29476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330825" cy="294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4"/>
          <w:szCs w:val="24"/>
          <w:b w:val="1"/>
          <w:bCs w:val="1"/>
          <w:color w:val="017AB5"/>
        </w:rPr>
        <w:t>Relationship Between PEO and NonPEO NEO Compensation Actually Paid and Net Income</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444A54"/>
        </w:rPr>
        <w:t>The following graph sets forth the relationship between Compensation Actually Paid to our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65405</wp:posOffset>
            </wp:positionV>
            <wp:extent cx="5251450" cy="29076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251450" cy="290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bookmarkStart w:id="62" w:name="page63"/>
    <w:bookmarkEnd w:id="62"/>
    <w:p>
      <w:pPr>
        <w:ind w:right="340"/>
        <w:spacing w:after="0" w:line="301" w:lineRule="auto"/>
        <w:rPr>
          <w:sz w:val="20"/>
          <w:szCs w:val="20"/>
          <w:color w:val="auto"/>
        </w:rPr>
      </w:pPr>
      <w:r>
        <w:rPr>
          <w:rFonts w:ascii="Arial" w:cs="Arial" w:eastAsia="Arial" w:hAnsi="Arial"/>
          <w:sz w:val="23"/>
          <w:szCs w:val="23"/>
          <w:b w:val="1"/>
          <w:bCs w:val="1"/>
          <w:color w:val="017AB5"/>
        </w:rPr>
        <w:t>Relationship Between PEO and NonPEO NEO Compensation Actually Paid and Company-Selected Measure</w:t>
      </w:r>
    </w:p>
    <w:p>
      <w:pPr>
        <w:spacing w:after="0" w:line="85" w:lineRule="exact"/>
        <w:rPr>
          <w:sz w:val="20"/>
          <w:szCs w:val="20"/>
          <w:color w:val="auto"/>
        </w:rPr>
      </w:pPr>
    </w:p>
    <w:p>
      <w:pPr>
        <w:ind w:right="160"/>
        <w:spacing w:after="0" w:line="279" w:lineRule="auto"/>
        <w:rPr>
          <w:sz w:val="20"/>
          <w:szCs w:val="20"/>
          <w:color w:val="auto"/>
        </w:rPr>
      </w:pPr>
      <w:r>
        <w:rPr>
          <w:rFonts w:ascii="Arial" w:cs="Arial" w:eastAsia="Arial" w:hAnsi="Arial"/>
          <w:sz w:val="15"/>
          <w:szCs w:val="15"/>
          <w:color w:val="444A54"/>
        </w:rPr>
        <w:t>The following graph sets forth the relationship between Compensation Actually Paid to our NEOs and return on average assets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86995</wp:posOffset>
            </wp:positionV>
            <wp:extent cx="5291455" cy="29317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29145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3"/>
          <w:szCs w:val="23"/>
          <w:b w:val="1"/>
          <w:bCs w:val="1"/>
          <w:color w:val="017AB5"/>
        </w:rPr>
        <w:t>Most Important Financial Performance Measures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444A54"/>
        </w:rPr>
        <w:t>The following summarizes the financial performance measures that the Company considers to have been the most important in linking Compensation Actually Paid to our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444A54"/>
        </w:rPr>
        <w:t>NEOs for 2024 to Company performance (the measures set forth in this list are not ranked):</w:t>
      </w:r>
    </w:p>
    <w:p>
      <w:pPr>
        <w:spacing w:after="0" w:line="176" w:lineRule="exact"/>
        <w:rPr>
          <w:sz w:val="20"/>
          <w:szCs w:val="20"/>
          <w:color w:val="auto"/>
        </w:rPr>
      </w:pPr>
    </w:p>
    <w:p>
      <w:pPr>
        <w:ind w:left="620" w:hanging="295"/>
        <w:spacing w:after="0"/>
        <w:tabs>
          <w:tab w:leader="none" w:pos="620" w:val="left"/>
        </w:tabs>
        <w:numPr>
          <w:ilvl w:val="0"/>
          <w:numId w:val="81"/>
        </w:numPr>
        <w:rPr>
          <w:rFonts w:ascii="Arial" w:cs="Arial" w:eastAsia="Arial" w:hAnsi="Arial"/>
          <w:sz w:val="15"/>
          <w:szCs w:val="15"/>
          <w:color w:val="474C55"/>
        </w:rPr>
      </w:pPr>
      <w:r>
        <w:rPr>
          <w:rFonts w:ascii="Arial" w:cs="Arial" w:eastAsia="Arial" w:hAnsi="Arial"/>
          <w:sz w:val="15"/>
          <w:szCs w:val="15"/>
          <w:color w:val="474C55"/>
        </w:rPr>
        <w:t>Return on Average Assets</w:t>
      </w:r>
    </w:p>
    <w:p>
      <w:pPr>
        <w:spacing w:after="0" w:line="16" w:lineRule="exact"/>
        <w:rPr>
          <w:rFonts w:ascii="Arial" w:cs="Arial" w:eastAsia="Arial" w:hAnsi="Arial"/>
          <w:sz w:val="15"/>
          <w:szCs w:val="15"/>
          <w:color w:val="474C55"/>
        </w:rPr>
      </w:pPr>
    </w:p>
    <w:p>
      <w:pPr>
        <w:ind w:left="620" w:hanging="295"/>
        <w:spacing w:after="0"/>
        <w:tabs>
          <w:tab w:leader="none" w:pos="620" w:val="left"/>
        </w:tabs>
        <w:numPr>
          <w:ilvl w:val="0"/>
          <w:numId w:val="81"/>
        </w:numPr>
        <w:rPr>
          <w:rFonts w:ascii="Arial" w:cs="Arial" w:eastAsia="Arial" w:hAnsi="Arial"/>
          <w:sz w:val="15"/>
          <w:szCs w:val="15"/>
          <w:color w:val="474C55"/>
        </w:rPr>
      </w:pPr>
      <w:r>
        <w:rPr>
          <w:rFonts w:ascii="Arial" w:cs="Arial" w:eastAsia="Arial" w:hAnsi="Arial"/>
          <w:sz w:val="15"/>
          <w:szCs w:val="15"/>
          <w:color w:val="474C55"/>
        </w:rPr>
        <w:t>Relative Total Shareholder Return</w:t>
      </w:r>
    </w:p>
    <w:p>
      <w:pPr>
        <w:spacing w:after="0" w:line="2" w:lineRule="exact"/>
        <w:rPr>
          <w:rFonts w:ascii="Arial" w:cs="Arial" w:eastAsia="Arial" w:hAnsi="Arial"/>
          <w:sz w:val="15"/>
          <w:szCs w:val="15"/>
          <w:color w:val="474C55"/>
        </w:rPr>
      </w:pPr>
    </w:p>
    <w:p>
      <w:pPr>
        <w:ind w:left="620" w:hanging="295"/>
        <w:spacing w:after="0"/>
        <w:tabs>
          <w:tab w:leader="none" w:pos="620" w:val="left"/>
        </w:tabs>
        <w:numPr>
          <w:ilvl w:val="0"/>
          <w:numId w:val="81"/>
        </w:numPr>
        <w:rPr>
          <w:rFonts w:ascii="Arial" w:cs="Arial" w:eastAsia="Arial" w:hAnsi="Arial"/>
          <w:sz w:val="15"/>
          <w:szCs w:val="15"/>
          <w:color w:val="474C55"/>
        </w:rPr>
      </w:pPr>
      <w:r>
        <w:rPr>
          <w:rFonts w:ascii="Arial" w:cs="Arial" w:eastAsia="Arial" w:hAnsi="Arial"/>
          <w:sz w:val="15"/>
          <w:szCs w:val="15"/>
          <w:color w:val="474C55"/>
        </w:rPr>
        <w:t>Pretax and Preprovision Earnings Per Share</w:t>
      </w:r>
    </w:p>
    <w:p>
      <w:pPr>
        <w:spacing w:after="0" w:line="2" w:lineRule="exact"/>
        <w:rPr>
          <w:rFonts w:ascii="Arial" w:cs="Arial" w:eastAsia="Arial" w:hAnsi="Arial"/>
          <w:sz w:val="15"/>
          <w:szCs w:val="15"/>
          <w:color w:val="474C55"/>
        </w:rPr>
      </w:pPr>
    </w:p>
    <w:p>
      <w:pPr>
        <w:ind w:left="620" w:hanging="295"/>
        <w:spacing w:after="0"/>
        <w:tabs>
          <w:tab w:leader="none" w:pos="620" w:val="left"/>
        </w:tabs>
        <w:numPr>
          <w:ilvl w:val="0"/>
          <w:numId w:val="81"/>
        </w:numPr>
        <w:rPr>
          <w:rFonts w:ascii="Arial" w:cs="Arial" w:eastAsia="Arial" w:hAnsi="Arial"/>
          <w:sz w:val="15"/>
          <w:szCs w:val="15"/>
          <w:color w:val="474C55"/>
        </w:rPr>
      </w:pPr>
      <w:r>
        <w:rPr>
          <w:rFonts w:ascii="Arial" w:cs="Arial" w:eastAsia="Arial" w:hAnsi="Arial"/>
          <w:sz w:val="15"/>
          <w:szCs w:val="15"/>
          <w:color w:val="474C55"/>
        </w:rPr>
        <w:t>Operating Earnings Per Share</w:t>
      </w:r>
    </w:p>
    <w:p>
      <w:pPr>
        <w:spacing w:after="0" w:line="2" w:lineRule="exact"/>
        <w:rPr>
          <w:rFonts w:ascii="Arial" w:cs="Arial" w:eastAsia="Arial" w:hAnsi="Arial"/>
          <w:sz w:val="15"/>
          <w:szCs w:val="15"/>
          <w:color w:val="474C55"/>
        </w:rPr>
      </w:pPr>
    </w:p>
    <w:p>
      <w:pPr>
        <w:ind w:left="620" w:hanging="295"/>
        <w:spacing w:after="0"/>
        <w:tabs>
          <w:tab w:leader="none" w:pos="620" w:val="left"/>
        </w:tabs>
        <w:numPr>
          <w:ilvl w:val="0"/>
          <w:numId w:val="81"/>
        </w:numPr>
        <w:rPr>
          <w:rFonts w:ascii="Arial" w:cs="Arial" w:eastAsia="Arial" w:hAnsi="Arial"/>
          <w:sz w:val="15"/>
          <w:szCs w:val="15"/>
          <w:color w:val="474C55"/>
        </w:rPr>
      </w:pPr>
      <w:r>
        <w:rPr>
          <w:rFonts w:ascii="Arial" w:cs="Arial" w:eastAsia="Arial" w:hAnsi="Arial"/>
          <w:sz w:val="15"/>
          <w:szCs w:val="15"/>
          <w:color w:val="474C55"/>
        </w:rPr>
        <w:t>Net Charge-Offs</w:t>
      </w:r>
    </w:p>
    <w:p>
      <w:pPr>
        <w:spacing w:after="0" w:line="2" w:lineRule="exact"/>
        <w:rPr>
          <w:rFonts w:ascii="Arial" w:cs="Arial" w:eastAsia="Arial" w:hAnsi="Arial"/>
          <w:sz w:val="15"/>
          <w:szCs w:val="15"/>
          <w:color w:val="474C55"/>
        </w:rPr>
      </w:pPr>
    </w:p>
    <w:p>
      <w:pPr>
        <w:ind w:left="620" w:hanging="295"/>
        <w:spacing w:after="0"/>
        <w:tabs>
          <w:tab w:leader="none" w:pos="620" w:val="left"/>
        </w:tabs>
        <w:numPr>
          <w:ilvl w:val="0"/>
          <w:numId w:val="81"/>
        </w:numPr>
        <w:rPr>
          <w:rFonts w:ascii="Arial" w:cs="Arial" w:eastAsia="Arial" w:hAnsi="Arial"/>
          <w:sz w:val="15"/>
          <w:szCs w:val="15"/>
          <w:color w:val="474C55"/>
        </w:rPr>
      </w:pPr>
      <w:r>
        <w:rPr>
          <w:rFonts w:ascii="Arial" w:cs="Arial" w:eastAsia="Arial" w:hAnsi="Arial"/>
          <w:sz w:val="15"/>
          <w:szCs w:val="15"/>
          <w:color w:val="474C55"/>
        </w:rPr>
        <w:t>Ratio of Nonperforming Assets / Total Assets</w:t>
      </w:r>
    </w:p>
    <w:p>
      <w:pPr>
        <w:spacing w:after="0" w:line="2" w:lineRule="exact"/>
        <w:rPr>
          <w:rFonts w:ascii="Arial" w:cs="Arial" w:eastAsia="Arial" w:hAnsi="Arial"/>
          <w:sz w:val="15"/>
          <w:szCs w:val="15"/>
          <w:color w:val="474C55"/>
        </w:rPr>
      </w:pPr>
    </w:p>
    <w:p>
      <w:pPr>
        <w:ind w:left="620" w:hanging="295"/>
        <w:spacing w:after="0"/>
        <w:tabs>
          <w:tab w:leader="none" w:pos="620" w:val="left"/>
        </w:tabs>
        <w:numPr>
          <w:ilvl w:val="0"/>
          <w:numId w:val="81"/>
        </w:numPr>
        <w:rPr>
          <w:rFonts w:ascii="Arial" w:cs="Arial" w:eastAsia="Arial" w:hAnsi="Arial"/>
          <w:sz w:val="15"/>
          <w:szCs w:val="15"/>
          <w:color w:val="474C55"/>
        </w:rPr>
      </w:pPr>
      <w:r>
        <w:rPr>
          <w:rFonts w:ascii="Arial" w:cs="Arial" w:eastAsia="Arial" w:hAnsi="Arial"/>
          <w:sz w:val="15"/>
          <w:szCs w:val="15"/>
          <w:color w:val="474C55"/>
        </w:rPr>
        <w:t>Operating Efficiency Ratio</w:t>
      </w:r>
    </w:p>
    <w:p>
      <w:pPr>
        <w:spacing w:after="0" w:line="181"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i w:val="1"/>
          <w:iCs w:val="1"/>
          <w:color w:val="444A54"/>
        </w:rPr>
        <w:t>The foregoing disclosures relating to Pay Versus Performance shall not be deemed incorporated by reference by any general statement incorporating by reference this Proxy Statement into any filing under the Securities Act or under the Exchange Act, except to the extent that we specifically incorporate this information by reference.</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63" w:name="page64"/>
    <w:bookmarkEnd w:id="63"/>
    <w:p>
      <w:pPr>
        <w:spacing w:after="0"/>
        <w:rPr>
          <w:sz w:val="20"/>
          <w:szCs w:val="20"/>
          <w:color w:val="auto"/>
        </w:rPr>
      </w:pPr>
      <w:r>
        <w:rPr>
          <w:rFonts w:ascii="Arial" w:cs="Arial" w:eastAsia="Arial" w:hAnsi="Arial"/>
          <w:sz w:val="33"/>
          <w:szCs w:val="33"/>
          <w:b w:val="1"/>
          <w:bCs w:val="1"/>
          <w:color w:val="194C85"/>
        </w:rPr>
        <w:t>Security Ownership</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5"/>
          <w:szCs w:val="15"/>
          <w:color w:val="444A54"/>
        </w:rPr>
        <w:t>The following tables set forth the amount of our voting common stock and Series I Non-Cumulative Preferred Stock (“Series I Preferred Stock”), if applicable, beneficially owned by the listed persons as of February 28, 2025 unless otherwise noted.</w:t>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017AB5"/>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140335</wp:posOffset>
            </wp:positionV>
            <wp:extent cx="8255" cy="3498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3498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140335</wp:posOffset>
            </wp:positionV>
            <wp:extent cx="8255" cy="3498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34988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shd w:val="clear" w:color="auto" w:fill="007DB7"/>
          </w:tcPr>
          <w:p>
            <w:pPr>
              <w:spacing w:after="0"/>
              <w:rPr>
                <w:sz w:val="15"/>
                <w:szCs w:val="15"/>
                <w:color w:val="auto"/>
              </w:rPr>
            </w:pPr>
          </w:p>
        </w:tc>
        <w:tc>
          <w:tcPr>
            <w:tcW w:w="2880" w:type="dxa"/>
            <w:vAlign w:val="bottom"/>
            <w:shd w:val="clear" w:color="auto" w:fill="007DB7"/>
          </w:tcPr>
          <w:p>
            <w:pPr>
              <w:jc w:val="center"/>
              <w:ind w:left="757"/>
              <w:spacing w:after="0"/>
              <w:rPr>
                <w:sz w:val="20"/>
                <w:szCs w:val="20"/>
                <w:color w:val="auto"/>
              </w:rPr>
            </w:pPr>
            <w:r>
              <w:rPr>
                <w:rFonts w:ascii="Arial" w:cs="Arial" w:eastAsia="Arial" w:hAnsi="Arial"/>
                <w:sz w:val="13"/>
                <w:szCs w:val="13"/>
                <w:color w:val="FFFFFF"/>
                <w:w w:val="95"/>
              </w:rPr>
              <w:t>Number of Shares of</w:t>
            </w:r>
          </w:p>
        </w:tc>
        <w:tc>
          <w:tcPr>
            <w:tcW w:w="1660" w:type="dxa"/>
            <w:vAlign w:val="bottom"/>
            <w:shd w:val="clear" w:color="auto" w:fill="007DB7"/>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007DB7"/>
          </w:tcPr>
          <w:p>
            <w:pPr>
              <w:ind w:left="80"/>
              <w:spacing w:after="0" w:line="146" w:lineRule="exact"/>
              <w:rPr>
                <w:sz w:val="20"/>
                <w:szCs w:val="20"/>
                <w:color w:val="auto"/>
              </w:rPr>
            </w:pPr>
            <w:r>
              <w:rPr>
                <w:rFonts w:ascii="Arial" w:cs="Arial" w:eastAsia="Arial" w:hAnsi="Arial"/>
                <w:sz w:val="13"/>
                <w:szCs w:val="13"/>
                <w:color w:val="FFFFFF"/>
              </w:rPr>
              <w:t>Name and Address of Beneficial Owner</w:t>
            </w:r>
          </w:p>
        </w:tc>
        <w:tc>
          <w:tcPr>
            <w:tcW w:w="2880" w:type="dxa"/>
            <w:vAlign w:val="bottom"/>
            <w:shd w:val="clear" w:color="auto" w:fill="007DB7"/>
          </w:tcPr>
          <w:p>
            <w:pPr>
              <w:jc w:val="center"/>
              <w:ind w:left="777"/>
              <w:spacing w:after="0" w:line="146" w:lineRule="exact"/>
              <w:rPr>
                <w:sz w:val="20"/>
                <w:szCs w:val="20"/>
                <w:color w:val="auto"/>
              </w:rPr>
            </w:pPr>
            <w:r>
              <w:rPr>
                <w:rFonts w:ascii="Arial" w:cs="Arial" w:eastAsia="Arial" w:hAnsi="Arial"/>
                <w:sz w:val="13"/>
                <w:szCs w:val="13"/>
                <w:color w:val="FFFFFF"/>
                <w:w w:val="95"/>
              </w:rPr>
              <w:t>Voting Common Stock</w:t>
            </w:r>
          </w:p>
        </w:tc>
        <w:tc>
          <w:tcPr>
            <w:tcW w:w="1660" w:type="dxa"/>
            <w:vAlign w:val="bottom"/>
            <w:shd w:val="clear" w:color="auto" w:fill="007DB7"/>
          </w:tcPr>
          <w:p>
            <w:pPr>
              <w:jc w:val="right"/>
              <w:ind w:right="377"/>
              <w:spacing w:after="0" w:line="146" w:lineRule="exact"/>
              <w:rPr>
                <w:sz w:val="20"/>
                <w:szCs w:val="20"/>
                <w:color w:val="auto"/>
              </w:rPr>
            </w:pPr>
            <w:r>
              <w:rPr>
                <w:rFonts w:ascii="Arial" w:cs="Arial" w:eastAsia="Arial" w:hAnsi="Arial"/>
                <w:sz w:val="13"/>
                <w:szCs w:val="13"/>
                <w:color w:val="FFFFFF"/>
              </w:rPr>
              <w:t>Percent of Class</w:t>
            </w:r>
          </w:p>
        </w:tc>
        <w:tc>
          <w:tcPr>
            <w:tcW w:w="0" w:type="dxa"/>
            <w:vAlign w:val="bottom"/>
          </w:tcPr>
          <w:p>
            <w:pPr>
              <w:spacing w:after="0"/>
              <w:rPr>
                <w:sz w:val="1"/>
                <w:szCs w:val="1"/>
                <w:color w:val="auto"/>
              </w:rPr>
            </w:pPr>
          </w:p>
        </w:tc>
      </w:tr>
      <w:tr>
        <w:trPr>
          <w:trHeight w:val="229"/>
        </w:trPr>
        <w:tc>
          <w:tcPr>
            <w:tcW w:w="4460" w:type="dxa"/>
            <w:vAlign w:val="bottom"/>
            <w:shd w:val="clear" w:color="auto" w:fill="007DB7"/>
          </w:tcPr>
          <w:p>
            <w:pPr>
              <w:spacing w:after="0"/>
              <w:rPr>
                <w:sz w:val="19"/>
                <w:szCs w:val="19"/>
                <w:color w:val="auto"/>
              </w:rPr>
            </w:pPr>
          </w:p>
        </w:tc>
        <w:tc>
          <w:tcPr>
            <w:tcW w:w="2880" w:type="dxa"/>
            <w:vAlign w:val="bottom"/>
            <w:shd w:val="clear" w:color="auto" w:fill="007DB7"/>
          </w:tcPr>
          <w:p>
            <w:pPr>
              <w:jc w:val="center"/>
              <w:ind w:left="757"/>
              <w:spacing w:after="0"/>
              <w:rPr>
                <w:sz w:val="20"/>
                <w:szCs w:val="20"/>
                <w:color w:val="auto"/>
              </w:rPr>
            </w:pPr>
            <w:r>
              <w:rPr>
                <w:rFonts w:ascii="Arial" w:cs="Arial" w:eastAsia="Arial" w:hAnsi="Arial"/>
                <w:sz w:val="13"/>
                <w:szCs w:val="13"/>
                <w:color w:val="FFFFFF"/>
                <w:w w:val="94"/>
              </w:rPr>
              <w:t>Beneficially Owned (#)</w:t>
            </w:r>
            <w:r>
              <w:rPr>
                <w:rFonts w:ascii="Arial" w:cs="Arial" w:eastAsia="Arial" w:hAnsi="Arial"/>
                <w:sz w:val="20"/>
                <w:szCs w:val="20"/>
                <w:color w:val="FFFFFF"/>
                <w:w w:val="94"/>
                <w:vertAlign w:val="superscript"/>
              </w:rPr>
              <w:t>1</w:t>
            </w:r>
          </w:p>
        </w:tc>
        <w:tc>
          <w:tcPr>
            <w:tcW w:w="1660" w:type="dxa"/>
            <w:vAlign w:val="bottom"/>
            <w:shd w:val="clear" w:color="auto" w:fill="007DB7"/>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80"/>
              <w:spacing w:after="0"/>
              <w:rPr>
                <w:sz w:val="20"/>
                <w:szCs w:val="20"/>
                <w:color w:val="auto"/>
              </w:rPr>
            </w:pPr>
            <w:r>
              <w:rPr>
                <w:rFonts w:ascii="Arial" w:cs="Arial" w:eastAsia="Arial" w:hAnsi="Arial"/>
                <w:sz w:val="13"/>
                <w:szCs w:val="13"/>
                <w:color w:val="474C55"/>
              </w:rPr>
              <w:t>Beneficial Owners of 5% or More of Our Voting Securities</w:t>
            </w:r>
          </w:p>
        </w:tc>
        <w:tc>
          <w:tcPr>
            <w:tcW w:w="2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44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4460" w:type="dxa"/>
            <w:vAlign w:val="bottom"/>
            <w:shd w:val="clear" w:color="auto" w:fill="E1E2E2"/>
          </w:tcPr>
          <w:p>
            <w:pPr>
              <w:ind w:left="160"/>
              <w:spacing w:after="0" w:line="212" w:lineRule="exact"/>
              <w:rPr>
                <w:sz w:val="20"/>
                <w:szCs w:val="20"/>
                <w:color w:val="auto"/>
              </w:rPr>
            </w:pPr>
            <w:r>
              <w:rPr>
                <w:rFonts w:ascii="Arial" w:cs="Arial" w:eastAsia="Arial" w:hAnsi="Arial"/>
                <w:sz w:val="13"/>
                <w:szCs w:val="13"/>
                <w:color w:val="474C55"/>
              </w:rPr>
              <w:t>BlackRock, Inc.</w:t>
            </w:r>
            <w:r>
              <w:rPr>
                <w:rFonts w:ascii="Arial" w:cs="Arial" w:eastAsia="Arial" w:hAnsi="Arial"/>
                <w:sz w:val="20"/>
                <w:szCs w:val="20"/>
                <w:color w:val="474C55"/>
                <w:vertAlign w:val="superscript"/>
              </w:rPr>
              <w:t>2</w:t>
            </w:r>
          </w:p>
        </w:tc>
        <w:tc>
          <w:tcPr>
            <w:tcW w:w="2880" w:type="dxa"/>
            <w:vAlign w:val="bottom"/>
            <w:vMerge w:val="restart"/>
            <w:shd w:val="clear" w:color="auto" w:fill="E1E2E2"/>
          </w:tcPr>
          <w:p>
            <w:pPr>
              <w:jc w:val="right"/>
              <w:ind w:right="237"/>
              <w:spacing w:after="0"/>
              <w:rPr>
                <w:sz w:val="20"/>
                <w:szCs w:val="20"/>
                <w:color w:val="auto"/>
              </w:rPr>
            </w:pPr>
            <w:r>
              <w:rPr>
                <w:rFonts w:ascii="Arial" w:cs="Arial" w:eastAsia="Arial" w:hAnsi="Arial"/>
                <w:sz w:val="13"/>
                <w:szCs w:val="13"/>
                <w:color w:val="474C55"/>
              </w:rPr>
              <w:t>17,058,774</w:t>
            </w:r>
          </w:p>
        </w:tc>
        <w:tc>
          <w:tcPr>
            <w:tcW w:w="1660" w:type="dxa"/>
            <w:vAlign w:val="bottom"/>
            <w:vMerge w:val="restart"/>
            <w:shd w:val="clear" w:color="auto" w:fill="E1E2E2"/>
          </w:tcPr>
          <w:p>
            <w:pPr>
              <w:jc w:val="right"/>
              <w:ind w:right="117"/>
              <w:spacing w:after="0"/>
              <w:rPr>
                <w:sz w:val="20"/>
                <w:szCs w:val="20"/>
                <w:color w:val="auto"/>
              </w:rPr>
            </w:pPr>
            <w:r>
              <w:rPr>
                <w:rFonts w:ascii="Arial" w:cs="Arial" w:eastAsia="Arial" w:hAnsi="Arial"/>
                <w:sz w:val="13"/>
                <w:szCs w:val="13"/>
                <w:color w:val="474C55"/>
              </w:rPr>
              <w:t>14.3%</w:t>
            </w:r>
          </w:p>
        </w:tc>
        <w:tc>
          <w:tcPr>
            <w:tcW w:w="0" w:type="dxa"/>
            <w:vAlign w:val="bottom"/>
          </w:tcPr>
          <w:p>
            <w:pPr>
              <w:spacing w:after="0"/>
              <w:rPr>
                <w:sz w:val="1"/>
                <w:szCs w:val="1"/>
                <w:color w:val="auto"/>
              </w:rPr>
            </w:pPr>
          </w:p>
        </w:tc>
      </w:tr>
      <w:tr>
        <w:trPr>
          <w:trHeight w:val="138"/>
        </w:trPr>
        <w:tc>
          <w:tcPr>
            <w:tcW w:w="4460" w:type="dxa"/>
            <w:vAlign w:val="bottom"/>
            <w:shd w:val="clear" w:color="auto" w:fill="E1E2E2"/>
          </w:tcPr>
          <w:p>
            <w:pPr>
              <w:ind w:left="300"/>
              <w:spacing w:after="0" w:line="138" w:lineRule="exact"/>
              <w:rPr>
                <w:sz w:val="20"/>
                <w:szCs w:val="20"/>
                <w:color w:val="auto"/>
              </w:rPr>
            </w:pPr>
            <w:r>
              <w:rPr>
                <w:rFonts w:ascii="Arial" w:cs="Arial" w:eastAsia="Arial" w:hAnsi="Arial"/>
                <w:sz w:val="13"/>
                <w:szCs w:val="13"/>
                <w:color w:val="474C55"/>
              </w:rPr>
              <w:t>50 Hudson Yards</w:t>
            </w:r>
          </w:p>
        </w:tc>
        <w:tc>
          <w:tcPr>
            <w:tcW w:w="2880" w:type="dxa"/>
            <w:vAlign w:val="bottom"/>
            <w:vMerge w:val="continue"/>
            <w:shd w:val="clear" w:color="auto" w:fill="E1E2E2"/>
          </w:tcPr>
          <w:p>
            <w:pPr>
              <w:spacing w:after="0"/>
              <w:rPr>
                <w:sz w:val="11"/>
                <w:szCs w:val="11"/>
                <w:color w:val="auto"/>
              </w:rPr>
            </w:pPr>
          </w:p>
        </w:tc>
        <w:tc>
          <w:tcPr>
            <w:tcW w:w="1660" w:type="dxa"/>
            <w:vAlign w:val="bottom"/>
            <w:vMerge w:val="continue"/>
            <w:shd w:val="clear" w:color="auto" w:fill="E1E2E2"/>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460" w:type="dxa"/>
            <w:vAlign w:val="bottom"/>
            <w:tcBorders>
              <w:bottom w:val="single" w:sz="8" w:color="E1E2E2"/>
            </w:tcBorders>
            <w:shd w:val="clear" w:color="auto" w:fill="E1E2E2"/>
          </w:tcPr>
          <w:p>
            <w:pPr>
              <w:ind w:left="300"/>
              <w:spacing w:after="0"/>
              <w:rPr>
                <w:sz w:val="20"/>
                <w:szCs w:val="20"/>
                <w:color w:val="auto"/>
              </w:rPr>
            </w:pPr>
            <w:r>
              <w:rPr>
                <w:rFonts w:ascii="Arial" w:cs="Arial" w:eastAsia="Arial" w:hAnsi="Arial"/>
                <w:sz w:val="13"/>
                <w:szCs w:val="13"/>
                <w:color w:val="474C55"/>
              </w:rPr>
              <w:t>New York, NY 10001</w:t>
            </w:r>
          </w:p>
        </w:tc>
        <w:tc>
          <w:tcPr>
            <w:tcW w:w="2880" w:type="dxa"/>
            <w:vAlign w:val="bottom"/>
            <w:tcBorders>
              <w:bottom w:val="single" w:sz="8" w:color="E1E2E2"/>
            </w:tcBorders>
            <w:shd w:val="clear" w:color="auto" w:fill="E1E2E2"/>
          </w:tcPr>
          <w:p>
            <w:pPr>
              <w:spacing w:after="0"/>
              <w:rPr>
                <w:sz w:val="15"/>
                <w:szCs w:val="15"/>
                <w:color w:val="auto"/>
              </w:rPr>
            </w:pPr>
          </w:p>
        </w:tc>
        <w:tc>
          <w:tcPr>
            <w:tcW w:w="1660" w:type="dxa"/>
            <w:vAlign w:val="bottom"/>
            <w:tcBorders>
              <w:bottom w:val="single" w:sz="8" w:color="E1E2E2"/>
            </w:tcBorders>
            <w:shd w:val="clear" w:color="auto" w:fill="E1E2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160"/>
              <w:spacing w:after="0" w:line="212" w:lineRule="exact"/>
              <w:rPr>
                <w:sz w:val="20"/>
                <w:szCs w:val="20"/>
                <w:color w:val="auto"/>
              </w:rPr>
            </w:pPr>
            <w:r>
              <w:rPr>
                <w:rFonts w:ascii="Arial" w:cs="Arial" w:eastAsia="Arial" w:hAnsi="Arial"/>
                <w:sz w:val="13"/>
                <w:szCs w:val="13"/>
                <w:color w:val="474C55"/>
              </w:rPr>
              <w:t>The Vanguard Group</w:t>
            </w:r>
            <w:r>
              <w:rPr>
                <w:rFonts w:ascii="Arial" w:cs="Arial" w:eastAsia="Arial" w:hAnsi="Arial"/>
                <w:sz w:val="20"/>
                <w:szCs w:val="20"/>
                <w:color w:val="474C55"/>
                <w:vertAlign w:val="superscript"/>
              </w:rPr>
              <w:t>3</w:t>
            </w:r>
          </w:p>
        </w:tc>
        <w:tc>
          <w:tcPr>
            <w:tcW w:w="2880" w:type="dxa"/>
            <w:vAlign w:val="bottom"/>
            <w:vMerge w:val="restart"/>
          </w:tcPr>
          <w:p>
            <w:pPr>
              <w:jc w:val="right"/>
              <w:ind w:right="237"/>
              <w:spacing w:after="0"/>
              <w:rPr>
                <w:sz w:val="20"/>
                <w:szCs w:val="20"/>
                <w:color w:val="auto"/>
              </w:rPr>
            </w:pPr>
            <w:r>
              <w:rPr>
                <w:rFonts w:ascii="Arial" w:cs="Arial" w:eastAsia="Arial" w:hAnsi="Arial"/>
                <w:sz w:val="13"/>
                <w:szCs w:val="13"/>
                <w:color w:val="474C55"/>
              </w:rPr>
              <w:t>13,552,982</w:t>
            </w:r>
          </w:p>
        </w:tc>
        <w:tc>
          <w:tcPr>
            <w:tcW w:w="1660" w:type="dxa"/>
            <w:vAlign w:val="bottom"/>
            <w:vMerge w:val="restart"/>
          </w:tcPr>
          <w:p>
            <w:pPr>
              <w:jc w:val="right"/>
              <w:ind w:right="117"/>
              <w:spacing w:after="0"/>
              <w:rPr>
                <w:sz w:val="20"/>
                <w:szCs w:val="20"/>
                <w:color w:val="auto"/>
              </w:rPr>
            </w:pPr>
            <w:r>
              <w:rPr>
                <w:rFonts w:ascii="Arial" w:cs="Arial" w:eastAsia="Arial" w:hAnsi="Arial"/>
                <w:sz w:val="13"/>
                <w:szCs w:val="13"/>
                <w:color w:val="474C55"/>
              </w:rPr>
              <w:t>11.3%</w:t>
            </w:r>
          </w:p>
        </w:tc>
        <w:tc>
          <w:tcPr>
            <w:tcW w:w="0" w:type="dxa"/>
            <w:vAlign w:val="bottom"/>
          </w:tcPr>
          <w:p>
            <w:pPr>
              <w:spacing w:after="0"/>
              <w:rPr>
                <w:sz w:val="1"/>
                <w:szCs w:val="1"/>
                <w:color w:val="auto"/>
              </w:rPr>
            </w:pPr>
          </w:p>
        </w:tc>
      </w:tr>
      <w:tr>
        <w:trPr>
          <w:trHeight w:val="138"/>
        </w:trPr>
        <w:tc>
          <w:tcPr>
            <w:tcW w:w="4460" w:type="dxa"/>
            <w:vAlign w:val="bottom"/>
          </w:tcPr>
          <w:p>
            <w:pPr>
              <w:ind w:left="300"/>
              <w:spacing w:after="0" w:line="138" w:lineRule="exact"/>
              <w:rPr>
                <w:sz w:val="20"/>
                <w:szCs w:val="20"/>
                <w:color w:val="auto"/>
              </w:rPr>
            </w:pPr>
            <w:r>
              <w:rPr>
                <w:rFonts w:ascii="Arial" w:cs="Arial" w:eastAsia="Arial" w:hAnsi="Arial"/>
                <w:sz w:val="13"/>
                <w:szCs w:val="13"/>
                <w:color w:val="474C55"/>
              </w:rPr>
              <w:t>100 Vanguard Boulevard</w:t>
            </w:r>
          </w:p>
        </w:tc>
        <w:tc>
          <w:tcPr>
            <w:tcW w:w="28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460" w:type="dxa"/>
            <w:vAlign w:val="bottom"/>
          </w:tcPr>
          <w:p>
            <w:pPr>
              <w:ind w:left="300"/>
              <w:spacing w:after="0"/>
              <w:rPr>
                <w:sz w:val="20"/>
                <w:szCs w:val="20"/>
                <w:color w:val="auto"/>
              </w:rPr>
            </w:pPr>
            <w:r>
              <w:rPr>
                <w:rFonts w:ascii="Arial" w:cs="Arial" w:eastAsia="Arial" w:hAnsi="Arial"/>
                <w:sz w:val="13"/>
                <w:szCs w:val="13"/>
                <w:color w:val="474C55"/>
              </w:rPr>
              <w:t>Malvern, PA 19355</w:t>
            </w:r>
          </w:p>
        </w:tc>
        <w:tc>
          <w:tcPr>
            <w:tcW w:w="2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44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4460" w:type="dxa"/>
            <w:vAlign w:val="bottom"/>
            <w:shd w:val="clear" w:color="auto" w:fill="E1E2E2"/>
          </w:tcPr>
          <w:p>
            <w:pPr>
              <w:ind w:left="160"/>
              <w:spacing w:after="0" w:line="212" w:lineRule="exact"/>
              <w:rPr>
                <w:sz w:val="20"/>
                <w:szCs w:val="20"/>
                <w:color w:val="auto"/>
              </w:rPr>
            </w:pPr>
            <w:r>
              <w:rPr>
                <w:rFonts w:ascii="Arial" w:cs="Arial" w:eastAsia="Arial" w:hAnsi="Arial"/>
                <w:sz w:val="13"/>
                <w:szCs w:val="13"/>
                <w:color w:val="474C55"/>
              </w:rPr>
              <w:t>FMR LLC</w:t>
            </w:r>
            <w:r>
              <w:rPr>
                <w:rFonts w:ascii="Arial" w:cs="Arial" w:eastAsia="Arial" w:hAnsi="Arial"/>
                <w:sz w:val="20"/>
                <w:szCs w:val="20"/>
                <w:color w:val="474C55"/>
                <w:vertAlign w:val="superscript"/>
              </w:rPr>
              <w:t>4</w:t>
            </w:r>
          </w:p>
        </w:tc>
        <w:tc>
          <w:tcPr>
            <w:tcW w:w="2880" w:type="dxa"/>
            <w:vAlign w:val="bottom"/>
            <w:vMerge w:val="restart"/>
            <w:shd w:val="clear" w:color="auto" w:fill="E1E2E2"/>
          </w:tcPr>
          <w:p>
            <w:pPr>
              <w:jc w:val="right"/>
              <w:ind w:right="237"/>
              <w:spacing w:after="0"/>
              <w:rPr>
                <w:sz w:val="20"/>
                <w:szCs w:val="20"/>
                <w:color w:val="auto"/>
              </w:rPr>
            </w:pPr>
            <w:r>
              <w:rPr>
                <w:rFonts w:ascii="Arial" w:cs="Arial" w:eastAsia="Arial" w:hAnsi="Arial"/>
                <w:sz w:val="13"/>
                <w:szCs w:val="13"/>
                <w:color w:val="auto"/>
              </w:rPr>
              <w:t>10,641,994</w:t>
            </w:r>
          </w:p>
        </w:tc>
        <w:tc>
          <w:tcPr>
            <w:tcW w:w="1660" w:type="dxa"/>
            <w:vAlign w:val="bottom"/>
            <w:vMerge w:val="restart"/>
            <w:shd w:val="clear" w:color="auto" w:fill="E1E2E2"/>
          </w:tcPr>
          <w:p>
            <w:pPr>
              <w:jc w:val="right"/>
              <w:ind w:right="117"/>
              <w:spacing w:after="0"/>
              <w:rPr>
                <w:sz w:val="20"/>
                <w:szCs w:val="20"/>
                <w:color w:val="auto"/>
              </w:rPr>
            </w:pPr>
            <w:r>
              <w:rPr>
                <w:rFonts w:ascii="Arial" w:cs="Arial" w:eastAsia="Arial" w:hAnsi="Arial"/>
                <w:sz w:val="13"/>
                <w:szCs w:val="13"/>
                <w:color w:val="474C55"/>
              </w:rPr>
              <w:t>8.9%</w:t>
            </w:r>
          </w:p>
        </w:tc>
        <w:tc>
          <w:tcPr>
            <w:tcW w:w="0" w:type="dxa"/>
            <w:vAlign w:val="bottom"/>
          </w:tcPr>
          <w:p>
            <w:pPr>
              <w:spacing w:after="0"/>
              <w:rPr>
                <w:sz w:val="1"/>
                <w:szCs w:val="1"/>
                <w:color w:val="auto"/>
              </w:rPr>
            </w:pPr>
          </w:p>
        </w:tc>
      </w:tr>
      <w:tr>
        <w:trPr>
          <w:trHeight w:val="138"/>
        </w:trPr>
        <w:tc>
          <w:tcPr>
            <w:tcW w:w="4460" w:type="dxa"/>
            <w:vAlign w:val="bottom"/>
            <w:shd w:val="clear" w:color="auto" w:fill="E1E2E2"/>
          </w:tcPr>
          <w:p>
            <w:pPr>
              <w:ind w:left="300"/>
              <w:spacing w:after="0" w:line="138" w:lineRule="exact"/>
              <w:rPr>
                <w:sz w:val="20"/>
                <w:szCs w:val="20"/>
                <w:color w:val="auto"/>
              </w:rPr>
            </w:pPr>
            <w:r>
              <w:rPr>
                <w:rFonts w:ascii="Arial" w:cs="Arial" w:eastAsia="Arial" w:hAnsi="Arial"/>
                <w:sz w:val="13"/>
                <w:szCs w:val="13"/>
                <w:color w:val="474C55"/>
              </w:rPr>
              <w:t>245 Summer Street</w:t>
            </w:r>
          </w:p>
        </w:tc>
        <w:tc>
          <w:tcPr>
            <w:tcW w:w="2880" w:type="dxa"/>
            <w:vAlign w:val="bottom"/>
            <w:vMerge w:val="continue"/>
            <w:shd w:val="clear" w:color="auto" w:fill="E1E2E2"/>
          </w:tcPr>
          <w:p>
            <w:pPr>
              <w:spacing w:after="0"/>
              <w:rPr>
                <w:sz w:val="11"/>
                <w:szCs w:val="11"/>
                <w:color w:val="auto"/>
              </w:rPr>
            </w:pPr>
          </w:p>
        </w:tc>
        <w:tc>
          <w:tcPr>
            <w:tcW w:w="1660" w:type="dxa"/>
            <w:vAlign w:val="bottom"/>
            <w:vMerge w:val="continue"/>
            <w:shd w:val="clear" w:color="auto" w:fill="E1E2E2"/>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460" w:type="dxa"/>
            <w:vAlign w:val="bottom"/>
            <w:tcBorders>
              <w:bottom w:val="single" w:sz="8" w:color="E1E2E2"/>
            </w:tcBorders>
            <w:shd w:val="clear" w:color="auto" w:fill="E1E2E2"/>
          </w:tcPr>
          <w:p>
            <w:pPr>
              <w:ind w:left="300"/>
              <w:spacing w:after="0"/>
              <w:rPr>
                <w:sz w:val="20"/>
                <w:szCs w:val="20"/>
                <w:color w:val="auto"/>
              </w:rPr>
            </w:pPr>
            <w:r>
              <w:rPr>
                <w:rFonts w:ascii="Arial" w:cs="Arial" w:eastAsia="Arial" w:hAnsi="Arial"/>
                <w:sz w:val="13"/>
                <w:szCs w:val="13"/>
                <w:color w:val="474C55"/>
              </w:rPr>
              <w:t>Boston, MA 02210</w:t>
            </w:r>
          </w:p>
        </w:tc>
        <w:tc>
          <w:tcPr>
            <w:tcW w:w="2880" w:type="dxa"/>
            <w:vAlign w:val="bottom"/>
            <w:tcBorders>
              <w:bottom w:val="single" w:sz="8" w:color="E1E2E2"/>
            </w:tcBorders>
            <w:shd w:val="clear" w:color="auto" w:fill="E1E2E2"/>
          </w:tcPr>
          <w:p>
            <w:pPr>
              <w:spacing w:after="0"/>
              <w:rPr>
                <w:sz w:val="15"/>
                <w:szCs w:val="15"/>
                <w:color w:val="auto"/>
              </w:rPr>
            </w:pPr>
          </w:p>
        </w:tc>
        <w:tc>
          <w:tcPr>
            <w:tcW w:w="1660" w:type="dxa"/>
            <w:vAlign w:val="bottom"/>
            <w:tcBorders>
              <w:bottom w:val="single" w:sz="8" w:color="E1E2E2"/>
            </w:tcBorders>
            <w:shd w:val="clear" w:color="auto" w:fill="E1E2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160"/>
              <w:spacing w:after="0" w:line="212" w:lineRule="exact"/>
              <w:rPr>
                <w:sz w:val="20"/>
                <w:szCs w:val="20"/>
                <w:color w:val="auto"/>
              </w:rPr>
            </w:pPr>
            <w:r>
              <w:rPr>
                <w:rFonts w:ascii="Arial" w:cs="Arial" w:eastAsia="Arial" w:hAnsi="Arial"/>
                <w:sz w:val="13"/>
                <w:szCs w:val="13"/>
                <w:color w:val="474C55"/>
              </w:rPr>
              <w:t>State Street Corporation</w:t>
            </w:r>
            <w:r>
              <w:rPr>
                <w:rFonts w:ascii="Arial" w:cs="Arial" w:eastAsia="Arial" w:hAnsi="Arial"/>
                <w:sz w:val="20"/>
                <w:szCs w:val="20"/>
                <w:color w:val="474C55"/>
                <w:vertAlign w:val="superscript"/>
              </w:rPr>
              <w:t>5</w:t>
            </w:r>
          </w:p>
        </w:tc>
        <w:tc>
          <w:tcPr>
            <w:tcW w:w="2880" w:type="dxa"/>
            <w:vAlign w:val="bottom"/>
            <w:vMerge w:val="restart"/>
          </w:tcPr>
          <w:p>
            <w:pPr>
              <w:jc w:val="right"/>
              <w:ind w:right="237"/>
              <w:spacing w:after="0"/>
              <w:rPr>
                <w:sz w:val="20"/>
                <w:szCs w:val="20"/>
                <w:color w:val="auto"/>
              </w:rPr>
            </w:pPr>
            <w:r>
              <w:rPr>
                <w:rFonts w:ascii="Arial" w:cs="Arial" w:eastAsia="Arial" w:hAnsi="Arial"/>
                <w:sz w:val="13"/>
                <w:szCs w:val="13"/>
                <w:color w:val="auto"/>
              </w:rPr>
              <w:t>6,555,875</w:t>
            </w:r>
          </w:p>
        </w:tc>
        <w:tc>
          <w:tcPr>
            <w:tcW w:w="1660" w:type="dxa"/>
            <w:vAlign w:val="bottom"/>
            <w:vMerge w:val="restart"/>
          </w:tcPr>
          <w:p>
            <w:pPr>
              <w:jc w:val="right"/>
              <w:ind w:right="117"/>
              <w:spacing w:after="0"/>
              <w:rPr>
                <w:sz w:val="20"/>
                <w:szCs w:val="20"/>
                <w:color w:val="auto"/>
              </w:rPr>
            </w:pPr>
            <w:r>
              <w:rPr>
                <w:rFonts w:ascii="Arial" w:cs="Arial" w:eastAsia="Arial" w:hAnsi="Arial"/>
                <w:sz w:val="13"/>
                <w:szCs w:val="13"/>
                <w:color w:val="474C55"/>
              </w:rPr>
              <w:t>5.5%</w:t>
            </w:r>
          </w:p>
        </w:tc>
        <w:tc>
          <w:tcPr>
            <w:tcW w:w="0" w:type="dxa"/>
            <w:vAlign w:val="bottom"/>
          </w:tcPr>
          <w:p>
            <w:pPr>
              <w:spacing w:after="0"/>
              <w:rPr>
                <w:sz w:val="1"/>
                <w:szCs w:val="1"/>
                <w:color w:val="auto"/>
              </w:rPr>
            </w:pPr>
          </w:p>
        </w:tc>
      </w:tr>
      <w:tr>
        <w:trPr>
          <w:trHeight w:val="138"/>
        </w:trPr>
        <w:tc>
          <w:tcPr>
            <w:tcW w:w="4460" w:type="dxa"/>
            <w:vAlign w:val="bottom"/>
          </w:tcPr>
          <w:p>
            <w:pPr>
              <w:ind w:left="300"/>
              <w:spacing w:after="0" w:line="138" w:lineRule="exact"/>
              <w:rPr>
                <w:sz w:val="20"/>
                <w:szCs w:val="20"/>
                <w:color w:val="auto"/>
              </w:rPr>
            </w:pPr>
            <w:r>
              <w:rPr>
                <w:rFonts w:ascii="Arial" w:cs="Arial" w:eastAsia="Arial" w:hAnsi="Arial"/>
                <w:sz w:val="13"/>
                <w:szCs w:val="13"/>
                <w:color w:val="474C55"/>
              </w:rPr>
              <w:t>1 Congress Street, Suite 1</w:t>
            </w:r>
          </w:p>
        </w:tc>
        <w:tc>
          <w:tcPr>
            <w:tcW w:w="28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460" w:type="dxa"/>
            <w:vAlign w:val="bottom"/>
          </w:tcPr>
          <w:p>
            <w:pPr>
              <w:ind w:left="300"/>
              <w:spacing w:after="0"/>
              <w:rPr>
                <w:sz w:val="20"/>
                <w:szCs w:val="20"/>
                <w:color w:val="auto"/>
              </w:rPr>
            </w:pPr>
            <w:r>
              <w:rPr>
                <w:rFonts w:ascii="Arial" w:cs="Arial" w:eastAsia="Arial" w:hAnsi="Arial"/>
                <w:sz w:val="13"/>
                <w:szCs w:val="13"/>
                <w:color w:val="474C55"/>
              </w:rPr>
              <w:t>Boston, MA 02114</w:t>
            </w:r>
          </w:p>
        </w:tc>
        <w:tc>
          <w:tcPr>
            <w:tcW w:w="2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4460" w:type="dxa"/>
            <w:vAlign w:val="bottom"/>
          </w:tcPr>
          <w:p>
            <w:pPr>
              <w:ind w:left="160"/>
              <w:spacing w:after="0"/>
              <w:rPr>
                <w:sz w:val="20"/>
                <w:szCs w:val="20"/>
                <w:color w:val="auto"/>
              </w:rPr>
            </w:pPr>
            <w:r>
              <w:rPr>
                <w:rFonts w:ascii="Arial" w:cs="Arial" w:eastAsia="Arial" w:hAnsi="Arial"/>
                <w:sz w:val="13"/>
                <w:szCs w:val="13"/>
                <w:color w:val="auto"/>
              </w:rPr>
              <w:t>Dimensional Fund Advisors LP</w:t>
            </w:r>
            <w:r>
              <w:rPr>
                <w:rFonts w:ascii="Arial" w:cs="Arial" w:eastAsia="Arial" w:hAnsi="Arial"/>
                <w:sz w:val="20"/>
                <w:szCs w:val="20"/>
                <w:color w:val="auto"/>
                <w:vertAlign w:val="superscript"/>
              </w:rPr>
              <w:t>6</w:t>
            </w:r>
          </w:p>
        </w:tc>
        <w:tc>
          <w:tcPr>
            <w:tcW w:w="2880" w:type="dxa"/>
            <w:vAlign w:val="bottom"/>
            <w:vMerge w:val="restart"/>
          </w:tcPr>
          <w:p>
            <w:pPr>
              <w:jc w:val="right"/>
              <w:ind w:right="277"/>
              <w:spacing w:after="0"/>
              <w:rPr>
                <w:sz w:val="20"/>
                <w:szCs w:val="20"/>
                <w:color w:val="auto"/>
              </w:rPr>
            </w:pPr>
            <w:r>
              <w:rPr>
                <w:rFonts w:ascii="Arial" w:cs="Arial" w:eastAsia="Arial" w:hAnsi="Arial"/>
                <w:sz w:val="13"/>
                <w:szCs w:val="13"/>
                <w:color w:val="auto"/>
              </w:rPr>
              <w:t>6,058,962</w:t>
            </w:r>
          </w:p>
        </w:tc>
        <w:tc>
          <w:tcPr>
            <w:tcW w:w="1660" w:type="dxa"/>
            <w:vAlign w:val="bottom"/>
            <w:vMerge w:val="restart"/>
          </w:tcPr>
          <w:p>
            <w:pPr>
              <w:jc w:val="right"/>
              <w:ind w:right="11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0"/>
        </w:trPr>
        <w:tc>
          <w:tcPr>
            <w:tcW w:w="4460" w:type="dxa"/>
            <w:vAlign w:val="bottom"/>
          </w:tcPr>
          <w:p>
            <w:pPr>
              <w:ind w:left="300"/>
              <w:spacing w:after="0"/>
              <w:rPr>
                <w:sz w:val="20"/>
                <w:szCs w:val="20"/>
                <w:color w:val="auto"/>
              </w:rPr>
            </w:pPr>
            <w:r>
              <w:rPr>
                <w:rFonts w:ascii="Arial" w:cs="Arial" w:eastAsia="Arial" w:hAnsi="Arial"/>
                <w:sz w:val="13"/>
                <w:szCs w:val="13"/>
                <w:color w:val="auto"/>
              </w:rPr>
              <w:t>6300 Bee Cave Road, Building One</w:t>
            </w:r>
          </w:p>
        </w:tc>
        <w:tc>
          <w:tcPr>
            <w:tcW w:w="288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5712460" cy="3498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712460" cy="34988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3"/>
          <w:szCs w:val="13"/>
          <w:color w:val="auto"/>
        </w:rPr>
        <w:t>Austin, TX 78746</w:t>
      </w:r>
    </w:p>
    <w:p>
      <w:pPr>
        <w:spacing w:after="0" w:line="114" w:lineRule="exact"/>
        <w:rPr>
          <w:sz w:val="20"/>
          <w:szCs w:val="20"/>
          <w:color w:val="auto"/>
        </w:rPr>
      </w:pPr>
    </w:p>
    <w:p>
      <w:pPr>
        <w:ind w:left="180" w:hanging="180"/>
        <w:spacing w:after="0"/>
        <w:tabs>
          <w:tab w:leader="none" w:pos="180" w:val="left"/>
        </w:tabs>
        <w:numPr>
          <w:ilvl w:val="0"/>
          <w:numId w:val="82"/>
        </w:numPr>
        <w:rPr>
          <w:rFonts w:ascii="Arial" w:cs="Arial" w:eastAsia="Arial" w:hAnsi="Arial"/>
          <w:sz w:val="10"/>
          <w:szCs w:val="10"/>
          <w:color w:val="474C55"/>
        </w:rPr>
      </w:pPr>
      <w:r>
        <w:rPr>
          <w:rFonts w:ascii="Arial" w:cs="Arial" w:eastAsia="Arial" w:hAnsi="Arial"/>
          <w:sz w:val="13"/>
          <w:szCs w:val="13"/>
          <w:color w:val="474C55"/>
        </w:rPr>
        <w:t>Percentage computations are based upon 119,488,323 shares of our outstanding voting common stock as of February 28, 2025.</w:t>
      </w:r>
    </w:p>
    <w:p>
      <w:pPr>
        <w:spacing w:after="0" w:line="88" w:lineRule="exact"/>
        <w:rPr>
          <w:sz w:val="20"/>
          <w:szCs w:val="20"/>
          <w:color w:val="auto"/>
        </w:rPr>
      </w:pPr>
    </w:p>
    <w:p>
      <w:pPr>
        <w:ind w:left="180" w:right="2260" w:hanging="180"/>
        <w:spacing w:after="0" w:line="246" w:lineRule="auto"/>
        <w:tabs>
          <w:tab w:leader="none" w:pos="180" w:val="left"/>
        </w:tabs>
        <w:numPr>
          <w:ilvl w:val="0"/>
          <w:numId w:val="83"/>
        </w:numPr>
        <w:rPr>
          <w:rFonts w:ascii="Arial" w:cs="Arial" w:eastAsia="Arial" w:hAnsi="Arial"/>
          <w:sz w:val="10"/>
          <w:szCs w:val="10"/>
          <w:color w:val="474C55"/>
        </w:rPr>
      </w:pPr>
      <w:r>
        <w:rPr>
          <w:rFonts w:ascii="Arial" w:cs="Arial" w:eastAsia="Arial" w:hAnsi="Arial"/>
          <w:sz w:val="13"/>
          <w:szCs w:val="13"/>
          <w:color w:val="474C55"/>
        </w:rPr>
        <w:t>Based solely on information contained in the Schedule 13G/A filed by BlackRock, Inc. with the SEC on January 23, 2024 indicating sole voting power relative to 16,845,142 shares of common stock and sole dispositive power relative to 17,058,774 shares of common stock as of December 31, 2023.</w:t>
      </w:r>
    </w:p>
    <w:p>
      <w:pPr>
        <w:spacing w:after="0" w:line="56" w:lineRule="exact"/>
        <w:rPr>
          <w:sz w:val="20"/>
          <w:szCs w:val="20"/>
          <w:color w:val="auto"/>
        </w:rPr>
      </w:pPr>
    </w:p>
    <w:p>
      <w:pPr>
        <w:ind w:left="180" w:right="2320" w:hanging="180"/>
        <w:spacing w:after="0" w:line="229" w:lineRule="auto"/>
        <w:tabs>
          <w:tab w:leader="none" w:pos="180" w:val="left"/>
        </w:tabs>
        <w:numPr>
          <w:ilvl w:val="0"/>
          <w:numId w:val="84"/>
        </w:numPr>
        <w:rPr>
          <w:rFonts w:ascii="Arial" w:cs="Arial" w:eastAsia="Arial" w:hAnsi="Arial"/>
          <w:sz w:val="14"/>
          <w:szCs w:val="14"/>
          <w:color w:val="474C55"/>
          <w:vertAlign w:val="superscript"/>
        </w:rPr>
      </w:pPr>
      <w:r>
        <w:rPr>
          <w:rFonts w:ascii="Arial" w:cs="Arial" w:eastAsia="Arial" w:hAnsi="Arial"/>
          <w:sz w:val="13"/>
          <w:szCs w:val="13"/>
          <w:color w:val="474C55"/>
        </w:rPr>
        <w:t>Based solely on information contained in the Schedule 13G/A filed by The Vanguard Group with the SEC on February 13, 2024 indicating shared voting power relative to 94,131 shares of common stock, sole dispositive power relative to 13,331,741 shares of common stock and shared dispositive power relative to 221,241 shares of common stock as of December 31, 2023.</w:t>
      </w:r>
    </w:p>
    <w:p>
      <w:pPr>
        <w:spacing w:after="0" w:line="62" w:lineRule="exact"/>
        <w:rPr>
          <w:sz w:val="20"/>
          <w:szCs w:val="20"/>
          <w:color w:val="auto"/>
        </w:rPr>
      </w:pPr>
    </w:p>
    <w:p>
      <w:pPr>
        <w:ind w:left="180" w:right="2540" w:hanging="180"/>
        <w:spacing w:after="0" w:line="246" w:lineRule="auto"/>
        <w:tabs>
          <w:tab w:leader="none" w:pos="180" w:val="left"/>
        </w:tabs>
        <w:numPr>
          <w:ilvl w:val="0"/>
          <w:numId w:val="85"/>
        </w:numPr>
        <w:rPr>
          <w:rFonts w:ascii="Arial" w:cs="Arial" w:eastAsia="Arial" w:hAnsi="Arial"/>
          <w:sz w:val="10"/>
          <w:szCs w:val="10"/>
          <w:color w:val="474C55"/>
        </w:rPr>
      </w:pPr>
      <w:r>
        <w:rPr>
          <w:rFonts w:ascii="Arial" w:cs="Arial" w:eastAsia="Arial" w:hAnsi="Arial"/>
          <w:sz w:val="13"/>
          <w:szCs w:val="13"/>
          <w:color w:val="474C55"/>
        </w:rPr>
        <w:t>Based solely on information contained in the Schedule 13G/A filed by FMR LLC with the SEC on November 12, 2024 indicating sole voting and dispositive power relative to 10,641,994 shares of common stock as of September 30, 2024.</w:t>
      </w:r>
    </w:p>
    <w:p>
      <w:pPr>
        <w:spacing w:after="0" w:line="56" w:lineRule="exact"/>
        <w:rPr>
          <w:sz w:val="20"/>
          <w:szCs w:val="20"/>
          <w:color w:val="auto"/>
        </w:rPr>
      </w:pPr>
    </w:p>
    <w:p>
      <w:pPr>
        <w:ind w:left="180" w:right="2320" w:hanging="180"/>
        <w:spacing w:after="0" w:line="334" w:lineRule="auto"/>
        <w:tabs>
          <w:tab w:leader="none" w:pos="180" w:val="left"/>
        </w:tabs>
        <w:numPr>
          <w:ilvl w:val="0"/>
          <w:numId w:val="86"/>
        </w:numPr>
        <w:rPr>
          <w:rFonts w:ascii="Arial" w:cs="Arial" w:eastAsia="Arial" w:hAnsi="Arial"/>
          <w:sz w:val="10"/>
          <w:szCs w:val="10"/>
          <w:color w:val="474C55"/>
        </w:rPr>
      </w:pPr>
      <w:r>
        <w:rPr>
          <w:rFonts w:ascii="Arial" w:cs="Arial" w:eastAsia="Arial" w:hAnsi="Arial"/>
          <w:sz w:val="11"/>
          <w:szCs w:val="11"/>
          <w:color w:val="474C55"/>
        </w:rPr>
        <w:t>Based solely on information contained in the Schedule 13G filed by State Street Corporation with the SEC on February 5, 2025 indicating shared voting power relative to 788,939 shares of common stock and shared dispositive power relative to 6,555,875 shares of common stock as of December 31, 2024.</w:t>
      </w:r>
    </w:p>
    <w:p>
      <w:pPr>
        <w:spacing w:after="0" w:line="11" w:lineRule="exact"/>
        <w:rPr>
          <w:sz w:val="20"/>
          <w:szCs w:val="20"/>
          <w:color w:val="auto"/>
        </w:rPr>
      </w:pPr>
    </w:p>
    <w:p>
      <w:pPr>
        <w:ind w:left="180" w:right="2320" w:hanging="180"/>
        <w:spacing w:after="0" w:line="334" w:lineRule="auto"/>
        <w:tabs>
          <w:tab w:leader="none" w:pos="180" w:val="left"/>
        </w:tabs>
        <w:numPr>
          <w:ilvl w:val="0"/>
          <w:numId w:val="87"/>
        </w:numPr>
        <w:rPr>
          <w:rFonts w:ascii="Arial" w:cs="Arial" w:eastAsia="Arial" w:hAnsi="Arial"/>
          <w:sz w:val="10"/>
          <w:szCs w:val="10"/>
          <w:color w:val="474C55"/>
        </w:rPr>
      </w:pPr>
      <w:r>
        <w:rPr>
          <w:rFonts w:ascii="Arial" w:cs="Arial" w:eastAsia="Arial" w:hAnsi="Arial"/>
          <w:sz w:val="11"/>
          <w:szCs w:val="11"/>
          <w:color w:val="474C55"/>
        </w:rPr>
        <w:t>Based solely on information contained in the Schedule 13G filed by Dimensional Fund Advisors LP with the SEC on January 23, 2025 indicating shared voting power relative to 5,874,375 shares of common stock and sole dispositive power relative to 6,058,962 shares of common stock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24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64" w:name="page65"/>
    <w:bookmarkEnd w:id="64"/>
    <w:p>
      <w:pPr>
        <w:spacing w:after="0"/>
        <w:rPr>
          <w:sz w:val="20"/>
          <w:szCs w:val="20"/>
          <w:color w:val="auto"/>
        </w:rPr>
      </w:pPr>
      <w:r>
        <w:rPr>
          <w:rFonts w:ascii="Arial" w:cs="Arial" w:eastAsia="Arial" w:hAnsi="Arial"/>
          <w:sz w:val="23"/>
          <w:szCs w:val="23"/>
          <w:b w:val="1"/>
          <w:bCs w:val="1"/>
          <w:color w:val="017AB5"/>
        </w:rPr>
        <w:t>Security Ownership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140335</wp:posOffset>
            </wp:positionV>
            <wp:extent cx="8255" cy="3175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3175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140335</wp:posOffset>
            </wp:positionV>
            <wp:extent cx="8255" cy="3175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31750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140335</wp:posOffset>
            </wp:positionV>
            <wp:extent cx="8255" cy="3175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31750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140335</wp:posOffset>
            </wp:positionV>
            <wp:extent cx="8255" cy="3175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31750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40" w:type="dxa"/>
            <w:vAlign w:val="bottom"/>
            <w:shd w:val="clear" w:color="auto" w:fill="007DB6"/>
          </w:tcPr>
          <w:p>
            <w:pPr>
              <w:spacing w:after="0"/>
              <w:rPr>
                <w:sz w:val="13"/>
                <w:szCs w:val="13"/>
                <w:color w:val="auto"/>
              </w:rPr>
            </w:pPr>
          </w:p>
        </w:tc>
        <w:tc>
          <w:tcPr>
            <w:tcW w:w="2220" w:type="dxa"/>
            <w:vAlign w:val="bottom"/>
            <w:shd w:val="clear" w:color="auto" w:fill="007DB6"/>
          </w:tcPr>
          <w:p>
            <w:pPr>
              <w:jc w:val="center"/>
              <w:ind w:left="317"/>
              <w:spacing w:after="0"/>
              <w:rPr>
                <w:sz w:val="20"/>
                <w:szCs w:val="20"/>
                <w:color w:val="auto"/>
              </w:rPr>
            </w:pPr>
            <w:r>
              <w:rPr>
                <w:rFonts w:ascii="Arial" w:cs="Arial" w:eastAsia="Arial" w:hAnsi="Arial"/>
                <w:sz w:val="13"/>
                <w:szCs w:val="13"/>
                <w:color w:val="FFFFFF"/>
                <w:w w:val="96"/>
              </w:rPr>
              <w:t>Number of Shares of</w:t>
            </w:r>
          </w:p>
        </w:tc>
        <w:tc>
          <w:tcPr>
            <w:tcW w:w="1540" w:type="dxa"/>
            <w:vAlign w:val="bottom"/>
            <w:shd w:val="clear" w:color="auto" w:fill="007DB6"/>
          </w:tcPr>
          <w:p>
            <w:pPr>
              <w:spacing w:after="0"/>
              <w:rPr>
                <w:sz w:val="13"/>
                <w:szCs w:val="13"/>
                <w:color w:val="auto"/>
              </w:rPr>
            </w:pPr>
          </w:p>
        </w:tc>
        <w:tc>
          <w:tcPr>
            <w:tcW w:w="2040" w:type="dxa"/>
            <w:vAlign w:val="bottom"/>
            <w:vMerge w:val="restart"/>
            <w:shd w:val="clear" w:color="auto" w:fill="007DB6"/>
          </w:tcPr>
          <w:p>
            <w:pPr>
              <w:jc w:val="right"/>
              <w:ind w:right="437"/>
              <w:spacing w:after="0"/>
              <w:rPr>
                <w:sz w:val="20"/>
                <w:szCs w:val="20"/>
                <w:color w:val="auto"/>
              </w:rPr>
            </w:pPr>
            <w:r>
              <w:rPr>
                <w:rFonts w:ascii="Arial" w:cs="Arial" w:eastAsia="Arial" w:hAnsi="Arial"/>
                <w:sz w:val="13"/>
                <w:szCs w:val="13"/>
                <w:color w:val="FFFFFF"/>
              </w:rPr>
              <w:t>Number of Shares of</w:t>
            </w:r>
          </w:p>
        </w:tc>
        <w:tc>
          <w:tcPr>
            <w:tcW w:w="1400" w:type="dxa"/>
            <w:vAlign w:val="bottom"/>
            <w:shd w:val="clear" w:color="auto" w:fill="007DB6"/>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4040" w:type="dxa"/>
            <w:vAlign w:val="bottom"/>
            <w:vMerge w:val="restart"/>
            <w:shd w:val="clear" w:color="auto" w:fill="007DB6"/>
          </w:tcPr>
          <w:p>
            <w:pPr>
              <w:ind w:left="80"/>
              <w:spacing w:after="0" w:line="138" w:lineRule="exact"/>
              <w:rPr>
                <w:sz w:val="20"/>
                <w:szCs w:val="20"/>
                <w:color w:val="auto"/>
              </w:rPr>
            </w:pPr>
            <w:r>
              <w:rPr>
                <w:rFonts w:ascii="Arial" w:cs="Arial" w:eastAsia="Arial" w:hAnsi="Arial"/>
                <w:sz w:val="13"/>
                <w:szCs w:val="13"/>
                <w:color w:val="FFFFFF"/>
              </w:rPr>
              <w:t>Name of Beneficial Owner</w:t>
            </w:r>
          </w:p>
        </w:tc>
        <w:tc>
          <w:tcPr>
            <w:tcW w:w="2220" w:type="dxa"/>
            <w:vAlign w:val="bottom"/>
            <w:vMerge w:val="restart"/>
            <w:shd w:val="clear" w:color="auto" w:fill="007DB6"/>
          </w:tcPr>
          <w:p>
            <w:pPr>
              <w:jc w:val="center"/>
              <w:ind w:left="317"/>
              <w:spacing w:after="0" w:line="138" w:lineRule="exact"/>
              <w:rPr>
                <w:sz w:val="20"/>
                <w:szCs w:val="20"/>
                <w:color w:val="auto"/>
              </w:rPr>
            </w:pPr>
            <w:r>
              <w:rPr>
                <w:rFonts w:ascii="Arial" w:cs="Arial" w:eastAsia="Arial" w:hAnsi="Arial"/>
                <w:sz w:val="13"/>
                <w:szCs w:val="13"/>
                <w:color w:val="FFFFFF"/>
                <w:w w:val="95"/>
              </w:rPr>
              <w:t>Voting Common Stock</w:t>
            </w:r>
          </w:p>
        </w:tc>
        <w:tc>
          <w:tcPr>
            <w:tcW w:w="1540" w:type="dxa"/>
            <w:vAlign w:val="bottom"/>
            <w:vMerge w:val="restart"/>
            <w:shd w:val="clear" w:color="auto" w:fill="007DB6"/>
          </w:tcPr>
          <w:p>
            <w:pPr>
              <w:jc w:val="right"/>
              <w:ind w:right="258"/>
              <w:spacing w:after="0"/>
              <w:rPr>
                <w:sz w:val="20"/>
                <w:szCs w:val="20"/>
                <w:color w:val="auto"/>
              </w:rPr>
            </w:pPr>
            <w:r>
              <w:rPr>
                <w:rFonts w:ascii="Arial" w:cs="Arial" w:eastAsia="Arial" w:hAnsi="Arial"/>
                <w:sz w:val="10"/>
                <w:szCs w:val="10"/>
                <w:color w:val="FFFFFF"/>
              </w:rPr>
              <w:t>2</w:t>
            </w:r>
          </w:p>
        </w:tc>
        <w:tc>
          <w:tcPr>
            <w:tcW w:w="2040" w:type="dxa"/>
            <w:vAlign w:val="bottom"/>
            <w:vMerge w:val="continue"/>
            <w:shd w:val="clear" w:color="auto" w:fill="007DB6"/>
          </w:tcPr>
          <w:p>
            <w:pPr>
              <w:spacing w:after="0"/>
              <w:rPr>
                <w:sz w:val="7"/>
                <w:szCs w:val="7"/>
                <w:color w:val="auto"/>
              </w:rPr>
            </w:pPr>
          </w:p>
        </w:tc>
        <w:tc>
          <w:tcPr>
            <w:tcW w:w="1400" w:type="dxa"/>
            <w:vAlign w:val="bottom"/>
            <w:vMerge w:val="restart"/>
            <w:shd w:val="clear" w:color="auto" w:fill="007DB6"/>
          </w:tcPr>
          <w:p>
            <w:pPr>
              <w:jc w:val="right"/>
              <w:ind w:right="158"/>
              <w:spacing w:after="0"/>
              <w:rPr>
                <w:sz w:val="20"/>
                <w:szCs w:val="20"/>
                <w:color w:val="auto"/>
              </w:rPr>
            </w:pPr>
            <w:r>
              <w:rPr>
                <w:rFonts w:ascii="Arial" w:cs="Arial" w:eastAsia="Arial" w:hAnsi="Arial"/>
                <w:sz w:val="10"/>
                <w:szCs w:val="10"/>
                <w:color w:val="FFFFFF"/>
              </w:rPr>
              <w:t>4</w:t>
            </w:r>
          </w:p>
        </w:tc>
        <w:tc>
          <w:tcPr>
            <w:tcW w:w="0" w:type="dxa"/>
            <w:vAlign w:val="bottom"/>
          </w:tcPr>
          <w:p>
            <w:pPr>
              <w:spacing w:after="0"/>
              <w:rPr>
                <w:sz w:val="1"/>
                <w:szCs w:val="1"/>
                <w:color w:val="auto"/>
              </w:rPr>
            </w:pPr>
          </w:p>
        </w:tc>
      </w:tr>
      <w:tr>
        <w:trPr>
          <w:trHeight w:val="48"/>
        </w:trPr>
        <w:tc>
          <w:tcPr>
            <w:tcW w:w="4040" w:type="dxa"/>
            <w:vAlign w:val="bottom"/>
            <w:vMerge w:val="continue"/>
            <w:shd w:val="clear" w:color="auto" w:fill="007DB6"/>
          </w:tcPr>
          <w:p>
            <w:pPr>
              <w:spacing w:after="0"/>
              <w:rPr>
                <w:sz w:val="4"/>
                <w:szCs w:val="4"/>
                <w:color w:val="auto"/>
              </w:rPr>
            </w:pPr>
          </w:p>
        </w:tc>
        <w:tc>
          <w:tcPr>
            <w:tcW w:w="2220" w:type="dxa"/>
            <w:vAlign w:val="bottom"/>
            <w:vMerge w:val="continue"/>
            <w:shd w:val="clear" w:color="auto" w:fill="007DB6"/>
          </w:tcPr>
          <w:p>
            <w:pPr>
              <w:spacing w:after="0"/>
              <w:rPr>
                <w:sz w:val="4"/>
                <w:szCs w:val="4"/>
                <w:color w:val="auto"/>
              </w:rPr>
            </w:pPr>
          </w:p>
        </w:tc>
        <w:tc>
          <w:tcPr>
            <w:tcW w:w="1540" w:type="dxa"/>
            <w:vAlign w:val="bottom"/>
            <w:vMerge w:val="continue"/>
            <w:shd w:val="clear" w:color="auto" w:fill="007DB6"/>
          </w:tcPr>
          <w:p>
            <w:pPr>
              <w:spacing w:after="0"/>
              <w:rPr>
                <w:sz w:val="4"/>
                <w:szCs w:val="4"/>
                <w:color w:val="auto"/>
              </w:rPr>
            </w:pPr>
          </w:p>
        </w:tc>
        <w:tc>
          <w:tcPr>
            <w:tcW w:w="2040" w:type="dxa"/>
            <w:vAlign w:val="bottom"/>
            <w:shd w:val="clear" w:color="auto" w:fill="007DB6"/>
          </w:tcPr>
          <w:p>
            <w:pPr>
              <w:spacing w:after="0"/>
              <w:rPr>
                <w:sz w:val="4"/>
                <w:szCs w:val="4"/>
                <w:color w:val="auto"/>
              </w:rPr>
            </w:pPr>
          </w:p>
        </w:tc>
        <w:tc>
          <w:tcPr>
            <w:tcW w:w="1400" w:type="dxa"/>
            <w:vAlign w:val="bottom"/>
            <w:vMerge w:val="continue"/>
            <w:shd w:val="clear" w:color="auto" w:fill="007DB6"/>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4040" w:type="dxa"/>
            <w:vAlign w:val="bottom"/>
            <w:shd w:val="clear" w:color="auto" w:fill="007DB6"/>
          </w:tcPr>
          <w:p>
            <w:pPr>
              <w:spacing w:after="0"/>
              <w:rPr>
                <w:sz w:val="18"/>
                <w:szCs w:val="18"/>
                <w:color w:val="auto"/>
              </w:rPr>
            </w:pPr>
          </w:p>
        </w:tc>
        <w:tc>
          <w:tcPr>
            <w:tcW w:w="2220" w:type="dxa"/>
            <w:vAlign w:val="bottom"/>
            <w:shd w:val="clear" w:color="auto" w:fill="007DB6"/>
          </w:tcPr>
          <w:p>
            <w:pPr>
              <w:jc w:val="center"/>
              <w:ind w:left="337"/>
              <w:spacing w:after="0" w:line="212" w:lineRule="exact"/>
              <w:rPr>
                <w:sz w:val="20"/>
                <w:szCs w:val="20"/>
                <w:color w:val="auto"/>
              </w:rPr>
            </w:pPr>
            <w:r>
              <w:rPr>
                <w:rFonts w:ascii="Arial" w:cs="Arial" w:eastAsia="Arial" w:hAnsi="Arial"/>
                <w:sz w:val="13"/>
                <w:szCs w:val="13"/>
                <w:color w:val="FFFFFF"/>
                <w:w w:val="94"/>
              </w:rPr>
              <w:t>Beneficially Owned (#)</w:t>
            </w:r>
            <w:r>
              <w:rPr>
                <w:rFonts w:ascii="Arial" w:cs="Arial" w:eastAsia="Arial" w:hAnsi="Arial"/>
                <w:sz w:val="20"/>
                <w:szCs w:val="20"/>
                <w:color w:val="FFFFFF"/>
                <w:w w:val="94"/>
                <w:vertAlign w:val="superscript"/>
              </w:rPr>
              <w:t>1</w:t>
            </w:r>
          </w:p>
        </w:tc>
        <w:tc>
          <w:tcPr>
            <w:tcW w:w="1540" w:type="dxa"/>
            <w:vAlign w:val="bottom"/>
            <w:shd w:val="clear" w:color="auto" w:fill="007DB6"/>
          </w:tcPr>
          <w:p>
            <w:pPr>
              <w:jc w:val="right"/>
              <w:ind w:right="318"/>
              <w:spacing w:after="0"/>
              <w:rPr>
                <w:sz w:val="20"/>
                <w:szCs w:val="20"/>
                <w:color w:val="auto"/>
              </w:rPr>
            </w:pPr>
            <w:r>
              <w:rPr>
                <w:rFonts w:ascii="Arial" w:cs="Arial" w:eastAsia="Arial" w:hAnsi="Arial"/>
                <w:sz w:val="13"/>
                <w:szCs w:val="13"/>
                <w:color w:val="FFFFFF"/>
              </w:rPr>
              <w:t>Percent of Class</w:t>
            </w:r>
          </w:p>
        </w:tc>
        <w:tc>
          <w:tcPr>
            <w:tcW w:w="2040" w:type="dxa"/>
            <w:vAlign w:val="bottom"/>
            <w:shd w:val="clear" w:color="auto" w:fill="007DB6"/>
          </w:tcPr>
          <w:p>
            <w:pPr>
              <w:jc w:val="right"/>
              <w:ind w:right="197"/>
              <w:spacing w:after="0" w:line="212" w:lineRule="exact"/>
              <w:rPr>
                <w:sz w:val="20"/>
                <w:szCs w:val="20"/>
                <w:color w:val="auto"/>
              </w:rPr>
            </w:pPr>
            <w:r>
              <w:rPr>
                <w:rFonts w:ascii="Arial" w:cs="Arial" w:eastAsia="Arial" w:hAnsi="Arial"/>
                <w:sz w:val="13"/>
                <w:szCs w:val="13"/>
                <w:color w:val="FFFFFF"/>
              </w:rPr>
              <w:t>Series I Preferred Stock (#)</w:t>
            </w:r>
            <w:r>
              <w:rPr>
                <w:rFonts w:ascii="Arial" w:cs="Arial" w:eastAsia="Arial" w:hAnsi="Arial"/>
                <w:sz w:val="20"/>
                <w:szCs w:val="20"/>
                <w:color w:val="FFFFFF"/>
                <w:vertAlign w:val="superscript"/>
              </w:rPr>
              <w:t>3</w:t>
            </w:r>
          </w:p>
        </w:tc>
        <w:tc>
          <w:tcPr>
            <w:tcW w:w="1400" w:type="dxa"/>
            <w:vAlign w:val="bottom"/>
            <w:shd w:val="clear" w:color="auto" w:fill="007DB6"/>
          </w:tcPr>
          <w:p>
            <w:pPr>
              <w:jc w:val="right"/>
              <w:ind w:right="218"/>
              <w:spacing w:after="0"/>
              <w:rPr>
                <w:sz w:val="20"/>
                <w:szCs w:val="20"/>
                <w:color w:val="auto"/>
              </w:rPr>
            </w:pPr>
            <w:r>
              <w:rPr>
                <w:rFonts w:ascii="Arial" w:cs="Arial" w:eastAsia="Arial" w:hAnsi="Arial"/>
                <w:sz w:val="13"/>
                <w:szCs w:val="13"/>
                <w:color w:val="FFFFFF"/>
              </w:rPr>
              <w:t>Percent of Class</w:t>
            </w:r>
          </w:p>
        </w:tc>
        <w:tc>
          <w:tcPr>
            <w:tcW w:w="0" w:type="dxa"/>
            <w:vAlign w:val="bottom"/>
          </w:tcPr>
          <w:p>
            <w:pPr>
              <w:spacing w:after="0"/>
              <w:rPr>
                <w:sz w:val="1"/>
                <w:szCs w:val="1"/>
                <w:color w:val="auto"/>
              </w:rPr>
            </w:pPr>
          </w:p>
        </w:tc>
      </w:tr>
      <w:tr>
        <w:trPr>
          <w:trHeight w:val="183"/>
        </w:trPr>
        <w:tc>
          <w:tcPr>
            <w:tcW w:w="4040" w:type="dxa"/>
            <w:vAlign w:val="bottom"/>
          </w:tcPr>
          <w:p>
            <w:pPr>
              <w:ind w:left="80"/>
              <w:spacing w:after="0"/>
              <w:rPr>
                <w:sz w:val="20"/>
                <w:szCs w:val="20"/>
                <w:color w:val="auto"/>
              </w:rPr>
            </w:pPr>
            <w:r>
              <w:rPr>
                <w:rFonts w:ascii="Arial" w:cs="Arial" w:eastAsia="Arial" w:hAnsi="Arial"/>
                <w:sz w:val="13"/>
                <w:szCs w:val="13"/>
                <w:color w:val="474C55"/>
              </w:rPr>
              <w:t>Directors and Nominees for Director</w:t>
            </w: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E1E2E2"/>
          </w:tcPr>
          <w:p>
            <w:pPr>
              <w:ind w:left="240"/>
              <w:spacing w:after="0"/>
              <w:rPr>
                <w:sz w:val="20"/>
                <w:szCs w:val="20"/>
                <w:color w:val="auto"/>
              </w:rPr>
            </w:pPr>
            <w:r>
              <w:rPr>
                <w:rFonts w:ascii="Arial" w:cs="Arial" w:eastAsia="Arial" w:hAnsi="Arial"/>
                <w:sz w:val="13"/>
                <w:szCs w:val="13"/>
                <w:color w:val="474C55"/>
              </w:rPr>
              <w:t>Jennifer M. Bazante</w:t>
            </w:r>
            <w:r>
              <w:rPr>
                <w:rFonts w:ascii="Arial" w:cs="Arial" w:eastAsia="Arial" w:hAnsi="Arial"/>
                <w:sz w:val="20"/>
                <w:szCs w:val="20"/>
                <w:color w:val="474C55"/>
                <w:vertAlign w:val="superscript"/>
              </w:rPr>
              <w:t>5</w:t>
            </w:r>
          </w:p>
        </w:tc>
        <w:tc>
          <w:tcPr>
            <w:tcW w:w="2220" w:type="dxa"/>
            <w:vAlign w:val="bottom"/>
            <w:shd w:val="clear" w:color="auto" w:fill="E1E2E2"/>
          </w:tcPr>
          <w:p>
            <w:pPr>
              <w:jc w:val="right"/>
              <w:ind w:right="177"/>
              <w:spacing w:after="0"/>
              <w:rPr>
                <w:sz w:val="20"/>
                <w:szCs w:val="20"/>
                <w:color w:val="auto"/>
              </w:rPr>
            </w:pPr>
            <w:r>
              <w:rPr>
                <w:rFonts w:ascii="Arial" w:cs="Arial" w:eastAsia="Arial" w:hAnsi="Arial"/>
                <w:sz w:val="13"/>
                <w:szCs w:val="13"/>
                <w:color w:val="auto"/>
              </w:rPr>
              <w:t>4,104</w:t>
            </w:r>
          </w:p>
        </w:tc>
        <w:tc>
          <w:tcPr>
            <w:tcW w:w="1540" w:type="dxa"/>
            <w:vAlign w:val="bottom"/>
            <w:shd w:val="clear" w:color="auto" w:fill="E1E2E2"/>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shd w:val="clear" w:color="auto" w:fill="E1E2E2"/>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shd w:val="clear" w:color="auto" w:fill="E1E2E2"/>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83"/>
        </w:trPr>
        <w:tc>
          <w:tcPr>
            <w:tcW w:w="4040" w:type="dxa"/>
            <w:vAlign w:val="bottom"/>
          </w:tcPr>
          <w:p>
            <w:pPr>
              <w:ind w:left="240"/>
              <w:spacing w:after="0"/>
              <w:rPr>
                <w:sz w:val="20"/>
                <w:szCs w:val="20"/>
                <w:color w:val="auto"/>
              </w:rPr>
            </w:pPr>
            <w:r>
              <w:rPr>
                <w:rFonts w:ascii="Arial" w:cs="Arial" w:eastAsia="Arial" w:hAnsi="Arial"/>
                <w:sz w:val="13"/>
                <w:szCs w:val="13"/>
                <w:color w:val="474C55"/>
              </w:rPr>
              <w:t>George B. Bell</w:t>
            </w:r>
          </w:p>
        </w:tc>
        <w:tc>
          <w:tcPr>
            <w:tcW w:w="2220" w:type="dxa"/>
            <w:vAlign w:val="bottom"/>
          </w:tcPr>
          <w:p>
            <w:pPr>
              <w:jc w:val="right"/>
              <w:ind w:right="177"/>
              <w:spacing w:after="0"/>
              <w:rPr>
                <w:sz w:val="20"/>
                <w:szCs w:val="20"/>
                <w:color w:val="auto"/>
              </w:rPr>
            </w:pPr>
            <w:r>
              <w:rPr>
                <w:rFonts w:ascii="Arial" w:cs="Arial" w:eastAsia="Arial" w:hAnsi="Arial"/>
                <w:sz w:val="13"/>
                <w:szCs w:val="13"/>
                <w:color w:val="474C55"/>
              </w:rPr>
              <w:t>4,124</w:t>
            </w:r>
          </w:p>
        </w:tc>
        <w:tc>
          <w:tcPr>
            <w:tcW w:w="1540" w:type="dxa"/>
            <w:vAlign w:val="bottom"/>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93"/>
        </w:trPr>
        <w:tc>
          <w:tcPr>
            <w:tcW w:w="4040" w:type="dxa"/>
            <w:vAlign w:val="bottom"/>
            <w:shd w:val="clear" w:color="auto" w:fill="E1E2E2"/>
          </w:tcPr>
          <w:p>
            <w:pPr>
              <w:ind w:left="240"/>
              <w:spacing w:after="0"/>
              <w:rPr>
                <w:sz w:val="20"/>
                <w:szCs w:val="20"/>
                <w:color w:val="auto"/>
              </w:rPr>
            </w:pPr>
            <w:r>
              <w:rPr>
                <w:rFonts w:ascii="Arial" w:cs="Arial" w:eastAsia="Arial" w:hAnsi="Arial"/>
                <w:sz w:val="13"/>
                <w:szCs w:val="13"/>
                <w:color w:val="474C55"/>
              </w:rPr>
              <w:t>James P. Clements</w:t>
            </w:r>
          </w:p>
        </w:tc>
        <w:tc>
          <w:tcPr>
            <w:tcW w:w="2220" w:type="dxa"/>
            <w:vAlign w:val="bottom"/>
            <w:shd w:val="clear" w:color="auto" w:fill="E1E2E2"/>
          </w:tcPr>
          <w:p>
            <w:pPr>
              <w:jc w:val="right"/>
              <w:ind w:right="177"/>
              <w:spacing w:after="0"/>
              <w:rPr>
                <w:sz w:val="20"/>
                <w:szCs w:val="20"/>
                <w:color w:val="auto"/>
              </w:rPr>
            </w:pPr>
            <w:r>
              <w:rPr>
                <w:rFonts w:ascii="Arial" w:cs="Arial" w:eastAsia="Arial" w:hAnsi="Arial"/>
                <w:sz w:val="13"/>
                <w:szCs w:val="13"/>
                <w:color w:val="474C55"/>
              </w:rPr>
              <w:t>8,331</w:t>
            </w:r>
          </w:p>
        </w:tc>
        <w:tc>
          <w:tcPr>
            <w:tcW w:w="1540" w:type="dxa"/>
            <w:vAlign w:val="bottom"/>
            <w:shd w:val="clear" w:color="auto" w:fill="E1E2E2"/>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shd w:val="clear" w:color="auto" w:fill="E1E2E2"/>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shd w:val="clear" w:color="auto" w:fill="E1E2E2"/>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225"/>
        </w:trPr>
        <w:tc>
          <w:tcPr>
            <w:tcW w:w="4040" w:type="dxa"/>
            <w:vAlign w:val="bottom"/>
          </w:tcPr>
          <w:p>
            <w:pPr>
              <w:ind w:left="240"/>
              <w:spacing w:after="0" w:line="226" w:lineRule="exact"/>
              <w:rPr>
                <w:sz w:val="20"/>
                <w:szCs w:val="20"/>
                <w:color w:val="auto"/>
              </w:rPr>
            </w:pPr>
            <w:r>
              <w:rPr>
                <w:rFonts w:ascii="Arial" w:cs="Arial" w:eastAsia="Arial" w:hAnsi="Arial"/>
                <w:sz w:val="13"/>
                <w:szCs w:val="13"/>
                <w:color w:val="474C55"/>
              </w:rPr>
              <w:t>Kenneth L. Daniels</w:t>
            </w:r>
            <w:r>
              <w:rPr>
                <w:rFonts w:ascii="Arial" w:cs="Arial" w:eastAsia="Arial" w:hAnsi="Arial"/>
                <w:sz w:val="20"/>
                <w:szCs w:val="20"/>
                <w:color w:val="474C55"/>
                <w:vertAlign w:val="superscript"/>
              </w:rPr>
              <w:t>6</w:t>
            </w:r>
          </w:p>
        </w:tc>
        <w:tc>
          <w:tcPr>
            <w:tcW w:w="2220" w:type="dxa"/>
            <w:vAlign w:val="bottom"/>
          </w:tcPr>
          <w:p>
            <w:pPr>
              <w:jc w:val="right"/>
              <w:ind w:right="177"/>
              <w:spacing w:after="0"/>
              <w:rPr>
                <w:sz w:val="20"/>
                <w:szCs w:val="20"/>
                <w:color w:val="auto"/>
              </w:rPr>
            </w:pPr>
            <w:r>
              <w:rPr>
                <w:rFonts w:ascii="Arial" w:cs="Arial" w:eastAsia="Arial" w:hAnsi="Arial"/>
                <w:sz w:val="13"/>
                <w:szCs w:val="13"/>
                <w:color w:val="auto"/>
              </w:rPr>
              <w:t>19,655</w:t>
            </w:r>
          </w:p>
        </w:tc>
        <w:tc>
          <w:tcPr>
            <w:tcW w:w="1540" w:type="dxa"/>
            <w:vAlign w:val="bottom"/>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88"/>
        </w:trPr>
        <w:tc>
          <w:tcPr>
            <w:tcW w:w="4040" w:type="dxa"/>
            <w:vAlign w:val="bottom"/>
            <w:shd w:val="clear" w:color="auto" w:fill="E5E6E6"/>
          </w:tcPr>
          <w:p>
            <w:pPr>
              <w:ind w:left="240"/>
              <w:spacing w:after="0"/>
              <w:rPr>
                <w:sz w:val="20"/>
                <w:szCs w:val="20"/>
                <w:color w:val="auto"/>
              </w:rPr>
            </w:pPr>
            <w:r>
              <w:rPr>
                <w:rFonts w:ascii="Arial" w:cs="Arial" w:eastAsia="Arial" w:hAnsi="Arial"/>
                <w:sz w:val="13"/>
                <w:szCs w:val="13"/>
                <w:color w:val="auto"/>
              </w:rPr>
              <w:t>Sally Pope Davis</w:t>
            </w:r>
          </w:p>
        </w:tc>
        <w:tc>
          <w:tcPr>
            <w:tcW w:w="2220" w:type="dxa"/>
            <w:vAlign w:val="bottom"/>
            <w:shd w:val="clear" w:color="auto" w:fill="E5E6E6"/>
          </w:tcPr>
          <w:p>
            <w:pPr>
              <w:jc w:val="right"/>
              <w:ind w:right="177"/>
              <w:spacing w:after="0"/>
              <w:rPr>
                <w:sz w:val="20"/>
                <w:szCs w:val="20"/>
                <w:color w:val="auto"/>
              </w:rPr>
            </w:pPr>
            <w:r>
              <w:rPr>
                <w:rFonts w:ascii="Arial" w:cs="Arial" w:eastAsia="Arial" w:hAnsi="Arial"/>
                <w:sz w:val="13"/>
                <w:szCs w:val="13"/>
                <w:color w:val="474C55"/>
              </w:rPr>
              <w:t>-</w:t>
            </w:r>
          </w:p>
        </w:tc>
        <w:tc>
          <w:tcPr>
            <w:tcW w:w="1540" w:type="dxa"/>
            <w:vAlign w:val="bottom"/>
            <w:shd w:val="clear" w:color="auto" w:fill="E5E6E6"/>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shd w:val="clear" w:color="auto" w:fill="E5E6E6"/>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shd w:val="clear" w:color="auto" w:fill="E5E6E6"/>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83"/>
        </w:trPr>
        <w:tc>
          <w:tcPr>
            <w:tcW w:w="4040" w:type="dxa"/>
            <w:vAlign w:val="bottom"/>
          </w:tcPr>
          <w:p>
            <w:pPr>
              <w:ind w:left="240"/>
              <w:spacing w:after="0"/>
              <w:rPr>
                <w:sz w:val="20"/>
                <w:szCs w:val="20"/>
                <w:color w:val="auto"/>
              </w:rPr>
            </w:pPr>
            <w:r>
              <w:rPr>
                <w:rFonts w:ascii="Arial" w:cs="Arial" w:eastAsia="Arial" w:hAnsi="Arial"/>
                <w:sz w:val="13"/>
                <w:szCs w:val="13"/>
                <w:color w:val="474C55"/>
              </w:rPr>
              <w:t>Lance F. Drummond</w:t>
            </w:r>
          </w:p>
        </w:tc>
        <w:tc>
          <w:tcPr>
            <w:tcW w:w="2220" w:type="dxa"/>
            <w:vAlign w:val="bottom"/>
          </w:tcPr>
          <w:p>
            <w:pPr>
              <w:jc w:val="right"/>
              <w:ind w:right="177"/>
              <w:spacing w:after="0"/>
              <w:rPr>
                <w:sz w:val="20"/>
                <w:szCs w:val="20"/>
                <w:color w:val="auto"/>
              </w:rPr>
            </w:pPr>
            <w:r>
              <w:rPr>
                <w:rFonts w:ascii="Arial" w:cs="Arial" w:eastAsia="Arial" w:hAnsi="Arial"/>
                <w:sz w:val="13"/>
                <w:szCs w:val="13"/>
                <w:color w:val="auto"/>
              </w:rPr>
              <w:t>11,580</w:t>
            </w:r>
          </w:p>
        </w:tc>
        <w:tc>
          <w:tcPr>
            <w:tcW w:w="1540" w:type="dxa"/>
            <w:vAlign w:val="bottom"/>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230"/>
        </w:trPr>
        <w:tc>
          <w:tcPr>
            <w:tcW w:w="4040" w:type="dxa"/>
            <w:vAlign w:val="bottom"/>
            <w:shd w:val="clear" w:color="auto" w:fill="E5E6E6"/>
          </w:tcPr>
          <w:p>
            <w:pPr>
              <w:ind w:left="240"/>
              <w:spacing w:after="0"/>
              <w:rPr>
                <w:sz w:val="20"/>
                <w:szCs w:val="20"/>
                <w:color w:val="auto"/>
              </w:rPr>
            </w:pPr>
            <w:r>
              <w:rPr>
                <w:rFonts w:ascii="Arial" w:cs="Arial" w:eastAsia="Arial" w:hAnsi="Arial"/>
                <w:sz w:val="13"/>
                <w:szCs w:val="13"/>
                <w:color w:val="474C55"/>
              </w:rPr>
              <w:t>H. Lynn Harton</w:t>
            </w:r>
            <w:r>
              <w:rPr>
                <w:rFonts w:ascii="Arial" w:cs="Arial" w:eastAsia="Arial" w:hAnsi="Arial"/>
                <w:sz w:val="20"/>
                <w:szCs w:val="20"/>
                <w:color w:val="474C55"/>
                <w:vertAlign w:val="superscript"/>
              </w:rPr>
              <w:t>7</w:t>
            </w:r>
          </w:p>
        </w:tc>
        <w:tc>
          <w:tcPr>
            <w:tcW w:w="2220" w:type="dxa"/>
            <w:vAlign w:val="bottom"/>
            <w:shd w:val="clear" w:color="auto" w:fill="E5E6E6"/>
          </w:tcPr>
          <w:p>
            <w:pPr>
              <w:jc w:val="right"/>
              <w:ind w:right="177"/>
              <w:spacing w:after="0"/>
              <w:rPr>
                <w:sz w:val="20"/>
                <w:szCs w:val="20"/>
                <w:color w:val="auto"/>
              </w:rPr>
            </w:pPr>
            <w:r>
              <w:rPr>
                <w:rFonts w:ascii="Arial" w:cs="Arial" w:eastAsia="Arial" w:hAnsi="Arial"/>
                <w:sz w:val="13"/>
                <w:szCs w:val="13"/>
                <w:color w:val="474C55"/>
              </w:rPr>
              <w:t>115,498</w:t>
            </w:r>
          </w:p>
        </w:tc>
        <w:tc>
          <w:tcPr>
            <w:tcW w:w="1540" w:type="dxa"/>
            <w:vAlign w:val="bottom"/>
            <w:shd w:val="clear" w:color="auto" w:fill="E5E6E6"/>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shd w:val="clear" w:color="auto" w:fill="E5E6E6"/>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shd w:val="clear" w:color="auto" w:fill="E5E6E6"/>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83"/>
        </w:trPr>
        <w:tc>
          <w:tcPr>
            <w:tcW w:w="4040" w:type="dxa"/>
            <w:vAlign w:val="bottom"/>
          </w:tcPr>
          <w:p>
            <w:pPr>
              <w:ind w:left="240"/>
              <w:spacing w:after="0"/>
              <w:rPr>
                <w:sz w:val="20"/>
                <w:szCs w:val="20"/>
                <w:color w:val="auto"/>
              </w:rPr>
            </w:pPr>
            <w:r>
              <w:rPr>
                <w:rFonts w:ascii="Arial" w:cs="Arial" w:eastAsia="Arial" w:hAnsi="Arial"/>
                <w:sz w:val="13"/>
                <w:szCs w:val="13"/>
                <w:color w:val="474C55"/>
              </w:rPr>
              <w:t>John M. James</w:t>
            </w:r>
          </w:p>
        </w:tc>
        <w:tc>
          <w:tcPr>
            <w:tcW w:w="2220" w:type="dxa"/>
            <w:vAlign w:val="bottom"/>
          </w:tcPr>
          <w:p>
            <w:pPr>
              <w:jc w:val="right"/>
              <w:ind w:right="177"/>
              <w:spacing w:after="0"/>
              <w:rPr>
                <w:sz w:val="20"/>
                <w:szCs w:val="20"/>
                <w:color w:val="auto"/>
              </w:rPr>
            </w:pPr>
            <w:r>
              <w:rPr>
                <w:rFonts w:ascii="Arial" w:cs="Arial" w:eastAsia="Arial" w:hAnsi="Arial"/>
                <w:sz w:val="13"/>
                <w:szCs w:val="13"/>
                <w:color w:val="auto"/>
              </w:rPr>
              <w:t>1,033</w:t>
            </w:r>
          </w:p>
        </w:tc>
        <w:tc>
          <w:tcPr>
            <w:tcW w:w="1540" w:type="dxa"/>
            <w:vAlign w:val="bottom"/>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93"/>
        </w:trPr>
        <w:tc>
          <w:tcPr>
            <w:tcW w:w="4040" w:type="dxa"/>
            <w:vAlign w:val="bottom"/>
            <w:shd w:val="clear" w:color="auto" w:fill="E5E6E6"/>
          </w:tcPr>
          <w:p>
            <w:pPr>
              <w:ind w:left="240"/>
              <w:spacing w:after="0"/>
              <w:rPr>
                <w:sz w:val="20"/>
                <w:szCs w:val="20"/>
                <w:color w:val="auto"/>
              </w:rPr>
            </w:pPr>
            <w:r>
              <w:rPr>
                <w:rFonts w:ascii="Arial" w:cs="Arial" w:eastAsia="Arial" w:hAnsi="Arial"/>
                <w:sz w:val="13"/>
                <w:szCs w:val="13"/>
                <w:color w:val="474C55"/>
              </w:rPr>
              <w:t>Jennifer K. Mann</w:t>
            </w:r>
          </w:p>
        </w:tc>
        <w:tc>
          <w:tcPr>
            <w:tcW w:w="2220" w:type="dxa"/>
            <w:vAlign w:val="bottom"/>
            <w:shd w:val="clear" w:color="auto" w:fill="E5E6E6"/>
          </w:tcPr>
          <w:p>
            <w:pPr>
              <w:jc w:val="right"/>
              <w:ind w:right="177"/>
              <w:spacing w:after="0"/>
              <w:rPr>
                <w:sz w:val="20"/>
                <w:szCs w:val="20"/>
                <w:color w:val="auto"/>
              </w:rPr>
            </w:pPr>
            <w:r>
              <w:rPr>
                <w:rFonts w:ascii="Arial" w:cs="Arial" w:eastAsia="Arial" w:hAnsi="Arial"/>
                <w:sz w:val="13"/>
                <w:szCs w:val="13"/>
                <w:color w:val="auto"/>
              </w:rPr>
              <w:t>11,580</w:t>
            </w:r>
          </w:p>
        </w:tc>
        <w:tc>
          <w:tcPr>
            <w:tcW w:w="1540" w:type="dxa"/>
            <w:vAlign w:val="bottom"/>
            <w:shd w:val="clear" w:color="auto" w:fill="E5E6E6"/>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shd w:val="clear" w:color="auto" w:fill="E5E6E6"/>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shd w:val="clear" w:color="auto" w:fill="E5E6E6"/>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225"/>
        </w:trPr>
        <w:tc>
          <w:tcPr>
            <w:tcW w:w="4040" w:type="dxa"/>
            <w:vAlign w:val="bottom"/>
          </w:tcPr>
          <w:p>
            <w:pPr>
              <w:ind w:left="240"/>
              <w:spacing w:after="0" w:line="226" w:lineRule="exact"/>
              <w:rPr>
                <w:sz w:val="20"/>
                <w:szCs w:val="20"/>
                <w:color w:val="auto"/>
              </w:rPr>
            </w:pPr>
            <w:r>
              <w:rPr>
                <w:rFonts w:ascii="Arial" w:cs="Arial" w:eastAsia="Arial" w:hAnsi="Arial"/>
                <w:sz w:val="13"/>
                <w:szCs w:val="13"/>
                <w:color w:val="474C55"/>
              </w:rPr>
              <w:t>Thomas A. Richlovsky</w:t>
            </w:r>
            <w:r>
              <w:rPr>
                <w:rFonts w:ascii="Arial" w:cs="Arial" w:eastAsia="Arial" w:hAnsi="Arial"/>
                <w:sz w:val="20"/>
                <w:szCs w:val="20"/>
                <w:color w:val="474C55"/>
                <w:vertAlign w:val="superscript"/>
              </w:rPr>
              <w:t>8</w:t>
            </w:r>
          </w:p>
        </w:tc>
        <w:tc>
          <w:tcPr>
            <w:tcW w:w="2220" w:type="dxa"/>
            <w:vAlign w:val="bottom"/>
          </w:tcPr>
          <w:p>
            <w:pPr>
              <w:jc w:val="right"/>
              <w:ind w:right="177"/>
              <w:spacing w:after="0"/>
              <w:rPr>
                <w:sz w:val="20"/>
                <w:szCs w:val="20"/>
                <w:color w:val="auto"/>
              </w:rPr>
            </w:pPr>
            <w:r>
              <w:rPr>
                <w:rFonts w:ascii="Arial" w:cs="Arial" w:eastAsia="Arial" w:hAnsi="Arial"/>
                <w:sz w:val="13"/>
                <w:szCs w:val="13"/>
                <w:color w:val="474C55"/>
              </w:rPr>
              <w:t>33,116</w:t>
            </w:r>
          </w:p>
        </w:tc>
        <w:tc>
          <w:tcPr>
            <w:tcW w:w="1540" w:type="dxa"/>
            <w:vAlign w:val="bottom"/>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tcPr>
          <w:p>
            <w:pPr>
              <w:jc w:val="right"/>
              <w:ind w:right="137"/>
              <w:spacing w:after="0"/>
              <w:rPr>
                <w:sz w:val="20"/>
                <w:szCs w:val="20"/>
                <w:color w:val="auto"/>
              </w:rPr>
            </w:pPr>
            <w:r>
              <w:rPr>
                <w:rFonts w:ascii="Arial" w:cs="Arial" w:eastAsia="Arial" w:hAnsi="Arial"/>
                <w:sz w:val="13"/>
                <w:szCs w:val="13"/>
                <w:color w:val="474C55"/>
              </w:rPr>
              <w:t>4</w:t>
            </w:r>
          </w:p>
        </w:tc>
        <w:tc>
          <w:tcPr>
            <w:tcW w:w="1400" w:type="dxa"/>
            <w:vAlign w:val="bottom"/>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88"/>
        </w:trPr>
        <w:tc>
          <w:tcPr>
            <w:tcW w:w="4040" w:type="dxa"/>
            <w:vAlign w:val="bottom"/>
            <w:shd w:val="clear" w:color="auto" w:fill="E5E6E6"/>
          </w:tcPr>
          <w:p>
            <w:pPr>
              <w:ind w:left="240"/>
              <w:spacing w:after="0"/>
              <w:rPr>
                <w:sz w:val="20"/>
                <w:szCs w:val="20"/>
                <w:color w:val="auto"/>
              </w:rPr>
            </w:pPr>
            <w:r>
              <w:rPr>
                <w:rFonts w:ascii="Arial" w:cs="Arial" w:eastAsia="Arial" w:hAnsi="Arial"/>
                <w:sz w:val="13"/>
                <w:szCs w:val="13"/>
                <w:color w:val="474C55"/>
              </w:rPr>
              <w:t>David C. Shaver</w:t>
            </w:r>
          </w:p>
        </w:tc>
        <w:tc>
          <w:tcPr>
            <w:tcW w:w="2220" w:type="dxa"/>
            <w:vAlign w:val="bottom"/>
            <w:shd w:val="clear" w:color="auto" w:fill="E5E6E6"/>
          </w:tcPr>
          <w:p>
            <w:pPr>
              <w:jc w:val="right"/>
              <w:ind w:right="177"/>
              <w:spacing w:after="0"/>
              <w:rPr>
                <w:sz w:val="20"/>
                <w:szCs w:val="20"/>
                <w:color w:val="auto"/>
              </w:rPr>
            </w:pPr>
            <w:r>
              <w:rPr>
                <w:rFonts w:ascii="Arial" w:cs="Arial" w:eastAsia="Arial" w:hAnsi="Arial"/>
                <w:sz w:val="13"/>
                <w:szCs w:val="13"/>
                <w:color w:val="474C55"/>
              </w:rPr>
              <w:t>10,046</w:t>
            </w:r>
          </w:p>
        </w:tc>
        <w:tc>
          <w:tcPr>
            <w:tcW w:w="1540" w:type="dxa"/>
            <w:vAlign w:val="bottom"/>
            <w:shd w:val="clear" w:color="auto" w:fill="E5E6E6"/>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shd w:val="clear" w:color="auto" w:fill="E5E6E6"/>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shd w:val="clear" w:color="auto" w:fill="E5E6E6"/>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225"/>
        </w:trPr>
        <w:tc>
          <w:tcPr>
            <w:tcW w:w="4040" w:type="dxa"/>
            <w:vAlign w:val="bottom"/>
          </w:tcPr>
          <w:p>
            <w:pPr>
              <w:ind w:left="240"/>
              <w:spacing w:after="0" w:line="226" w:lineRule="exact"/>
              <w:rPr>
                <w:sz w:val="20"/>
                <w:szCs w:val="20"/>
                <w:color w:val="auto"/>
              </w:rPr>
            </w:pPr>
            <w:r>
              <w:rPr>
                <w:rFonts w:ascii="Arial" w:cs="Arial" w:eastAsia="Arial" w:hAnsi="Arial"/>
                <w:sz w:val="13"/>
                <w:szCs w:val="13"/>
                <w:color w:val="474C55"/>
              </w:rPr>
              <w:t>Tim R. Wallis</w:t>
            </w:r>
            <w:r>
              <w:rPr>
                <w:rFonts w:ascii="Arial" w:cs="Arial" w:eastAsia="Arial" w:hAnsi="Arial"/>
                <w:sz w:val="20"/>
                <w:szCs w:val="20"/>
                <w:color w:val="474C55"/>
                <w:vertAlign w:val="superscript"/>
              </w:rPr>
              <w:t>9</w:t>
            </w:r>
          </w:p>
        </w:tc>
        <w:tc>
          <w:tcPr>
            <w:tcW w:w="2220" w:type="dxa"/>
            <w:vAlign w:val="bottom"/>
          </w:tcPr>
          <w:p>
            <w:pPr>
              <w:jc w:val="right"/>
              <w:ind w:right="177"/>
              <w:spacing w:after="0"/>
              <w:rPr>
                <w:sz w:val="20"/>
                <w:szCs w:val="20"/>
                <w:color w:val="auto"/>
              </w:rPr>
            </w:pPr>
            <w:r>
              <w:rPr>
                <w:rFonts w:ascii="Arial" w:cs="Arial" w:eastAsia="Arial" w:hAnsi="Arial"/>
                <w:sz w:val="13"/>
                <w:szCs w:val="13"/>
                <w:color w:val="auto"/>
              </w:rPr>
              <w:t>114,534</w:t>
            </w:r>
          </w:p>
        </w:tc>
        <w:tc>
          <w:tcPr>
            <w:tcW w:w="1540" w:type="dxa"/>
            <w:vAlign w:val="bottom"/>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88"/>
        </w:trPr>
        <w:tc>
          <w:tcPr>
            <w:tcW w:w="4040" w:type="dxa"/>
            <w:vAlign w:val="bottom"/>
            <w:shd w:val="clear" w:color="auto" w:fill="E5E6E6"/>
          </w:tcPr>
          <w:p>
            <w:pPr>
              <w:ind w:left="240"/>
              <w:spacing w:after="0"/>
              <w:rPr>
                <w:sz w:val="20"/>
                <w:szCs w:val="20"/>
                <w:color w:val="auto"/>
              </w:rPr>
            </w:pPr>
            <w:r>
              <w:rPr>
                <w:rFonts w:ascii="Arial" w:cs="Arial" w:eastAsia="Arial" w:hAnsi="Arial"/>
                <w:sz w:val="13"/>
                <w:szCs w:val="13"/>
                <w:color w:val="474C55"/>
              </w:rPr>
              <w:t>David H. Wilkins</w:t>
            </w:r>
          </w:p>
        </w:tc>
        <w:tc>
          <w:tcPr>
            <w:tcW w:w="2220" w:type="dxa"/>
            <w:vAlign w:val="bottom"/>
            <w:shd w:val="clear" w:color="auto" w:fill="E5E6E6"/>
          </w:tcPr>
          <w:p>
            <w:pPr>
              <w:jc w:val="right"/>
              <w:ind w:right="177"/>
              <w:spacing w:after="0"/>
              <w:rPr>
                <w:sz w:val="20"/>
                <w:szCs w:val="20"/>
                <w:color w:val="auto"/>
              </w:rPr>
            </w:pPr>
            <w:r>
              <w:rPr>
                <w:rFonts w:ascii="Arial" w:cs="Arial" w:eastAsia="Arial" w:hAnsi="Arial"/>
                <w:sz w:val="13"/>
                <w:szCs w:val="13"/>
                <w:color w:val="auto"/>
              </w:rPr>
              <w:t>14,207</w:t>
            </w:r>
          </w:p>
        </w:tc>
        <w:tc>
          <w:tcPr>
            <w:tcW w:w="1540" w:type="dxa"/>
            <w:vAlign w:val="bottom"/>
            <w:shd w:val="clear" w:color="auto" w:fill="E5E6E6"/>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shd w:val="clear" w:color="auto" w:fill="E5E6E6"/>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shd w:val="clear" w:color="auto" w:fill="E5E6E6"/>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40" w:type="dxa"/>
            <w:vAlign w:val="bottom"/>
            <w:shd w:val="clear" w:color="auto" w:fill="E5E6E6"/>
          </w:tcPr>
          <w:p>
            <w:pPr>
              <w:ind w:left="80"/>
              <w:spacing w:after="0"/>
              <w:rPr>
                <w:sz w:val="20"/>
                <w:szCs w:val="20"/>
                <w:color w:val="auto"/>
              </w:rPr>
            </w:pPr>
            <w:r>
              <w:rPr>
                <w:rFonts w:ascii="Arial" w:cs="Arial" w:eastAsia="Arial" w:hAnsi="Arial"/>
                <w:sz w:val="13"/>
                <w:szCs w:val="13"/>
                <w:color w:val="474C55"/>
              </w:rPr>
              <w:t>Other NEOs</w:t>
            </w:r>
          </w:p>
        </w:tc>
        <w:tc>
          <w:tcPr>
            <w:tcW w:w="2220" w:type="dxa"/>
            <w:vAlign w:val="bottom"/>
            <w:shd w:val="clear" w:color="auto" w:fill="E5E6E6"/>
          </w:tcPr>
          <w:p>
            <w:pPr>
              <w:spacing w:after="0"/>
              <w:rPr>
                <w:sz w:val="16"/>
                <w:szCs w:val="16"/>
                <w:color w:val="auto"/>
              </w:rPr>
            </w:pPr>
          </w:p>
        </w:tc>
        <w:tc>
          <w:tcPr>
            <w:tcW w:w="1540" w:type="dxa"/>
            <w:vAlign w:val="bottom"/>
            <w:shd w:val="clear" w:color="auto" w:fill="E5E6E6"/>
          </w:tcPr>
          <w:p>
            <w:pPr>
              <w:spacing w:after="0"/>
              <w:rPr>
                <w:sz w:val="16"/>
                <w:szCs w:val="16"/>
                <w:color w:val="auto"/>
              </w:rPr>
            </w:pPr>
          </w:p>
        </w:tc>
        <w:tc>
          <w:tcPr>
            <w:tcW w:w="2040" w:type="dxa"/>
            <w:vAlign w:val="bottom"/>
            <w:shd w:val="clear" w:color="auto" w:fill="E5E6E6"/>
          </w:tcPr>
          <w:p>
            <w:pPr>
              <w:spacing w:after="0"/>
              <w:rPr>
                <w:sz w:val="16"/>
                <w:szCs w:val="16"/>
                <w:color w:val="auto"/>
              </w:rPr>
            </w:pPr>
          </w:p>
        </w:tc>
        <w:tc>
          <w:tcPr>
            <w:tcW w:w="1400" w:type="dxa"/>
            <w:vAlign w:val="bottom"/>
            <w:shd w:val="clear" w:color="auto" w:fill="E5E6E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tcPr>
          <w:p>
            <w:pPr>
              <w:ind w:left="240"/>
              <w:spacing w:after="0"/>
              <w:rPr>
                <w:sz w:val="20"/>
                <w:szCs w:val="20"/>
                <w:color w:val="auto"/>
              </w:rPr>
            </w:pPr>
            <w:r>
              <w:rPr>
                <w:rFonts w:ascii="Arial" w:cs="Arial" w:eastAsia="Arial" w:hAnsi="Arial"/>
                <w:sz w:val="13"/>
                <w:szCs w:val="13"/>
                <w:color w:val="474C55"/>
              </w:rPr>
              <w:t>Jefferson L. Harralson</w:t>
            </w:r>
          </w:p>
        </w:tc>
        <w:tc>
          <w:tcPr>
            <w:tcW w:w="2220" w:type="dxa"/>
            <w:vAlign w:val="bottom"/>
          </w:tcPr>
          <w:p>
            <w:pPr>
              <w:jc w:val="right"/>
              <w:ind w:right="177"/>
              <w:spacing w:after="0"/>
              <w:rPr>
                <w:sz w:val="20"/>
                <w:szCs w:val="20"/>
                <w:color w:val="auto"/>
              </w:rPr>
            </w:pPr>
            <w:r>
              <w:rPr>
                <w:rFonts w:ascii="Arial" w:cs="Arial" w:eastAsia="Arial" w:hAnsi="Arial"/>
                <w:sz w:val="13"/>
                <w:szCs w:val="13"/>
                <w:color w:val="auto"/>
              </w:rPr>
              <w:t>38,214</w:t>
            </w:r>
          </w:p>
        </w:tc>
        <w:tc>
          <w:tcPr>
            <w:tcW w:w="1540" w:type="dxa"/>
            <w:vAlign w:val="bottom"/>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tcPr>
          <w:p>
            <w:pPr>
              <w:jc w:val="right"/>
              <w:ind w:right="137"/>
              <w:spacing w:after="0"/>
              <w:rPr>
                <w:sz w:val="20"/>
                <w:szCs w:val="20"/>
                <w:color w:val="auto"/>
              </w:rPr>
            </w:pPr>
            <w:r>
              <w:rPr>
                <w:rFonts w:ascii="Arial" w:cs="Arial" w:eastAsia="Arial" w:hAnsi="Arial"/>
                <w:sz w:val="13"/>
                <w:szCs w:val="13"/>
                <w:color w:val="474C55"/>
              </w:rPr>
              <w:t>1</w:t>
            </w:r>
          </w:p>
        </w:tc>
        <w:tc>
          <w:tcPr>
            <w:tcW w:w="1400" w:type="dxa"/>
            <w:vAlign w:val="bottom"/>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93"/>
        </w:trPr>
        <w:tc>
          <w:tcPr>
            <w:tcW w:w="4040" w:type="dxa"/>
            <w:vAlign w:val="bottom"/>
            <w:shd w:val="clear" w:color="auto" w:fill="E5E6E6"/>
          </w:tcPr>
          <w:p>
            <w:pPr>
              <w:ind w:left="240"/>
              <w:spacing w:after="0"/>
              <w:rPr>
                <w:sz w:val="20"/>
                <w:szCs w:val="20"/>
                <w:color w:val="auto"/>
              </w:rPr>
            </w:pPr>
            <w:r>
              <w:rPr>
                <w:rFonts w:ascii="Arial" w:cs="Arial" w:eastAsia="Arial" w:hAnsi="Arial"/>
                <w:sz w:val="13"/>
                <w:szCs w:val="13"/>
                <w:color w:val="474C55"/>
              </w:rPr>
              <w:t>Richard W. Bradshaw</w:t>
            </w:r>
          </w:p>
        </w:tc>
        <w:tc>
          <w:tcPr>
            <w:tcW w:w="2220" w:type="dxa"/>
            <w:vAlign w:val="bottom"/>
            <w:shd w:val="clear" w:color="auto" w:fill="E5E6E6"/>
          </w:tcPr>
          <w:p>
            <w:pPr>
              <w:jc w:val="right"/>
              <w:ind w:right="177"/>
              <w:spacing w:after="0"/>
              <w:rPr>
                <w:sz w:val="20"/>
                <w:szCs w:val="20"/>
                <w:color w:val="auto"/>
              </w:rPr>
            </w:pPr>
            <w:r>
              <w:rPr>
                <w:rFonts w:ascii="Arial" w:cs="Arial" w:eastAsia="Arial" w:hAnsi="Arial"/>
                <w:sz w:val="13"/>
                <w:szCs w:val="13"/>
                <w:color w:val="auto"/>
              </w:rPr>
              <w:t>45,705</w:t>
            </w:r>
          </w:p>
        </w:tc>
        <w:tc>
          <w:tcPr>
            <w:tcW w:w="1540" w:type="dxa"/>
            <w:vAlign w:val="bottom"/>
            <w:shd w:val="clear" w:color="auto" w:fill="E5E6E6"/>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shd w:val="clear" w:color="auto" w:fill="E5E6E6"/>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shd w:val="clear" w:color="auto" w:fill="E5E6E6"/>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83"/>
        </w:trPr>
        <w:tc>
          <w:tcPr>
            <w:tcW w:w="4040" w:type="dxa"/>
            <w:vAlign w:val="bottom"/>
          </w:tcPr>
          <w:p>
            <w:pPr>
              <w:ind w:left="240"/>
              <w:spacing w:after="0"/>
              <w:rPr>
                <w:sz w:val="20"/>
                <w:szCs w:val="20"/>
                <w:color w:val="auto"/>
              </w:rPr>
            </w:pPr>
            <w:r>
              <w:rPr>
                <w:rFonts w:ascii="Arial" w:cs="Arial" w:eastAsia="Arial" w:hAnsi="Arial"/>
                <w:sz w:val="13"/>
                <w:szCs w:val="13"/>
                <w:color w:val="474C55"/>
              </w:rPr>
              <w:t>Melinda Davis Lux</w:t>
            </w:r>
          </w:p>
        </w:tc>
        <w:tc>
          <w:tcPr>
            <w:tcW w:w="2220" w:type="dxa"/>
            <w:vAlign w:val="bottom"/>
          </w:tcPr>
          <w:p>
            <w:pPr>
              <w:jc w:val="right"/>
              <w:ind w:right="177"/>
              <w:spacing w:after="0"/>
              <w:rPr>
                <w:sz w:val="20"/>
                <w:szCs w:val="20"/>
                <w:color w:val="auto"/>
              </w:rPr>
            </w:pPr>
            <w:r>
              <w:rPr>
                <w:rFonts w:ascii="Arial" w:cs="Arial" w:eastAsia="Arial" w:hAnsi="Arial"/>
                <w:sz w:val="13"/>
                <w:szCs w:val="13"/>
                <w:color w:val="auto"/>
              </w:rPr>
              <w:t>12,120</w:t>
            </w:r>
          </w:p>
        </w:tc>
        <w:tc>
          <w:tcPr>
            <w:tcW w:w="1540" w:type="dxa"/>
            <w:vAlign w:val="bottom"/>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93"/>
        </w:trPr>
        <w:tc>
          <w:tcPr>
            <w:tcW w:w="4040" w:type="dxa"/>
            <w:vAlign w:val="bottom"/>
            <w:shd w:val="clear" w:color="auto" w:fill="E5E6E6"/>
          </w:tcPr>
          <w:p>
            <w:pPr>
              <w:ind w:left="240"/>
              <w:spacing w:after="0"/>
              <w:rPr>
                <w:sz w:val="20"/>
                <w:szCs w:val="20"/>
                <w:color w:val="auto"/>
              </w:rPr>
            </w:pPr>
            <w:r>
              <w:rPr>
                <w:rFonts w:ascii="Arial" w:cs="Arial" w:eastAsia="Arial" w:hAnsi="Arial"/>
                <w:sz w:val="13"/>
                <w:szCs w:val="13"/>
                <w:color w:val="474C55"/>
              </w:rPr>
              <w:t>Robert A. Edwards</w:t>
            </w:r>
          </w:p>
        </w:tc>
        <w:tc>
          <w:tcPr>
            <w:tcW w:w="2220" w:type="dxa"/>
            <w:vAlign w:val="bottom"/>
            <w:shd w:val="clear" w:color="auto" w:fill="E5E6E6"/>
          </w:tcPr>
          <w:p>
            <w:pPr>
              <w:jc w:val="right"/>
              <w:ind w:right="177"/>
              <w:spacing w:after="0"/>
              <w:rPr>
                <w:sz w:val="20"/>
                <w:szCs w:val="20"/>
                <w:color w:val="auto"/>
              </w:rPr>
            </w:pPr>
            <w:r>
              <w:rPr>
                <w:rFonts w:ascii="Arial" w:cs="Arial" w:eastAsia="Arial" w:hAnsi="Arial"/>
                <w:sz w:val="13"/>
                <w:szCs w:val="13"/>
                <w:color w:val="474C55"/>
              </w:rPr>
              <w:t>48,826</w:t>
            </w:r>
          </w:p>
        </w:tc>
        <w:tc>
          <w:tcPr>
            <w:tcW w:w="1540" w:type="dxa"/>
            <w:vAlign w:val="bottom"/>
            <w:shd w:val="clear" w:color="auto" w:fill="E5E6E6"/>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shd w:val="clear" w:color="auto" w:fill="E5E6E6"/>
          </w:tcPr>
          <w:p>
            <w:pPr>
              <w:jc w:val="right"/>
              <w:ind w:right="157"/>
              <w:spacing w:after="0"/>
              <w:rPr>
                <w:sz w:val="20"/>
                <w:szCs w:val="20"/>
                <w:color w:val="auto"/>
              </w:rPr>
            </w:pPr>
            <w:r>
              <w:rPr>
                <w:rFonts w:ascii="Arial" w:cs="Arial" w:eastAsia="Arial" w:hAnsi="Arial"/>
                <w:sz w:val="13"/>
                <w:szCs w:val="13"/>
                <w:color w:val="474C55"/>
              </w:rPr>
              <w:t>-</w:t>
            </w:r>
          </w:p>
        </w:tc>
        <w:tc>
          <w:tcPr>
            <w:tcW w:w="1400" w:type="dxa"/>
            <w:vAlign w:val="bottom"/>
            <w:shd w:val="clear" w:color="auto" w:fill="E5E6E6"/>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E2E3E4"/>
            </w:tcBorders>
            <w:shd w:val="clear" w:color="auto" w:fill="E5E6E6"/>
          </w:tcPr>
          <w:p>
            <w:pPr>
              <w:ind w:left="160"/>
              <w:spacing w:after="0"/>
              <w:rPr>
                <w:sz w:val="20"/>
                <w:szCs w:val="20"/>
                <w:color w:val="auto"/>
              </w:rPr>
            </w:pPr>
            <w:r>
              <w:rPr>
                <w:rFonts w:ascii="Arial" w:cs="Arial" w:eastAsia="Arial" w:hAnsi="Arial"/>
                <w:sz w:val="13"/>
                <w:szCs w:val="13"/>
                <w:color w:val="474C55"/>
              </w:rPr>
              <w:t>All Executive Officers &amp; Directors as a Group (20 persons)</w:t>
            </w:r>
          </w:p>
        </w:tc>
        <w:tc>
          <w:tcPr>
            <w:tcW w:w="2220" w:type="dxa"/>
            <w:vAlign w:val="bottom"/>
            <w:tcBorders>
              <w:bottom w:val="single" w:sz="8" w:color="E2E3E4"/>
            </w:tcBorders>
            <w:shd w:val="clear" w:color="auto" w:fill="E5E6E6"/>
          </w:tcPr>
          <w:p>
            <w:pPr>
              <w:jc w:val="right"/>
              <w:ind w:right="177"/>
              <w:spacing w:after="0"/>
              <w:rPr>
                <w:sz w:val="20"/>
                <w:szCs w:val="20"/>
                <w:color w:val="auto"/>
              </w:rPr>
            </w:pPr>
            <w:r>
              <w:rPr>
                <w:rFonts w:ascii="Arial" w:cs="Arial" w:eastAsia="Arial" w:hAnsi="Arial"/>
                <w:sz w:val="13"/>
                <w:szCs w:val="13"/>
                <w:color w:val="auto"/>
              </w:rPr>
              <w:t>513,442</w:t>
            </w:r>
          </w:p>
        </w:tc>
        <w:tc>
          <w:tcPr>
            <w:tcW w:w="1540" w:type="dxa"/>
            <w:vAlign w:val="bottom"/>
            <w:tcBorders>
              <w:bottom w:val="single" w:sz="8" w:color="E2E3E4"/>
            </w:tcBorders>
            <w:shd w:val="clear" w:color="auto" w:fill="E5E6E6"/>
          </w:tcPr>
          <w:p>
            <w:pPr>
              <w:jc w:val="right"/>
              <w:ind w:right="138"/>
              <w:spacing w:after="0"/>
              <w:rPr>
                <w:sz w:val="20"/>
                <w:szCs w:val="20"/>
                <w:color w:val="auto"/>
              </w:rPr>
            </w:pPr>
            <w:r>
              <w:rPr>
                <w:rFonts w:ascii="Arial" w:cs="Arial" w:eastAsia="Arial" w:hAnsi="Arial"/>
                <w:sz w:val="13"/>
                <w:szCs w:val="13"/>
                <w:color w:val="474C55"/>
              </w:rPr>
              <w:t>*</w:t>
            </w:r>
          </w:p>
        </w:tc>
        <w:tc>
          <w:tcPr>
            <w:tcW w:w="2040" w:type="dxa"/>
            <w:vAlign w:val="bottom"/>
            <w:tcBorders>
              <w:bottom w:val="single" w:sz="8" w:color="E2E3E4"/>
            </w:tcBorders>
            <w:shd w:val="clear" w:color="auto" w:fill="E5E6E6"/>
          </w:tcPr>
          <w:p>
            <w:pPr>
              <w:jc w:val="right"/>
              <w:ind w:right="137"/>
              <w:spacing w:after="0"/>
              <w:rPr>
                <w:sz w:val="20"/>
                <w:szCs w:val="20"/>
                <w:color w:val="auto"/>
              </w:rPr>
            </w:pPr>
            <w:r>
              <w:rPr>
                <w:rFonts w:ascii="Arial" w:cs="Arial" w:eastAsia="Arial" w:hAnsi="Arial"/>
                <w:sz w:val="13"/>
                <w:szCs w:val="13"/>
                <w:color w:val="474C55"/>
              </w:rPr>
              <w:t>5</w:t>
            </w:r>
          </w:p>
        </w:tc>
        <w:tc>
          <w:tcPr>
            <w:tcW w:w="1400" w:type="dxa"/>
            <w:vAlign w:val="bottom"/>
            <w:tcBorders>
              <w:bottom w:val="single" w:sz="8" w:color="E2E3E4"/>
            </w:tcBorders>
            <w:shd w:val="clear" w:color="auto" w:fill="E5E6E6"/>
          </w:tcPr>
          <w:p>
            <w:pPr>
              <w:jc w:val="right"/>
              <w:ind w:right="98"/>
              <w:spacing w:after="0"/>
              <w:rPr>
                <w:sz w:val="20"/>
                <w:szCs w:val="20"/>
                <w:color w:val="auto"/>
              </w:rPr>
            </w:pPr>
            <w:r>
              <w:rPr>
                <w:rFonts w:ascii="Arial" w:cs="Arial" w:eastAsia="Arial" w:hAnsi="Arial"/>
                <w:sz w:val="13"/>
                <w:szCs w:val="13"/>
                <w:color w:val="474C55"/>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60" w:hanging="185"/>
        <w:spacing w:after="0"/>
        <w:tabs>
          <w:tab w:leader="none" w:pos="360" w:val="left"/>
        </w:tabs>
        <w:numPr>
          <w:ilvl w:val="0"/>
          <w:numId w:val="88"/>
        </w:numPr>
        <w:rPr>
          <w:rFonts w:ascii="Arial" w:cs="Arial" w:eastAsia="Arial" w:hAnsi="Arial"/>
          <w:sz w:val="13"/>
          <w:szCs w:val="13"/>
          <w:color w:val="474C55"/>
        </w:rPr>
      </w:pPr>
      <w:r>
        <w:rPr>
          <w:rFonts w:ascii="Arial" w:cs="Arial" w:eastAsia="Arial" w:hAnsi="Arial"/>
          <w:sz w:val="13"/>
          <w:szCs w:val="13"/>
          <w:color w:val="474C55"/>
        </w:rPr>
        <w:t>Represents less than 1% of the deemed outstanding shares of outstanding voting common stock or Series I Preferred Stock as of February 28, 2025.</w:t>
      </w:r>
    </w:p>
    <w:p>
      <w:pPr>
        <w:ind w:left="360" w:right="60" w:hanging="185"/>
        <w:spacing w:after="0" w:line="220" w:lineRule="auto"/>
        <w:tabs>
          <w:tab w:leader="none" w:pos="360" w:val="left"/>
        </w:tabs>
        <w:numPr>
          <w:ilvl w:val="0"/>
          <w:numId w:val="89"/>
        </w:numPr>
        <w:rPr>
          <w:rFonts w:ascii="Arial" w:cs="Arial" w:eastAsia="Arial" w:hAnsi="Arial"/>
          <w:sz w:val="10"/>
          <w:szCs w:val="10"/>
          <w:color w:val="474C55"/>
        </w:rPr>
      </w:pPr>
      <w:r>
        <w:rPr>
          <w:rFonts w:ascii="Arial" w:cs="Arial" w:eastAsia="Arial" w:hAnsi="Arial"/>
          <w:sz w:val="13"/>
          <w:szCs w:val="13"/>
          <w:color w:val="474C55"/>
        </w:rPr>
        <w:t>For purposes of this table, a person “beneficially owns” a security if that person has or shares voting or investment power or has the right to acquire beneficial ownership within 60 days. The shares listed in the table are currently outstanding and, to our knowledge, none of these persons has any right to acquire any additional shares of our common stock during the next 60 days (including through vesting of RSUs or as a result of a distribution under the Deferred Compensation Plan). Unless otherwise noted, to our knowledge, these persons have sole investment and voting power over the shares listed.</w:t>
      </w:r>
    </w:p>
    <w:p>
      <w:pPr>
        <w:spacing w:after="0" w:line="2" w:lineRule="exact"/>
        <w:rPr>
          <w:sz w:val="20"/>
          <w:szCs w:val="20"/>
          <w:color w:val="auto"/>
        </w:rPr>
      </w:pPr>
    </w:p>
    <w:p>
      <w:pPr>
        <w:ind w:left="360" w:hanging="185"/>
        <w:spacing w:after="0"/>
        <w:tabs>
          <w:tab w:leader="none" w:pos="360" w:val="left"/>
        </w:tabs>
        <w:numPr>
          <w:ilvl w:val="0"/>
          <w:numId w:val="90"/>
        </w:numPr>
        <w:rPr>
          <w:rFonts w:ascii="Arial" w:cs="Arial" w:eastAsia="Arial" w:hAnsi="Arial"/>
          <w:sz w:val="10"/>
          <w:szCs w:val="10"/>
          <w:color w:val="474C55"/>
        </w:rPr>
      </w:pPr>
      <w:r>
        <w:rPr>
          <w:rFonts w:ascii="Arial" w:cs="Arial" w:eastAsia="Arial" w:hAnsi="Arial"/>
          <w:sz w:val="13"/>
          <w:szCs w:val="13"/>
          <w:color w:val="474C55"/>
        </w:rPr>
        <w:t>Percentage computations are based upon 119,488,323 shares of our outstanding voting common stock as of February 28, 2025.</w:t>
      </w:r>
    </w:p>
    <w:p>
      <w:pPr>
        <w:spacing w:after="0" w:line="1" w:lineRule="exact"/>
        <w:rPr>
          <w:sz w:val="20"/>
          <w:szCs w:val="20"/>
          <w:color w:val="auto"/>
        </w:rPr>
      </w:pPr>
    </w:p>
    <w:p>
      <w:pPr>
        <w:ind w:left="360" w:right="300" w:hanging="185"/>
        <w:spacing w:after="0" w:line="261" w:lineRule="auto"/>
        <w:tabs>
          <w:tab w:leader="none" w:pos="360" w:val="left"/>
        </w:tabs>
        <w:numPr>
          <w:ilvl w:val="0"/>
          <w:numId w:val="91"/>
        </w:numPr>
        <w:rPr>
          <w:rFonts w:ascii="Arial" w:cs="Arial" w:eastAsia="Arial" w:hAnsi="Arial"/>
          <w:sz w:val="10"/>
          <w:szCs w:val="10"/>
          <w:color w:val="474C55"/>
        </w:rPr>
      </w:pPr>
      <w:r>
        <w:rPr>
          <w:rFonts w:ascii="Arial" w:cs="Arial" w:eastAsia="Arial" w:hAnsi="Arial"/>
          <w:sz w:val="11"/>
          <w:szCs w:val="11"/>
          <w:color w:val="474C55"/>
        </w:rPr>
        <w:t>Reflects total amount of Series I Preferred Stock deemed beneficially owned. For purposes of this table, a person “beneficially owns” a security if that person has or shares voting or investment power or has the right to acquire beneficial ownership within 60 days. Unless otherwise noted, to our knowledge, these persons have sole investment and voting power over the shares listed.</w:t>
      </w:r>
    </w:p>
    <w:p>
      <w:pPr>
        <w:ind w:left="360" w:hanging="185"/>
        <w:spacing w:after="0"/>
        <w:tabs>
          <w:tab w:leader="none" w:pos="360" w:val="left"/>
        </w:tabs>
        <w:numPr>
          <w:ilvl w:val="0"/>
          <w:numId w:val="92"/>
        </w:numPr>
        <w:rPr>
          <w:rFonts w:ascii="Arial" w:cs="Arial" w:eastAsia="Arial" w:hAnsi="Arial"/>
          <w:sz w:val="10"/>
          <w:szCs w:val="10"/>
          <w:color w:val="474C55"/>
        </w:rPr>
      </w:pPr>
      <w:r>
        <w:rPr>
          <w:rFonts w:ascii="Arial" w:cs="Arial" w:eastAsia="Arial" w:hAnsi="Arial"/>
          <w:sz w:val="13"/>
          <w:szCs w:val="13"/>
          <w:color w:val="474C55"/>
        </w:rPr>
        <w:t>Percentage computations are based upon 3,662 shares of our outstanding Series I Preferred Stock as of February 28, 2025.</w:t>
      </w:r>
    </w:p>
    <w:p>
      <w:pPr>
        <w:spacing w:after="0" w:line="1" w:lineRule="exact"/>
        <w:rPr>
          <w:sz w:val="20"/>
          <w:szCs w:val="20"/>
          <w:color w:val="auto"/>
        </w:rPr>
      </w:pPr>
    </w:p>
    <w:p>
      <w:pPr>
        <w:ind w:left="360" w:hanging="185"/>
        <w:spacing w:after="0"/>
        <w:tabs>
          <w:tab w:leader="none" w:pos="360" w:val="left"/>
        </w:tabs>
        <w:numPr>
          <w:ilvl w:val="0"/>
          <w:numId w:val="93"/>
        </w:numPr>
        <w:rPr>
          <w:rFonts w:ascii="Arial" w:cs="Arial" w:eastAsia="Arial" w:hAnsi="Arial"/>
          <w:sz w:val="10"/>
          <w:szCs w:val="10"/>
          <w:color w:val="474C55"/>
        </w:rPr>
      </w:pPr>
      <w:r>
        <w:rPr>
          <w:rFonts w:ascii="Arial" w:cs="Arial" w:eastAsia="Arial" w:hAnsi="Arial"/>
          <w:sz w:val="13"/>
          <w:szCs w:val="13"/>
          <w:color w:val="474C55"/>
        </w:rPr>
        <w:t>Includes 4,104 shares owned by the Jennifer Mumby Bazante Revocable Trust dated August 26, 2021 over which Ms. Bazante is Trustee.</w:t>
      </w:r>
    </w:p>
    <w:p>
      <w:pPr>
        <w:ind w:left="180"/>
        <w:spacing w:after="0"/>
        <w:rPr>
          <w:rFonts w:ascii="Arial" w:cs="Arial" w:eastAsia="Arial" w:hAnsi="Arial"/>
          <w:sz w:val="10"/>
          <w:szCs w:val="10"/>
          <w:color w:val="474C55"/>
        </w:rPr>
      </w:pPr>
      <w:r>
        <w:rPr>
          <w:rFonts w:ascii="Arial" w:cs="Arial" w:eastAsia="Arial" w:hAnsi="Arial"/>
          <w:sz w:val="10"/>
          <w:szCs w:val="10"/>
          <w:color w:val="474C55"/>
        </w:rPr>
        <w:t xml:space="preserve">6  </w:t>
      </w:r>
      <w:r>
        <w:rPr>
          <w:rFonts w:ascii="Arial" w:cs="Arial" w:eastAsia="Arial" w:hAnsi="Arial"/>
          <w:sz w:val="12"/>
          <w:szCs w:val="12"/>
          <w:color w:val="474C55"/>
        </w:rPr>
        <w:t>Includes 2,000 shares owned by the Kenneth L. Daniels Trust dated December 9, 2016 over which Mr. Daniels is Trustee.</w:t>
      </w:r>
    </w:p>
    <w:p>
      <w:pPr>
        <w:spacing w:after="0" w:line="12" w:lineRule="exact"/>
        <w:rPr>
          <w:rFonts w:ascii="Arial" w:cs="Arial" w:eastAsia="Arial" w:hAnsi="Arial"/>
          <w:sz w:val="10"/>
          <w:szCs w:val="10"/>
          <w:color w:val="474C55"/>
        </w:rPr>
      </w:pPr>
    </w:p>
    <w:p>
      <w:pPr>
        <w:ind w:left="180"/>
        <w:spacing w:after="0"/>
        <w:rPr>
          <w:rFonts w:ascii="Arial" w:cs="Arial" w:eastAsia="Arial" w:hAnsi="Arial"/>
          <w:sz w:val="10"/>
          <w:szCs w:val="10"/>
          <w:color w:val="474C55"/>
        </w:rPr>
      </w:pPr>
      <w:r>
        <w:rPr>
          <w:rFonts w:ascii="Arial" w:cs="Arial" w:eastAsia="Arial" w:hAnsi="Arial"/>
          <w:sz w:val="10"/>
          <w:szCs w:val="10"/>
          <w:color w:val="474C55"/>
        </w:rPr>
        <w:t xml:space="preserve">7  </w:t>
      </w:r>
      <w:r>
        <w:rPr>
          <w:rFonts w:ascii="Arial" w:cs="Arial" w:eastAsia="Arial" w:hAnsi="Arial"/>
          <w:sz w:val="12"/>
          <w:szCs w:val="12"/>
          <w:color w:val="474C55"/>
        </w:rPr>
        <w:t>Includes 109,123 shares owned by The Herbert Lynn Harton Revocable Trust dated March 16, 2015 over which Mr. Harton is Trustee.</w:t>
      </w:r>
    </w:p>
    <w:p>
      <w:pPr>
        <w:spacing w:after="0" w:line="12" w:lineRule="exact"/>
        <w:rPr>
          <w:rFonts w:ascii="Arial" w:cs="Arial" w:eastAsia="Arial" w:hAnsi="Arial"/>
          <w:sz w:val="10"/>
          <w:szCs w:val="10"/>
          <w:color w:val="474C55"/>
        </w:rPr>
      </w:pPr>
    </w:p>
    <w:p>
      <w:pPr>
        <w:ind w:left="180" w:right="3320"/>
        <w:spacing w:after="0" w:line="287" w:lineRule="auto"/>
        <w:rPr>
          <w:rFonts w:ascii="Arial" w:cs="Arial" w:eastAsia="Arial" w:hAnsi="Arial"/>
          <w:sz w:val="10"/>
          <w:szCs w:val="10"/>
          <w:color w:val="474C55"/>
        </w:rPr>
      </w:pPr>
      <w:r>
        <w:rPr>
          <w:rFonts w:ascii="Arial" w:cs="Arial" w:eastAsia="Arial" w:hAnsi="Arial"/>
          <w:sz w:val="10"/>
          <w:szCs w:val="10"/>
          <w:color w:val="474C55"/>
        </w:rPr>
        <w:t xml:space="preserve">8 </w:t>
      </w:r>
      <w:r>
        <w:rPr>
          <w:rFonts w:ascii="Arial" w:cs="Arial" w:eastAsia="Arial" w:hAnsi="Arial"/>
          <w:sz w:val="12"/>
          <w:szCs w:val="12"/>
          <w:color w:val="474C55"/>
        </w:rPr>
        <w:t>Includes 33,116 shares owned by the Thomas Andrew Richlovsky Trust dated September 24, 1998 over which Mr. Richlovsky is Trustee.</w:t>
      </w:r>
      <w:r>
        <w:rPr>
          <w:rFonts w:ascii="Arial" w:cs="Arial" w:eastAsia="Arial" w:hAnsi="Arial"/>
          <w:sz w:val="10"/>
          <w:szCs w:val="10"/>
          <w:color w:val="474C55"/>
        </w:rPr>
        <w:t xml:space="preserve"> 9 </w:t>
      </w:r>
      <w:r>
        <w:rPr>
          <w:rFonts w:ascii="Arial" w:cs="Arial" w:eastAsia="Arial" w:hAnsi="Arial"/>
          <w:sz w:val="12"/>
          <w:szCs w:val="12"/>
          <w:color w:val="474C55"/>
        </w:rPr>
        <w:t>Includes 91,418 shares owned by Wallis Investment Co., LLC, a company wholly owned by Mr. Wallis and his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24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24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65" w:name="page66"/>
    <w:bookmarkEnd w:id="65"/>
    <w:p>
      <w:pPr>
        <w:spacing w:after="0"/>
        <w:rPr>
          <w:sz w:val="20"/>
          <w:szCs w:val="20"/>
          <w:color w:val="auto"/>
        </w:rPr>
      </w:pPr>
      <w:r>
        <w:rPr>
          <w:rFonts w:ascii="Arial" w:cs="Arial" w:eastAsia="Arial" w:hAnsi="Arial"/>
          <w:sz w:val="31"/>
          <w:szCs w:val="31"/>
          <w:b w:val="1"/>
          <w:bCs w:val="1"/>
          <w:color w:val="194C85"/>
        </w:rPr>
        <w:t>Fees Paid to Auditors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444A54"/>
        </w:rPr>
        <w:t>During 2024 and 2023, United Community was billed the following amounts for services rendered by PwC: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6363970</wp:posOffset>
            </wp:positionH>
            <wp:positionV relativeFrom="paragraph">
              <wp:posOffset>128905</wp:posOffset>
            </wp:positionV>
            <wp:extent cx="8255" cy="1270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12700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128905</wp:posOffset>
            </wp:positionV>
            <wp:extent cx="8255" cy="1270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12700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000" w:type="dxa"/>
            <w:vAlign w:val="bottom"/>
            <w:shd w:val="clear" w:color="auto" w:fill="007DB6"/>
          </w:tcPr>
          <w:p>
            <w:pPr>
              <w:spacing w:after="0"/>
              <w:rPr>
                <w:sz w:val="17"/>
                <w:szCs w:val="17"/>
                <w:color w:val="auto"/>
              </w:rPr>
            </w:pPr>
          </w:p>
        </w:tc>
        <w:tc>
          <w:tcPr>
            <w:tcW w:w="800" w:type="dxa"/>
            <w:vAlign w:val="bottom"/>
            <w:shd w:val="clear" w:color="auto" w:fill="007DB6"/>
          </w:tcPr>
          <w:p>
            <w:pPr>
              <w:jc w:val="right"/>
              <w:ind w:right="73"/>
              <w:spacing w:after="0"/>
              <w:rPr>
                <w:sz w:val="20"/>
                <w:szCs w:val="20"/>
                <w:color w:val="auto"/>
              </w:rPr>
            </w:pPr>
            <w:r>
              <w:rPr>
                <w:rFonts w:ascii="Arial" w:cs="Arial" w:eastAsia="Arial" w:hAnsi="Arial"/>
                <w:sz w:val="13"/>
                <w:szCs w:val="13"/>
                <w:color w:val="FFFFFF"/>
              </w:rPr>
              <w:t>2024</w:t>
            </w:r>
          </w:p>
        </w:tc>
        <w:tc>
          <w:tcPr>
            <w:tcW w:w="340" w:type="dxa"/>
            <w:vAlign w:val="bottom"/>
            <w:shd w:val="clear" w:color="auto" w:fill="007DB6"/>
          </w:tcPr>
          <w:p>
            <w:pPr>
              <w:spacing w:after="0"/>
              <w:rPr>
                <w:sz w:val="17"/>
                <w:szCs w:val="17"/>
                <w:color w:val="auto"/>
              </w:rPr>
            </w:pPr>
          </w:p>
        </w:tc>
        <w:tc>
          <w:tcPr>
            <w:tcW w:w="900" w:type="dxa"/>
            <w:vAlign w:val="bottom"/>
            <w:shd w:val="clear" w:color="auto" w:fill="007DB6"/>
          </w:tcPr>
          <w:p>
            <w:pPr>
              <w:jc w:val="right"/>
              <w:ind w:right="133"/>
              <w:spacing w:after="0"/>
              <w:rPr>
                <w:sz w:val="20"/>
                <w:szCs w:val="20"/>
                <w:color w:val="auto"/>
              </w:rPr>
            </w:pPr>
            <w:r>
              <w:rPr>
                <w:rFonts w:ascii="Arial" w:cs="Arial" w:eastAsia="Arial" w:hAnsi="Arial"/>
                <w:sz w:val="13"/>
                <w:szCs w:val="13"/>
                <w:color w:val="FFFFFF"/>
              </w:rPr>
              <w:t>2023</w:t>
            </w:r>
          </w:p>
        </w:tc>
        <w:tc>
          <w:tcPr>
            <w:tcW w:w="200" w:type="dxa"/>
            <w:vAlign w:val="bottom"/>
            <w:shd w:val="clear" w:color="auto" w:fill="007DB6"/>
          </w:tcPr>
          <w:p>
            <w:pPr>
              <w:spacing w:after="0"/>
              <w:rPr>
                <w:sz w:val="17"/>
                <w:szCs w:val="17"/>
                <w:color w:val="auto"/>
              </w:rPr>
            </w:pPr>
          </w:p>
        </w:tc>
      </w:tr>
      <w:tr>
        <w:trPr>
          <w:trHeight w:val="225"/>
        </w:trPr>
        <w:tc>
          <w:tcPr>
            <w:tcW w:w="9000" w:type="dxa"/>
            <w:vAlign w:val="bottom"/>
          </w:tcPr>
          <w:p>
            <w:pPr>
              <w:ind w:left="80"/>
              <w:spacing w:after="0" w:line="225" w:lineRule="exact"/>
              <w:rPr>
                <w:sz w:val="20"/>
                <w:szCs w:val="20"/>
                <w:color w:val="auto"/>
              </w:rPr>
            </w:pPr>
            <w:r>
              <w:rPr>
                <w:rFonts w:ascii="Arial" w:cs="Arial" w:eastAsia="Arial" w:hAnsi="Arial"/>
                <w:sz w:val="13"/>
                <w:szCs w:val="13"/>
                <w:color w:val="474C55"/>
              </w:rPr>
              <w:t>Audit Fees</w:t>
            </w:r>
            <w:r>
              <w:rPr>
                <w:rFonts w:ascii="Arial" w:cs="Arial" w:eastAsia="Arial" w:hAnsi="Arial"/>
                <w:sz w:val="22"/>
                <w:szCs w:val="22"/>
                <w:color w:val="474C55"/>
                <w:vertAlign w:val="superscript"/>
              </w:rPr>
              <w:t>1</w:t>
            </w: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58595B"/>
              </w:rPr>
              <w:t>$ 1,938,200</w:t>
            </w:r>
          </w:p>
        </w:tc>
        <w:tc>
          <w:tcPr>
            <w:tcW w:w="900" w:type="dxa"/>
            <w:vAlign w:val="bottom"/>
          </w:tcPr>
          <w:p>
            <w:pPr>
              <w:jc w:val="right"/>
              <w:spacing w:after="0"/>
              <w:rPr>
                <w:sz w:val="20"/>
                <w:szCs w:val="20"/>
                <w:color w:val="auto"/>
              </w:rPr>
            </w:pPr>
            <w:r>
              <w:rPr>
                <w:rFonts w:ascii="Arial" w:cs="Arial" w:eastAsia="Arial" w:hAnsi="Arial"/>
                <w:sz w:val="13"/>
                <w:szCs w:val="13"/>
                <w:color w:val="474C55"/>
              </w:rPr>
              <w:t>$ 1,882,958</w:t>
            </w:r>
          </w:p>
        </w:tc>
        <w:tc>
          <w:tcPr>
            <w:tcW w:w="200" w:type="dxa"/>
            <w:vAlign w:val="bottom"/>
          </w:tcPr>
          <w:p>
            <w:pPr>
              <w:spacing w:after="0"/>
              <w:rPr>
                <w:sz w:val="19"/>
                <w:szCs w:val="19"/>
                <w:color w:val="auto"/>
              </w:rPr>
            </w:pPr>
          </w:p>
        </w:tc>
      </w:tr>
      <w:tr>
        <w:trPr>
          <w:trHeight w:val="225"/>
        </w:trPr>
        <w:tc>
          <w:tcPr>
            <w:tcW w:w="9000" w:type="dxa"/>
            <w:vAlign w:val="bottom"/>
            <w:shd w:val="clear" w:color="auto" w:fill="E1E2E2"/>
          </w:tcPr>
          <w:p>
            <w:pPr>
              <w:ind w:left="80"/>
              <w:spacing w:after="0" w:line="225" w:lineRule="exact"/>
              <w:rPr>
                <w:sz w:val="20"/>
                <w:szCs w:val="20"/>
                <w:color w:val="auto"/>
              </w:rPr>
            </w:pPr>
            <w:r>
              <w:rPr>
                <w:rFonts w:ascii="Arial" w:cs="Arial" w:eastAsia="Arial" w:hAnsi="Arial"/>
                <w:sz w:val="13"/>
                <w:szCs w:val="13"/>
                <w:color w:val="474C55"/>
              </w:rPr>
              <w:t>Audit-Related Fees</w:t>
            </w:r>
            <w:r>
              <w:rPr>
                <w:rFonts w:ascii="Arial" w:cs="Arial" w:eastAsia="Arial" w:hAnsi="Arial"/>
                <w:sz w:val="22"/>
                <w:szCs w:val="22"/>
                <w:color w:val="474C55"/>
                <w:vertAlign w:val="superscript"/>
              </w:rPr>
              <w:t>2</w:t>
            </w:r>
          </w:p>
        </w:tc>
        <w:tc>
          <w:tcPr>
            <w:tcW w:w="1140" w:type="dxa"/>
            <w:vAlign w:val="bottom"/>
            <w:gridSpan w:val="2"/>
            <w:shd w:val="clear" w:color="auto" w:fill="E1E2E2"/>
          </w:tcPr>
          <w:p>
            <w:pPr>
              <w:jc w:val="right"/>
              <w:ind w:right="340"/>
              <w:spacing w:after="0"/>
              <w:rPr>
                <w:sz w:val="20"/>
                <w:szCs w:val="20"/>
                <w:color w:val="auto"/>
              </w:rPr>
            </w:pPr>
            <w:r>
              <w:rPr>
                <w:rFonts w:ascii="Arial" w:cs="Arial" w:eastAsia="Arial" w:hAnsi="Arial"/>
                <w:sz w:val="13"/>
                <w:szCs w:val="13"/>
                <w:color w:val="58595B"/>
              </w:rPr>
              <w:t>-</w:t>
            </w:r>
          </w:p>
        </w:tc>
        <w:tc>
          <w:tcPr>
            <w:tcW w:w="900" w:type="dxa"/>
            <w:vAlign w:val="bottom"/>
            <w:shd w:val="clear" w:color="auto" w:fill="E1E2E2"/>
          </w:tcPr>
          <w:p>
            <w:pPr>
              <w:jc w:val="right"/>
              <w:spacing w:after="0"/>
              <w:rPr>
                <w:sz w:val="20"/>
                <w:szCs w:val="20"/>
                <w:color w:val="auto"/>
              </w:rPr>
            </w:pPr>
            <w:r>
              <w:rPr>
                <w:rFonts w:ascii="Arial" w:cs="Arial" w:eastAsia="Arial" w:hAnsi="Arial"/>
                <w:sz w:val="13"/>
                <w:szCs w:val="13"/>
                <w:color w:val="474C55"/>
              </w:rPr>
              <w:t>362,280</w:t>
            </w:r>
          </w:p>
        </w:tc>
        <w:tc>
          <w:tcPr>
            <w:tcW w:w="200" w:type="dxa"/>
            <w:vAlign w:val="bottom"/>
            <w:shd w:val="clear" w:color="auto" w:fill="E1E2E2"/>
          </w:tcPr>
          <w:p>
            <w:pPr>
              <w:spacing w:after="0"/>
              <w:rPr>
                <w:sz w:val="19"/>
                <w:szCs w:val="19"/>
                <w:color w:val="auto"/>
              </w:rPr>
            </w:pPr>
          </w:p>
        </w:tc>
      </w:tr>
      <w:tr>
        <w:trPr>
          <w:trHeight w:val="225"/>
        </w:trPr>
        <w:tc>
          <w:tcPr>
            <w:tcW w:w="9000" w:type="dxa"/>
            <w:vAlign w:val="bottom"/>
          </w:tcPr>
          <w:p>
            <w:pPr>
              <w:ind w:left="80"/>
              <w:spacing w:after="0" w:line="225" w:lineRule="exact"/>
              <w:rPr>
                <w:sz w:val="20"/>
                <w:szCs w:val="20"/>
                <w:color w:val="auto"/>
              </w:rPr>
            </w:pPr>
            <w:r>
              <w:rPr>
                <w:rFonts w:ascii="Arial" w:cs="Arial" w:eastAsia="Arial" w:hAnsi="Arial"/>
                <w:sz w:val="13"/>
                <w:szCs w:val="13"/>
                <w:color w:val="474C55"/>
              </w:rPr>
              <w:t>Tax Fees</w:t>
            </w:r>
            <w:r>
              <w:rPr>
                <w:rFonts w:ascii="Arial" w:cs="Arial" w:eastAsia="Arial" w:hAnsi="Arial"/>
                <w:sz w:val="22"/>
                <w:szCs w:val="22"/>
                <w:color w:val="474C55"/>
                <w:vertAlign w:val="superscript"/>
              </w:rPr>
              <w:t>3</w:t>
            </w: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58595B"/>
              </w:rPr>
              <w:t>-</w:t>
            </w:r>
          </w:p>
        </w:tc>
        <w:tc>
          <w:tcPr>
            <w:tcW w:w="900" w:type="dxa"/>
            <w:vAlign w:val="bottom"/>
          </w:tcPr>
          <w:p>
            <w:pPr>
              <w:jc w:val="right"/>
              <w:spacing w:after="0"/>
              <w:rPr>
                <w:sz w:val="20"/>
                <w:szCs w:val="20"/>
                <w:color w:val="auto"/>
              </w:rPr>
            </w:pPr>
            <w:r>
              <w:rPr>
                <w:rFonts w:ascii="Arial" w:cs="Arial" w:eastAsia="Arial" w:hAnsi="Arial"/>
                <w:sz w:val="13"/>
                <w:szCs w:val="13"/>
                <w:color w:val="474C55"/>
              </w:rPr>
              <w:t>-</w:t>
            </w:r>
          </w:p>
        </w:tc>
        <w:tc>
          <w:tcPr>
            <w:tcW w:w="200" w:type="dxa"/>
            <w:vAlign w:val="bottom"/>
          </w:tcPr>
          <w:p>
            <w:pPr>
              <w:spacing w:after="0"/>
              <w:rPr>
                <w:sz w:val="19"/>
                <w:szCs w:val="19"/>
                <w:color w:val="auto"/>
              </w:rPr>
            </w:pPr>
          </w:p>
        </w:tc>
      </w:tr>
      <w:tr>
        <w:trPr>
          <w:trHeight w:val="225"/>
        </w:trPr>
        <w:tc>
          <w:tcPr>
            <w:tcW w:w="9000" w:type="dxa"/>
            <w:vAlign w:val="bottom"/>
            <w:shd w:val="clear" w:color="auto" w:fill="E1E2E2"/>
          </w:tcPr>
          <w:p>
            <w:pPr>
              <w:ind w:left="80"/>
              <w:spacing w:after="0" w:line="225" w:lineRule="exact"/>
              <w:rPr>
                <w:sz w:val="20"/>
                <w:szCs w:val="20"/>
                <w:color w:val="auto"/>
              </w:rPr>
            </w:pPr>
            <w:r>
              <w:rPr>
                <w:rFonts w:ascii="Arial" w:cs="Arial" w:eastAsia="Arial" w:hAnsi="Arial"/>
                <w:sz w:val="13"/>
                <w:szCs w:val="13"/>
                <w:color w:val="474C55"/>
              </w:rPr>
              <w:t>All Other Fees</w:t>
            </w:r>
            <w:r>
              <w:rPr>
                <w:rFonts w:ascii="Arial" w:cs="Arial" w:eastAsia="Arial" w:hAnsi="Arial"/>
                <w:sz w:val="22"/>
                <w:szCs w:val="22"/>
                <w:color w:val="474C55"/>
                <w:vertAlign w:val="superscript"/>
              </w:rPr>
              <w:t>4</w:t>
            </w:r>
          </w:p>
        </w:tc>
        <w:tc>
          <w:tcPr>
            <w:tcW w:w="800" w:type="dxa"/>
            <w:vAlign w:val="bottom"/>
            <w:tcBorders>
              <w:bottom w:val="single" w:sz="8" w:color="auto"/>
            </w:tcBorders>
            <w:shd w:val="clear" w:color="auto" w:fill="E1E2E2"/>
          </w:tcPr>
          <w:p>
            <w:pPr>
              <w:jc w:val="right"/>
              <w:spacing w:after="0"/>
              <w:rPr>
                <w:sz w:val="20"/>
                <w:szCs w:val="20"/>
                <w:color w:val="auto"/>
              </w:rPr>
            </w:pPr>
            <w:r>
              <w:rPr>
                <w:rFonts w:ascii="Arial" w:cs="Arial" w:eastAsia="Arial" w:hAnsi="Arial"/>
                <w:sz w:val="13"/>
                <w:szCs w:val="13"/>
                <w:color w:val="58595B"/>
              </w:rPr>
              <w:t>4,399</w:t>
            </w:r>
          </w:p>
        </w:tc>
        <w:tc>
          <w:tcPr>
            <w:tcW w:w="340" w:type="dxa"/>
            <w:vAlign w:val="bottom"/>
            <w:shd w:val="clear" w:color="auto" w:fill="E1E2E2"/>
          </w:tcPr>
          <w:p>
            <w:pPr>
              <w:spacing w:after="0"/>
              <w:rPr>
                <w:sz w:val="19"/>
                <w:szCs w:val="19"/>
                <w:color w:val="auto"/>
              </w:rPr>
            </w:pPr>
          </w:p>
        </w:tc>
        <w:tc>
          <w:tcPr>
            <w:tcW w:w="900" w:type="dxa"/>
            <w:vAlign w:val="bottom"/>
            <w:tcBorders>
              <w:bottom w:val="single" w:sz="8" w:color="auto"/>
            </w:tcBorders>
            <w:shd w:val="clear" w:color="auto" w:fill="E1E2E2"/>
          </w:tcPr>
          <w:p>
            <w:pPr>
              <w:jc w:val="right"/>
              <w:spacing w:after="0"/>
              <w:rPr>
                <w:sz w:val="20"/>
                <w:szCs w:val="20"/>
                <w:color w:val="auto"/>
              </w:rPr>
            </w:pPr>
            <w:r>
              <w:rPr>
                <w:rFonts w:ascii="Arial" w:cs="Arial" w:eastAsia="Arial" w:hAnsi="Arial"/>
                <w:sz w:val="13"/>
                <w:szCs w:val="13"/>
                <w:color w:val="474C55"/>
              </w:rPr>
              <w:t>4,399</w:t>
            </w:r>
          </w:p>
        </w:tc>
        <w:tc>
          <w:tcPr>
            <w:tcW w:w="200" w:type="dxa"/>
            <w:vAlign w:val="bottom"/>
            <w:shd w:val="clear" w:color="auto" w:fill="E1E2E2"/>
          </w:tcPr>
          <w:p>
            <w:pPr>
              <w:spacing w:after="0"/>
              <w:rPr>
                <w:sz w:val="19"/>
                <w:szCs w:val="19"/>
                <w:color w:val="auto"/>
              </w:rPr>
            </w:pPr>
          </w:p>
        </w:tc>
      </w:tr>
      <w:tr>
        <w:trPr>
          <w:trHeight w:val="189"/>
        </w:trPr>
        <w:tc>
          <w:tcPr>
            <w:tcW w:w="9000" w:type="dxa"/>
            <w:vAlign w:val="bottom"/>
          </w:tcPr>
          <w:p>
            <w:pPr>
              <w:ind w:left="160"/>
              <w:spacing w:after="0"/>
              <w:rPr>
                <w:sz w:val="20"/>
                <w:szCs w:val="20"/>
                <w:color w:val="auto"/>
              </w:rPr>
            </w:pPr>
            <w:r>
              <w:rPr>
                <w:rFonts w:ascii="Arial" w:cs="Arial" w:eastAsia="Arial" w:hAnsi="Arial"/>
                <w:sz w:val="13"/>
                <w:szCs w:val="13"/>
                <w:color w:val="474C55"/>
              </w:rPr>
              <w:t>Total</w:t>
            </w: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58595B"/>
              </w:rPr>
              <w:t>$ 1,942,599</w:t>
            </w:r>
          </w:p>
        </w:tc>
        <w:tc>
          <w:tcPr>
            <w:tcW w:w="900" w:type="dxa"/>
            <w:vAlign w:val="bottom"/>
          </w:tcPr>
          <w:p>
            <w:pPr>
              <w:jc w:val="right"/>
              <w:spacing w:after="0"/>
              <w:rPr>
                <w:sz w:val="20"/>
                <w:szCs w:val="20"/>
                <w:color w:val="auto"/>
              </w:rPr>
            </w:pPr>
            <w:r>
              <w:rPr>
                <w:rFonts w:ascii="Arial" w:cs="Arial" w:eastAsia="Arial" w:hAnsi="Arial"/>
                <w:sz w:val="13"/>
                <w:szCs w:val="13"/>
                <w:color w:val="474C55"/>
              </w:rPr>
              <w:t>$ 2,249,637</w:t>
            </w:r>
          </w:p>
        </w:tc>
        <w:tc>
          <w:tcPr>
            <w:tcW w:w="200" w:type="dxa"/>
            <w:vAlign w:val="bottom"/>
          </w:tcPr>
          <w:p>
            <w:pPr>
              <w:spacing w:after="0"/>
              <w:rPr>
                <w:sz w:val="16"/>
                <w:szCs w:val="16"/>
                <w:color w:val="auto"/>
              </w:rPr>
            </w:pPr>
          </w:p>
        </w:tc>
      </w:tr>
      <w:tr>
        <w:trPr>
          <w:trHeight w:val="20"/>
        </w:trPr>
        <w:tc>
          <w:tcPr>
            <w:tcW w:w="9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1424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55" w:lineRule="exact"/>
        <w:rPr>
          <w:sz w:val="20"/>
          <w:szCs w:val="20"/>
          <w:color w:val="auto"/>
        </w:rPr>
      </w:pPr>
    </w:p>
    <w:p>
      <w:pPr>
        <w:ind w:left="180" w:right="160" w:hanging="180"/>
        <w:spacing w:after="0" w:line="227" w:lineRule="auto"/>
        <w:tabs>
          <w:tab w:leader="none" w:pos="180" w:val="left"/>
        </w:tabs>
        <w:numPr>
          <w:ilvl w:val="0"/>
          <w:numId w:val="94"/>
        </w:numPr>
        <w:rPr>
          <w:rFonts w:ascii="Arial" w:cs="Arial" w:eastAsia="Arial" w:hAnsi="Arial"/>
          <w:sz w:val="10"/>
          <w:szCs w:val="10"/>
          <w:color w:val="474C55"/>
        </w:rPr>
      </w:pPr>
      <w:r>
        <w:rPr>
          <w:rFonts w:ascii="Arial" w:cs="Arial" w:eastAsia="Arial" w:hAnsi="Arial"/>
          <w:sz w:val="13"/>
          <w:szCs w:val="13"/>
          <w:color w:val="474C55"/>
        </w:rPr>
        <w:t>This category includes fees for professional services for the integrated audits of United Community’s consolidated financial statements including the audits of the effectiveness of our internal control over financial reporting, reviews of the financial statements included in United Community’s Quarterly Reports on Form 10-Q, statutory audits or financial statement audits of subsidiaries and comfort letters and consents related to registration statements filed with the SEC.</w:t>
      </w:r>
    </w:p>
    <w:p>
      <w:pPr>
        <w:spacing w:after="0" w:line="1" w:lineRule="exact"/>
        <w:rPr>
          <w:sz w:val="20"/>
          <w:szCs w:val="20"/>
          <w:color w:val="auto"/>
        </w:rPr>
      </w:pPr>
    </w:p>
    <w:p>
      <w:pPr>
        <w:ind w:left="180" w:hanging="180"/>
        <w:spacing w:after="0" w:line="311" w:lineRule="auto"/>
        <w:tabs>
          <w:tab w:leader="none" w:pos="180" w:val="left"/>
        </w:tabs>
        <w:numPr>
          <w:ilvl w:val="0"/>
          <w:numId w:val="95"/>
        </w:numPr>
        <w:rPr>
          <w:rFonts w:ascii="Arial" w:cs="Arial" w:eastAsia="Arial" w:hAnsi="Arial"/>
          <w:sz w:val="10"/>
          <w:szCs w:val="10"/>
          <w:color w:val="474C55"/>
        </w:rPr>
      </w:pPr>
      <w:r>
        <w:rPr>
          <w:rFonts w:ascii="Arial" w:cs="Arial" w:eastAsia="Arial" w:hAnsi="Arial"/>
          <w:sz w:val="11"/>
          <w:szCs w:val="11"/>
          <w:color w:val="474C55"/>
        </w:rPr>
        <w:t>This category primarily includes fees billed for acquisition-related services that are reasonably related to the performance of the audit of United Community’s consolidated financial statements and effectiveness of internal control and are not reported within the audit fees category above. In 2023, these services were related to United Community’s acquisition of Progress Financial Corporation and</w:t>
      </w:r>
    </w:p>
    <w:p>
      <w:pPr>
        <w:spacing w:after="0" w:line="73" w:lineRule="exact"/>
        <w:rPr>
          <w:sz w:val="20"/>
          <w:szCs w:val="20"/>
          <w:color w:val="auto"/>
        </w:rPr>
      </w:pPr>
    </w:p>
    <w:p>
      <w:pPr>
        <w:ind w:left="180" w:hanging="180"/>
        <w:spacing w:after="0"/>
        <w:tabs>
          <w:tab w:leader="none" w:pos="180" w:val="left"/>
        </w:tabs>
        <w:numPr>
          <w:ilvl w:val="0"/>
          <w:numId w:val="96"/>
        </w:numPr>
        <w:rPr>
          <w:rFonts w:ascii="Arial" w:cs="Arial" w:eastAsia="Arial" w:hAnsi="Arial"/>
          <w:sz w:val="10"/>
          <w:szCs w:val="10"/>
          <w:color w:val="474C55"/>
        </w:rPr>
      </w:pPr>
      <w:r>
        <w:rPr>
          <w:rFonts w:ascii="Arial" w:cs="Arial" w:eastAsia="Arial" w:hAnsi="Arial"/>
          <w:sz w:val="13"/>
          <w:szCs w:val="13"/>
          <w:color w:val="474C55"/>
        </w:rPr>
        <w:t>There were no tax services provided by PwC in 2024 or 2023.</w:t>
      </w:r>
    </w:p>
    <w:p>
      <w:pPr>
        <w:spacing w:after="0" w:line="13" w:lineRule="exact"/>
        <w:rPr>
          <w:sz w:val="20"/>
          <w:szCs w:val="20"/>
          <w:color w:val="auto"/>
        </w:rPr>
      </w:pPr>
    </w:p>
    <w:p>
      <w:pPr>
        <w:ind w:left="180" w:hanging="180"/>
        <w:spacing w:after="0"/>
        <w:tabs>
          <w:tab w:leader="none" w:pos="180" w:val="left"/>
        </w:tabs>
        <w:numPr>
          <w:ilvl w:val="0"/>
          <w:numId w:val="97"/>
        </w:numPr>
        <w:rPr>
          <w:rFonts w:ascii="Arial" w:cs="Arial" w:eastAsia="Arial" w:hAnsi="Arial"/>
          <w:sz w:val="10"/>
          <w:szCs w:val="10"/>
          <w:color w:val="474C55"/>
        </w:rPr>
      </w:pPr>
      <w:r>
        <w:rPr>
          <w:rFonts w:ascii="Arial" w:cs="Arial" w:eastAsia="Arial" w:hAnsi="Arial"/>
          <w:sz w:val="13"/>
          <w:szCs w:val="13"/>
          <w:color w:val="474C55"/>
        </w:rPr>
        <w:t>Certain subscription services provided by PwC during 2024 and 2023 were considered to be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424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69" w:lineRule="exact"/>
        <w:rPr>
          <w:sz w:val="20"/>
          <w:szCs w:val="20"/>
          <w:color w:val="auto"/>
        </w:rPr>
      </w:pPr>
    </w:p>
    <w:p>
      <w:pPr>
        <w:spacing w:after="0" w:line="248" w:lineRule="auto"/>
        <w:rPr>
          <w:sz w:val="20"/>
          <w:szCs w:val="20"/>
          <w:color w:val="auto"/>
        </w:rPr>
      </w:pPr>
      <w:r>
        <w:rPr>
          <w:rFonts w:ascii="Arial" w:cs="Arial" w:eastAsia="Arial" w:hAnsi="Arial"/>
          <w:sz w:val="15"/>
          <w:szCs w:val="15"/>
          <w:color w:val="444A54"/>
        </w:rPr>
        <w:t>The Audit Committee preapproves all audit and permissible nonaudit services to be provided by the Company’s independent auditors and has established preapproval policies and procedures for such services. Permissible nonaudit services are those allowed under SEC regulations. The Audit Committee may approve certain specific categories of permissible nonaudit services within an aggregated budgeted dollar limit upon the opinion that such services will not impair the independence of the independent auditor. The Audit Committee must approve on a project-by-project basis any permissible nonaudit services that do not fall within a preapproved category, or preapproved permissible nonaudit services that exceed the previously approved fees. The Audit Committee’s Chair (or any Audit Committee member if the Chair is unavailable) may preapprove such services between Audit Committee meetings and must report to the Audit Committee at its next meeting with respect to all services so preapproved. All services provided by PwC during 2024 and 2023 were approved by the Audit Committee and were permissible under applicable laws and regulations, and comparable services will continue to be preapproved by the Audit Committee.</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spacing w:after="0"/>
        <w:rPr>
          <w:sz w:val="20"/>
          <w:szCs w:val="20"/>
          <w:color w:val="auto"/>
        </w:rPr>
      </w:pPr>
      <w:r>
        <w:rPr>
          <w:rFonts w:ascii="Arial" w:cs="Arial" w:eastAsia="Arial" w:hAnsi="Arial"/>
          <w:sz w:val="31"/>
          <w:szCs w:val="31"/>
          <w:b w:val="1"/>
          <w:bCs w:val="1"/>
          <w:color w:val="194C85"/>
        </w:rPr>
        <w:t>Audit Committee Report</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444A54"/>
        </w:rPr>
        <w:t>The Audit Committee of our Board has:</w:t>
      </w:r>
    </w:p>
    <w:p>
      <w:pPr>
        <w:spacing w:after="0" w:line="90" w:lineRule="exact"/>
        <w:rPr>
          <w:sz w:val="20"/>
          <w:szCs w:val="20"/>
          <w:color w:val="auto"/>
        </w:rPr>
      </w:pPr>
    </w:p>
    <w:p>
      <w:pPr>
        <w:ind w:left="660" w:hanging="310"/>
        <w:spacing w:after="0"/>
        <w:tabs>
          <w:tab w:leader="none" w:pos="660" w:val="left"/>
        </w:tabs>
        <w:numPr>
          <w:ilvl w:val="0"/>
          <w:numId w:val="98"/>
        </w:numPr>
        <w:rPr>
          <w:rFonts w:ascii="Arial" w:cs="Arial" w:eastAsia="Arial" w:hAnsi="Arial"/>
          <w:sz w:val="15"/>
          <w:szCs w:val="15"/>
          <w:color w:val="444A54"/>
        </w:rPr>
      </w:pPr>
      <w:r>
        <w:rPr>
          <w:rFonts w:ascii="Arial" w:cs="Arial" w:eastAsia="Arial" w:hAnsi="Arial"/>
          <w:sz w:val="15"/>
          <w:szCs w:val="15"/>
          <w:color w:val="444A54"/>
        </w:rPr>
        <w:t>Reviewed and discussed with management the Company’s annual audited financial statements for 2024</w:t>
      </w:r>
    </w:p>
    <w:p>
      <w:pPr>
        <w:spacing w:after="0" w:line="90" w:lineRule="exact"/>
        <w:rPr>
          <w:rFonts w:ascii="Arial" w:cs="Arial" w:eastAsia="Arial" w:hAnsi="Arial"/>
          <w:sz w:val="15"/>
          <w:szCs w:val="15"/>
          <w:color w:val="444A54"/>
        </w:rPr>
      </w:pPr>
    </w:p>
    <w:p>
      <w:pPr>
        <w:ind w:left="660" w:right="660" w:hanging="310"/>
        <w:spacing w:after="0" w:line="279" w:lineRule="auto"/>
        <w:tabs>
          <w:tab w:leader="none" w:pos="660" w:val="left"/>
        </w:tabs>
        <w:numPr>
          <w:ilvl w:val="0"/>
          <w:numId w:val="98"/>
        </w:numPr>
        <w:rPr>
          <w:rFonts w:ascii="Arial" w:cs="Arial" w:eastAsia="Arial" w:hAnsi="Arial"/>
          <w:sz w:val="15"/>
          <w:szCs w:val="15"/>
          <w:color w:val="444A54"/>
        </w:rPr>
      </w:pPr>
      <w:r>
        <w:rPr>
          <w:rFonts w:ascii="Arial" w:cs="Arial" w:eastAsia="Arial" w:hAnsi="Arial"/>
          <w:sz w:val="15"/>
          <w:szCs w:val="15"/>
          <w:color w:val="444A54"/>
        </w:rPr>
        <w:t>Discussed with PricewaterhouseCoopers LLP (“PwC”), our independent registered public accounting firm, the matters required to be discussed by the applicable requirements of the Public Company Accounting Oversight Board (“PCAOB”) and the SEC</w:t>
      </w:r>
    </w:p>
    <w:p>
      <w:pPr>
        <w:spacing w:after="0" w:line="36" w:lineRule="exact"/>
        <w:rPr>
          <w:rFonts w:ascii="Arial" w:cs="Arial" w:eastAsia="Arial" w:hAnsi="Arial"/>
          <w:sz w:val="15"/>
          <w:szCs w:val="15"/>
          <w:color w:val="444A54"/>
        </w:rPr>
      </w:pPr>
    </w:p>
    <w:p>
      <w:pPr>
        <w:ind w:left="660" w:right="660" w:hanging="310"/>
        <w:spacing w:after="0" w:line="279" w:lineRule="auto"/>
        <w:tabs>
          <w:tab w:leader="none" w:pos="660" w:val="left"/>
        </w:tabs>
        <w:numPr>
          <w:ilvl w:val="0"/>
          <w:numId w:val="98"/>
        </w:numPr>
        <w:rPr>
          <w:rFonts w:ascii="Arial" w:cs="Arial" w:eastAsia="Arial" w:hAnsi="Arial"/>
          <w:sz w:val="15"/>
          <w:szCs w:val="15"/>
          <w:color w:val="444A54"/>
        </w:rPr>
      </w:pPr>
      <w:r>
        <w:rPr>
          <w:rFonts w:ascii="Arial" w:cs="Arial" w:eastAsia="Arial" w:hAnsi="Arial"/>
          <w:sz w:val="15"/>
          <w:szCs w:val="15"/>
          <w:color w:val="444A54"/>
        </w:rPr>
        <w:t>Received from PwC the written disclosures and the letter required by applicable requirements of the PCAOB regarding PwC’s communication with the Audit Committee concerning independence</w:t>
      </w:r>
    </w:p>
    <w:p>
      <w:pPr>
        <w:spacing w:after="0" w:line="36" w:lineRule="exact"/>
        <w:rPr>
          <w:rFonts w:ascii="Arial" w:cs="Arial" w:eastAsia="Arial" w:hAnsi="Arial"/>
          <w:sz w:val="15"/>
          <w:szCs w:val="15"/>
          <w:color w:val="444A54"/>
        </w:rPr>
      </w:pPr>
    </w:p>
    <w:p>
      <w:pPr>
        <w:ind w:left="660" w:hanging="310"/>
        <w:spacing w:after="0"/>
        <w:tabs>
          <w:tab w:leader="none" w:pos="660" w:val="left"/>
        </w:tabs>
        <w:numPr>
          <w:ilvl w:val="0"/>
          <w:numId w:val="98"/>
        </w:numPr>
        <w:rPr>
          <w:rFonts w:ascii="Arial" w:cs="Arial" w:eastAsia="Arial" w:hAnsi="Arial"/>
          <w:sz w:val="15"/>
          <w:szCs w:val="15"/>
          <w:color w:val="444A54"/>
        </w:rPr>
      </w:pPr>
      <w:r>
        <w:rPr>
          <w:rFonts w:ascii="Arial" w:cs="Arial" w:eastAsia="Arial" w:hAnsi="Arial"/>
          <w:sz w:val="15"/>
          <w:szCs w:val="15"/>
          <w:color w:val="444A54"/>
        </w:rPr>
        <w:t>Discussed with PwC its independence</w:t>
      </w:r>
    </w:p>
    <w:p>
      <w:pPr>
        <w:spacing w:after="0" w:line="190" w:lineRule="exact"/>
        <w:rPr>
          <w:sz w:val="20"/>
          <w:szCs w:val="20"/>
          <w:color w:val="auto"/>
        </w:rPr>
      </w:pPr>
    </w:p>
    <w:p>
      <w:pPr>
        <w:ind w:right="140"/>
        <w:spacing w:after="0" w:line="279" w:lineRule="auto"/>
        <w:rPr>
          <w:sz w:val="20"/>
          <w:szCs w:val="20"/>
          <w:color w:val="auto"/>
        </w:rPr>
      </w:pPr>
      <w:r>
        <w:rPr>
          <w:rFonts w:ascii="Arial" w:cs="Arial" w:eastAsia="Arial" w:hAnsi="Arial"/>
          <w:sz w:val="15"/>
          <w:szCs w:val="15"/>
          <w:color w:val="444A54"/>
        </w:rPr>
        <w:t>Based on the review and discussions referred to above, the Audit Committee has recommended to the Board that the December 31, 2024, audited financial statements be included in the Company’s Annual Report on Form 10-K for the year ended December 31, 2024, for filing with the SEC.</w:t>
      </w:r>
    </w:p>
    <w:p>
      <w:pPr>
        <w:spacing w:after="0" w:line="137" w:lineRule="exact"/>
        <w:rPr>
          <w:sz w:val="20"/>
          <w:szCs w:val="20"/>
          <w:color w:val="auto"/>
        </w:rPr>
      </w:pPr>
    </w:p>
    <w:p>
      <w:pPr>
        <w:jc w:val="both"/>
        <w:ind w:right="80"/>
        <w:spacing w:after="0" w:line="261" w:lineRule="auto"/>
        <w:rPr>
          <w:sz w:val="20"/>
          <w:szCs w:val="20"/>
          <w:color w:val="auto"/>
        </w:rPr>
      </w:pPr>
      <w:r>
        <w:rPr>
          <w:rFonts w:ascii="Arial" w:cs="Arial" w:eastAsia="Arial" w:hAnsi="Arial"/>
          <w:sz w:val="15"/>
          <w:szCs w:val="15"/>
          <w:color w:val="444A54"/>
        </w:rPr>
        <w:t>While the Audit Committee has the responsibilities set forth in its charter (including to monitor and oversee the audit processes), the Audit Committee does not have the duty to plan or conduct audits or to determine that United Community’s financial statements are complete, accurate or in accordance with generally accepted accounting principles. United Community’s management and independent auditor have this responsibility.</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444A54"/>
        </w:rPr>
        <w:t>This report has been furnished by the members of the Audit Committee:</w:t>
      </w:r>
    </w:p>
    <w:p>
      <w:pPr>
        <w:spacing w:after="0" w:line="186" w:lineRule="exact"/>
        <w:rPr>
          <w:sz w:val="20"/>
          <w:szCs w:val="20"/>
          <w:color w:val="auto"/>
        </w:rPr>
      </w:pPr>
    </w:p>
    <w:p>
      <w:pPr>
        <w:ind w:left="5640"/>
        <w:spacing w:after="0"/>
        <w:rPr>
          <w:sz w:val="20"/>
          <w:szCs w:val="20"/>
          <w:color w:val="auto"/>
        </w:rPr>
      </w:pPr>
      <w:r>
        <w:rPr>
          <w:rFonts w:ascii="Arial" w:cs="Arial" w:eastAsia="Arial" w:hAnsi="Arial"/>
          <w:sz w:val="17"/>
          <w:szCs w:val="17"/>
          <w:color w:val="474C55"/>
        </w:rPr>
        <w:t>David C. Shaver, Chair</w:t>
      </w:r>
    </w:p>
    <w:p>
      <w:pPr>
        <w:ind w:left="5640"/>
        <w:spacing w:after="0"/>
        <w:rPr>
          <w:sz w:val="20"/>
          <w:szCs w:val="20"/>
          <w:color w:val="auto"/>
        </w:rPr>
      </w:pPr>
      <w:r>
        <w:rPr>
          <w:rFonts w:ascii="Arial" w:cs="Arial" w:eastAsia="Arial" w:hAnsi="Arial"/>
          <w:sz w:val="17"/>
          <w:szCs w:val="17"/>
          <w:color w:val="474C55"/>
        </w:rPr>
        <w:t>George B. Bell</w:t>
      </w:r>
    </w:p>
    <w:p>
      <w:pPr>
        <w:ind w:left="5640"/>
        <w:spacing w:after="0" w:line="230" w:lineRule="auto"/>
        <w:rPr>
          <w:sz w:val="20"/>
          <w:szCs w:val="20"/>
          <w:color w:val="auto"/>
        </w:rPr>
      </w:pPr>
      <w:r>
        <w:rPr>
          <w:rFonts w:ascii="Arial" w:cs="Arial" w:eastAsia="Arial" w:hAnsi="Arial"/>
          <w:sz w:val="17"/>
          <w:szCs w:val="17"/>
          <w:color w:val="474C55"/>
        </w:rPr>
        <w:t>Kenneth L. Daniels</w:t>
      </w:r>
    </w:p>
    <w:p>
      <w:pPr>
        <w:ind w:left="5640"/>
        <w:spacing w:after="0" w:line="230" w:lineRule="auto"/>
        <w:rPr>
          <w:sz w:val="20"/>
          <w:szCs w:val="20"/>
          <w:color w:val="auto"/>
        </w:rPr>
      </w:pPr>
      <w:r>
        <w:rPr>
          <w:rFonts w:ascii="Arial" w:cs="Arial" w:eastAsia="Arial" w:hAnsi="Arial"/>
          <w:sz w:val="17"/>
          <w:szCs w:val="17"/>
          <w:color w:val="474C55"/>
        </w:rPr>
        <w:t>John M. James</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7"/>
          <w:szCs w:val="17"/>
          <w:color w:val="474C55"/>
        </w:rPr>
        <w:t>Thomas A. Richlovsky</w:t>
      </w:r>
    </w:p>
    <w:p>
      <w:pPr>
        <w:spacing w:after="0" w:line="173" w:lineRule="exact"/>
        <w:rPr>
          <w:sz w:val="20"/>
          <w:szCs w:val="20"/>
          <w:color w:val="auto"/>
        </w:rPr>
      </w:pPr>
    </w:p>
    <w:p>
      <w:pPr>
        <w:ind w:right="440"/>
        <w:spacing w:after="0" w:line="281" w:lineRule="auto"/>
        <w:rPr>
          <w:sz w:val="20"/>
          <w:szCs w:val="20"/>
          <w:color w:val="auto"/>
        </w:rPr>
      </w:pPr>
      <w:r>
        <w:rPr>
          <w:rFonts w:ascii="Arial" w:cs="Arial" w:eastAsia="Arial" w:hAnsi="Arial"/>
          <w:sz w:val="13"/>
          <w:szCs w:val="13"/>
          <w:i w:val="1"/>
          <w:iCs w:val="1"/>
          <w:color w:val="444A54"/>
        </w:rPr>
        <w:t>The above Audit Committee Report does not constitute soliciting material and should not be deemed filed or incorporated by reference into any other United Community filing under the Securities Act of 1933 or the Securities Exchange Act of 1934, except to the extent United Community specifically incorporates this report by reference therein.</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ind w:right="440"/>
        <w:spacing w:after="0" w:line="282" w:lineRule="auto"/>
        <w:rPr>
          <w:sz w:val="20"/>
          <w:szCs w:val="20"/>
          <w:color w:val="auto"/>
        </w:rPr>
      </w:pPr>
      <w:r>
        <w:rPr>
          <w:rFonts w:ascii="Arial" w:cs="Arial" w:eastAsia="Arial" w:hAnsi="Arial"/>
          <w:sz w:val="31"/>
          <w:szCs w:val="31"/>
          <w:b w:val="1"/>
          <w:bCs w:val="1"/>
          <w:color w:val="194C85"/>
        </w:rPr>
        <w:t>Proposal 4: Ratification of Appointment of Independent Registered Public Accounting Firm</w:t>
      </w:r>
    </w:p>
    <w:p>
      <w:pPr>
        <w:spacing w:after="0" w:line="74" w:lineRule="exact"/>
        <w:rPr>
          <w:sz w:val="20"/>
          <w:szCs w:val="20"/>
          <w:color w:val="auto"/>
        </w:rPr>
      </w:pPr>
    </w:p>
    <w:p>
      <w:pPr>
        <w:ind w:right="440"/>
        <w:spacing w:after="0" w:line="279" w:lineRule="auto"/>
        <w:rPr>
          <w:sz w:val="20"/>
          <w:szCs w:val="20"/>
          <w:color w:val="auto"/>
        </w:rPr>
      </w:pPr>
      <w:r>
        <w:rPr>
          <w:rFonts w:ascii="Arial" w:cs="Arial" w:eastAsia="Arial" w:hAnsi="Arial"/>
          <w:sz w:val="15"/>
          <w:szCs w:val="15"/>
          <w:color w:val="444A54"/>
        </w:rPr>
        <w:t>The Audit Committee has retained PwC as the Company’s independent registered public accounting firm for 2025. PwC has audited the financial statements of the Company since being appointed in 2012 as the Company’s independent registered public accounting firm for 2013.</w:t>
      </w:r>
    </w:p>
    <w:p>
      <w:pPr>
        <w:spacing w:after="0" w:line="137"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444A54"/>
        </w:rPr>
        <w:t>We are asking shareholders to ratify the Audit Committee’s appointment of PwC in order to obtain the views of our shareholders. If shareholders fail to ratify the appointment of PwC, the Audit Committee will reconsider the appointment but in its discretion may still direct the appointment of PwC. Also, if the appointment of PwC is approved, the Audit Committee in its discretion may still direct the appointment of a different independent registered public accounting firm at any time and without shareholder approval if the Audit Committee believes that such a change would be in our best interests.</w:t>
      </w:r>
    </w:p>
    <w:p>
      <w:pPr>
        <w:spacing w:after="0" w:line="155" w:lineRule="exact"/>
        <w:rPr>
          <w:sz w:val="20"/>
          <w:szCs w:val="20"/>
          <w:color w:val="auto"/>
        </w:rPr>
      </w:pPr>
    </w:p>
    <w:p>
      <w:pPr>
        <w:ind w:right="340"/>
        <w:spacing w:after="0" w:line="279" w:lineRule="auto"/>
        <w:rPr>
          <w:sz w:val="20"/>
          <w:szCs w:val="20"/>
          <w:color w:val="auto"/>
        </w:rPr>
      </w:pPr>
      <w:r>
        <w:rPr>
          <w:rFonts w:ascii="Arial" w:cs="Arial" w:eastAsia="Arial" w:hAnsi="Arial"/>
          <w:sz w:val="15"/>
          <w:szCs w:val="15"/>
          <w:color w:val="444A54"/>
        </w:rPr>
        <w:t>Representatives of PwC have been requested to participate in the 2025 Annual Meeting and will have the opportunity to make a statement, if they so desire, and are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205740</wp:posOffset>
            </wp:positionV>
            <wp:extent cx="7102475" cy="4686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02475" cy="468630"/>
                    </a:xfrm>
                    <a:prstGeom prst="rect">
                      <a:avLst/>
                    </a:prstGeom>
                    <a:noFill/>
                  </pic:spPr>
                </pic:pic>
              </a:graphicData>
            </a:graphic>
          </wp:anchor>
        </w:drawing>
      </w:r>
    </w:p>
    <w:p>
      <w:pPr>
        <w:spacing w:after="0" w:line="377" w:lineRule="exact"/>
        <w:rPr>
          <w:sz w:val="20"/>
          <w:szCs w:val="20"/>
          <w:color w:val="auto"/>
        </w:rPr>
      </w:pPr>
    </w:p>
    <w:p>
      <w:pPr>
        <w:jc w:val="center"/>
        <w:ind w:left="380" w:right="1840"/>
        <w:spacing w:after="0" w:line="249" w:lineRule="auto"/>
        <w:rPr>
          <w:sz w:val="20"/>
          <w:szCs w:val="20"/>
          <w:color w:val="auto"/>
        </w:rPr>
      </w:pPr>
      <w:r>
        <w:rPr>
          <w:rFonts w:ascii="Arial" w:cs="Arial" w:eastAsia="Arial" w:hAnsi="Arial"/>
          <w:sz w:val="17"/>
          <w:szCs w:val="17"/>
          <w:b w:val="1"/>
          <w:bCs w:val="1"/>
          <w:i w:val="1"/>
          <w:iCs w:val="1"/>
          <w:color w:val="FFFFFF"/>
        </w:rPr>
        <w:t>THE BOARD UNANIMOUSLY RECOMMENDS THAT SHAREHOLDERS VOTE “FOR” THE APPOINTMENT OF PRICEWATERHOUSECOOPERS LLP AS OUR INDEPENDENT REGISTERED PUBLIC ACCOUNTING FIRM FOR 2025 (PROPOSAL 4).</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spacing w:after="0"/>
        <w:rPr>
          <w:sz w:val="20"/>
          <w:szCs w:val="20"/>
          <w:color w:val="auto"/>
        </w:rPr>
      </w:pPr>
      <w:r>
        <w:rPr>
          <w:rFonts w:ascii="Arial" w:cs="Arial" w:eastAsia="Arial" w:hAnsi="Arial"/>
          <w:sz w:val="31"/>
          <w:szCs w:val="31"/>
          <w:b w:val="1"/>
          <w:bCs w:val="1"/>
          <w:color w:val="194C85"/>
        </w:rPr>
        <w:t>Solicitation, Meeting And Voting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What is this document?</w:t>
      </w:r>
    </w:p>
    <w:p>
      <w:pPr>
        <w:spacing w:after="0" w:line="203" w:lineRule="exact"/>
        <w:rPr>
          <w:sz w:val="20"/>
          <w:szCs w:val="20"/>
          <w:color w:val="auto"/>
        </w:rPr>
      </w:pPr>
    </w:p>
    <w:p>
      <w:pPr>
        <w:ind w:left="300" w:right="560" w:hanging="300"/>
        <w:spacing w:after="0" w:line="261" w:lineRule="auto"/>
        <w:tabs>
          <w:tab w:leader="none" w:pos="300" w:val="left"/>
        </w:tabs>
        <w:numPr>
          <w:ilvl w:val="0"/>
          <w:numId w:val="99"/>
        </w:numPr>
        <w:rPr>
          <w:rFonts w:ascii="Arial" w:cs="Arial" w:eastAsia="Arial" w:hAnsi="Arial"/>
          <w:sz w:val="15"/>
          <w:szCs w:val="15"/>
          <w:color w:val="444A54"/>
        </w:rPr>
      </w:pPr>
      <w:r>
        <w:rPr>
          <w:rFonts w:ascii="Arial" w:cs="Arial" w:eastAsia="Arial" w:hAnsi="Arial"/>
          <w:sz w:val="15"/>
          <w:szCs w:val="15"/>
          <w:color w:val="444A54"/>
        </w:rPr>
        <w:t>This document is the Proxy Statement of United Community Banks, Inc. that is being made available to shareholders on the Internet, or sent to shareholders upon request, in connection with our 2025 Annual Meeting to be held on Wednesday, May 14, 2025 at 3:00 P.M. Eastern time exclusively online via the Internet.</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What documents constitute our Proxy Materials?</w:t>
      </w:r>
    </w:p>
    <w:p>
      <w:pPr>
        <w:spacing w:after="0" w:line="203" w:lineRule="exact"/>
        <w:rPr>
          <w:sz w:val="20"/>
          <w:szCs w:val="20"/>
          <w:color w:val="auto"/>
        </w:rPr>
      </w:pPr>
    </w:p>
    <w:p>
      <w:pPr>
        <w:ind w:left="300" w:right="940" w:hanging="300"/>
        <w:spacing w:after="0" w:line="279" w:lineRule="auto"/>
        <w:tabs>
          <w:tab w:leader="none" w:pos="300" w:val="left"/>
        </w:tabs>
        <w:numPr>
          <w:ilvl w:val="0"/>
          <w:numId w:val="100"/>
        </w:numPr>
        <w:rPr>
          <w:rFonts w:ascii="Arial" w:cs="Arial" w:eastAsia="Arial" w:hAnsi="Arial"/>
          <w:sz w:val="15"/>
          <w:szCs w:val="15"/>
          <w:color w:val="444A54"/>
        </w:rPr>
      </w:pPr>
      <w:r>
        <w:rPr>
          <w:rFonts w:ascii="Arial" w:cs="Arial" w:eastAsia="Arial" w:hAnsi="Arial"/>
          <w:sz w:val="15"/>
          <w:szCs w:val="15"/>
          <w:color w:val="444A54"/>
        </w:rPr>
        <w:t>The Proxy Materials include the Notice of 2025 Annual Meeting of Shareholders, the Proxy Statement, our 2024 Annual Report to Shareholders (which includes our Form 10-K for the year ended December 31, 2024) and the proxy card or voting instruction form.</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What is a proxy, who is asking for it, and who is paying for the cost to solicit it?</w:t>
      </w:r>
    </w:p>
    <w:p>
      <w:pPr>
        <w:spacing w:after="0" w:line="203" w:lineRule="exact"/>
        <w:rPr>
          <w:sz w:val="20"/>
          <w:szCs w:val="20"/>
          <w:color w:val="auto"/>
        </w:rPr>
      </w:pPr>
    </w:p>
    <w:p>
      <w:pPr>
        <w:ind w:left="300" w:right="620" w:hanging="300"/>
        <w:spacing w:after="0" w:line="279" w:lineRule="auto"/>
        <w:tabs>
          <w:tab w:leader="none" w:pos="300" w:val="left"/>
        </w:tabs>
        <w:numPr>
          <w:ilvl w:val="0"/>
          <w:numId w:val="101"/>
        </w:numPr>
        <w:rPr>
          <w:rFonts w:ascii="Arial" w:cs="Arial" w:eastAsia="Arial" w:hAnsi="Arial"/>
          <w:sz w:val="15"/>
          <w:szCs w:val="15"/>
          <w:color w:val="444A54"/>
        </w:rPr>
      </w:pPr>
      <w:r>
        <w:rPr>
          <w:rFonts w:ascii="Arial" w:cs="Arial" w:eastAsia="Arial" w:hAnsi="Arial"/>
          <w:sz w:val="15"/>
          <w:szCs w:val="15"/>
          <w:color w:val="444A54"/>
        </w:rPr>
        <w:t>A proxy is your legal designation of another person, referred to as a proxy, to vote your stock. The document that designates someone as your proxy is also called a proxy and is also referred to as a proxy card.</w:t>
      </w:r>
    </w:p>
    <w:p>
      <w:pPr>
        <w:spacing w:after="0" w:line="136" w:lineRule="exact"/>
        <w:rPr>
          <w:rFonts w:ascii="Arial" w:cs="Arial" w:eastAsia="Arial" w:hAnsi="Arial"/>
          <w:sz w:val="15"/>
          <w:szCs w:val="15"/>
          <w:color w:val="444A54"/>
        </w:rPr>
      </w:pPr>
    </w:p>
    <w:p>
      <w:pPr>
        <w:ind w:left="300" w:right="220"/>
        <w:spacing w:after="0" w:line="252" w:lineRule="auto"/>
        <w:rPr>
          <w:rFonts w:ascii="Arial" w:cs="Arial" w:eastAsia="Arial" w:hAnsi="Arial"/>
          <w:sz w:val="15"/>
          <w:szCs w:val="15"/>
          <w:color w:val="444A54"/>
        </w:rPr>
      </w:pPr>
      <w:r>
        <w:rPr>
          <w:rFonts w:ascii="Arial" w:cs="Arial" w:eastAsia="Arial" w:hAnsi="Arial"/>
          <w:sz w:val="15"/>
          <w:szCs w:val="15"/>
          <w:color w:val="444A54"/>
        </w:rPr>
        <w:t>Our directors, officers and employees are soliciting your proxy on behalf of our Board. Those persons will not receive additional payment or compensation for doing so except reimbursement for any related out-of-pocket expenses. We will, upon request, reimburse brokers, banks, custodians and similar organizations for their expenses in forwarding our Proxy Materials to beneficial owners. Solicitation of proxies by mail may be supplemented by telephone, personal contact, email and other electronic means, advertisements and personal solicitation, or otherwise. The Company will pay the expense of any proxy solicitation. We have not hired a proxy solicitor to assist in the solicitation of proxies.</w:t>
      </w:r>
    </w:p>
    <w:p>
      <w:pPr>
        <w:spacing w:after="0" w:line="151" w:lineRule="exact"/>
        <w:rPr>
          <w:sz w:val="20"/>
          <w:szCs w:val="20"/>
          <w:color w:val="auto"/>
        </w:rPr>
      </w:pPr>
    </w:p>
    <w:p>
      <w:pPr>
        <w:ind w:left="300" w:hanging="300"/>
        <w:spacing w:after="0" w:line="291" w:lineRule="auto"/>
        <w:tabs>
          <w:tab w:leader="none" w:pos="300" w:val="left"/>
        </w:tabs>
        <w:numPr>
          <w:ilvl w:val="0"/>
          <w:numId w:val="102"/>
        </w:numPr>
        <w:rPr>
          <w:rFonts w:ascii="Arial" w:cs="Arial" w:eastAsia="Arial" w:hAnsi="Arial"/>
          <w:sz w:val="21"/>
          <w:szCs w:val="21"/>
          <w:b w:val="1"/>
          <w:bCs w:val="1"/>
          <w:i w:val="1"/>
          <w:iCs w:val="1"/>
          <w:color w:val="017AB5"/>
        </w:rPr>
      </w:pPr>
      <w:r>
        <w:rPr>
          <w:rFonts w:ascii="Arial" w:cs="Arial" w:eastAsia="Arial" w:hAnsi="Arial"/>
          <w:sz w:val="21"/>
          <w:szCs w:val="21"/>
          <w:b w:val="1"/>
          <w:bCs w:val="1"/>
          <w:i w:val="1"/>
          <w:iCs w:val="1"/>
          <w:color w:val="017AB5"/>
        </w:rPr>
        <w:t>Why did I receive a one-page Notice in the mail regarding the availability of Proxy Materials instead of a full set of Proxy Materials?</w:t>
      </w:r>
    </w:p>
    <w:p>
      <w:pPr>
        <w:spacing w:after="0" w:line="109" w:lineRule="exact"/>
        <w:rPr>
          <w:sz w:val="20"/>
          <w:szCs w:val="20"/>
          <w:color w:val="auto"/>
        </w:rPr>
      </w:pPr>
    </w:p>
    <w:p>
      <w:pPr>
        <w:ind w:left="300" w:right="240" w:hanging="300"/>
        <w:spacing w:after="0" w:line="248" w:lineRule="auto"/>
        <w:tabs>
          <w:tab w:leader="none" w:pos="300" w:val="left"/>
        </w:tabs>
        <w:numPr>
          <w:ilvl w:val="0"/>
          <w:numId w:val="103"/>
        </w:numPr>
        <w:rPr>
          <w:rFonts w:ascii="Arial" w:cs="Arial" w:eastAsia="Arial" w:hAnsi="Arial"/>
          <w:sz w:val="15"/>
          <w:szCs w:val="15"/>
          <w:color w:val="444A54"/>
        </w:rPr>
      </w:pPr>
      <w:r>
        <w:rPr>
          <w:rFonts w:ascii="Arial" w:cs="Arial" w:eastAsia="Arial" w:hAnsi="Arial"/>
          <w:sz w:val="15"/>
          <w:szCs w:val="15"/>
          <w:color w:val="444A54"/>
        </w:rPr>
        <w:t>Pursuant to SEC rules, we are using the Internet as the primary means of furnishing our Proxy Materials to shareholders again this year. Accordingly, we sent a Notice to the Company’s shareholders of record entitled to vote at the 2025 Annual Meeting. If you received a Notice by mail, you will not receive a printed copy of the Proxy Materials unless you request printed copies. Instructions on how to request a paper or email copy of our Proxy Materials are found in the Notice. The Notice, however, also will instruct you as to how you may access and review our Proxy Materials online. All shareholders will have the ability to access our Proxy Materials on the website referred to in the Notice or request a printed set of our complete Proxy Materials. In addition, shareholders may request to receive our Proxy Materials in printed form by mail or electronically by email on an ongoing basis. We encourage shareholders to take advantage of the availability of our Proxy Materials on the Internet to help reduce the environmental impact of our annual meetings and the cost to the Company associated with the physical printing and mailing of materials. Thank you for your support of our efforts to preserve resources by reducing mail.</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Why am I receiving these Proxy Materials?</w:t>
      </w:r>
    </w:p>
    <w:p>
      <w:pPr>
        <w:spacing w:after="0" w:line="203" w:lineRule="exact"/>
        <w:rPr>
          <w:sz w:val="20"/>
          <w:szCs w:val="20"/>
          <w:color w:val="auto"/>
        </w:rPr>
      </w:pPr>
    </w:p>
    <w:p>
      <w:pPr>
        <w:ind w:left="300" w:right="520" w:hanging="300"/>
        <w:spacing w:after="0" w:line="255" w:lineRule="auto"/>
        <w:tabs>
          <w:tab w:leader="none" w:pos="300" w:val="left"/>
        </w:tabs>
        <w:numPr>
          <w:ilvl w:val="0"/>
          <w:numId w:val="104"/>
        </w:numPr>
        <w:rPr>
          <w:rFonts w:ascii="Arial" w:cs="Arial" w:eastAsia="Arial" w:hAnsi="Arial"/>
          <w:sz w:val="15"/>
          <w:szCs w:val="15"/>
          <w:color w:val="444A54"/>
        </w:rPr>
      </w:pPr>
      <w:r>
        <w:rPr>
          <w:rFonts w:ascii="Arial" w:cs="Arial" w:eastAsia="Arial" w:hAnsi="Arial"/>
          <w:sz w:val="15"/>
          <w:szCs w:val="15"/>
          <w:color w:val="444A54"/>
        </w:rPr>
        <w:t>You received the Notice or paper copies of the Proxy Materials because you were one of our shareholders on March 17, 2025, the record date for the 2025 Annual Meeting. We are soliciting your proxy (i.e., your permission) to vote your shares of United Community common stock upon certain matters at the 2025 Annual Meeting. We are required by law to convene an annual meeting of our shareholders at which directors are elected. It would be impractical, if not impossible, for our shareholders to meet physically to hold a meeting. Accordingly, proxies are solicited from our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What if I have more than one account?</w:t>
      </w:r>
    </w:p>
    <w:p>
      <w:pPr>
        <w:spacing w:after="0" w:line="203" w:lineRule="exact"/>
        <w:rPr>
          <w:sz w:val="20"/>
          <w:szCs w:val="20"/>
          <w:color w:val="auto"/>
        </w:rPr>
      </w:pPr>
    </w:p>
    <w:p>
      <w:pPr>
        <w:ind w:left="300" w:hanging="300"/>
        <w:spacing w:after="0" w:line="279" w:lineRule="auto"/>
        <w:tabs>
          <w:tab w:leader="none" w:pos="300" w:val="left"/>
        </w:tabs>
        <w:numPr>
          <w:ilvl w:val="0"/>
          <w:numId w:val="105"/>
        </w:numPr>
        <w:rPr>
          <w:rFonts w:ascii="Arial" w:cs="Arial" w:eastAsia="Arial" w:hAnsi="Arial"/>
          <w:sz w:val="15"/>
          <w:szCs w:val="15"/>
          <w:color w:val="444A54"/>
        </w:rPr>
      </w:pPr>
      <w:r>
        <w:rPr>
          <w:rFonts w:ascii="Arial" w:cs="Arial" w:eastAsia="Arial" w:hAnsi="Arial"/>
          <w:sz w:val="15"/>
          <w:szCs w:val="15"/>
          <w:color w:val="444A54"/>
        </w:rPr>
        <w:t>Please vote proxies for all accounts to ensure that all your shares are voted. You may consolidate multiple accounts with matching name(s) / registration through our transfer agent, Continental Stock Transfer &amp; Trust. Email cstmail@continentalstock.com or call (800) 509-5586 to confirm if your accounts can be consolidated.</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How do I gain access to and participate in the 2025 Annual Meeting?</w:t>
      </w:r>
    </w:p>
    <w:p>
      <w:pPr>
        <w:spacing w:after="0" w:line="203" w:lineRule="exact"/>
        <w:rPr>
          <w:sz w:val="20"/>
          <w:szCs w:val="20"/>
          <w:color w:val="auto"/>
        </w:rPr>
      </w:pPr>
    </w:p>
    <w:p>
      <w:pPr>
        <w:ind w:left="300" w:hanging="300"/>
        <w:spacing w:after="0" w:line="279" w:lineRule="auto"/>
        <w:tabs>
          <w:tab w:leader="none" w:pos="300" w:val="left"/>
        </w:tabs>
        <w:numPr>
          <w:ilvl w:val="0"/>
          <w:numId w:val="106"/>
        </w:numPr>
        <w:rPr>
          <w:rFonts w:ascii="Arial" w:cs="Arial" w:eastAsia="Arial" w:hAnsi="Arial"/>
          <w:sz w:val="15"/>
          <w:szCs w:val="15"/>
          <w:color w:val="444A54"/>
        </w:rPr>
      </w:pPr>
      <w:r>
        <w:rPr>
          <w:rFonts w:ascii="Arial" w:cs="Arial" w:eastAsia="Arial" w:hAnsi="Arial"/>
          <w:sz w:val="15"/>
          <w:szCs w:val="15"/>
          <w:color w:val="444A54"/>
        </w:rPr>
        <w:t>To gain access to and participate in the virtual 2025 Annual Meeting, access www.virtualshareholdermeeting.com/UCBI2025 via the Internet and enter the control number found on your Notice or proxy card (voting instruction form) that you receive.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spacing w:after="0"/>
        <w:rPr>
          <w:sz w:val="20"/>
          <w:szCs w:val="20"/>
          <w:color w:val="auto"/>
        </w:rPr>
      </w:pPr>
      <w:r>
        <w:rPr>
          <w:rFonts w:ascii="Arial" w:cs="Arial" w:eastAsia="Arial" w:hAnsi="Arial"/>
          <w:sz w:val="21"/>
          <w:szCs w:val="21"/>
          <w:b w:val="1"/>
          <w:bCs w:val="1"/>
          <w:i w:val="1"/>
          <w:iCs w:val="1"/>
          <w:color w:val="017AB5"/>
        </w:rPr>
        <w:t>Q: Who may participate in the 2025 Annual Meeting?</w:t>
      </w:r>
    </w:p>
    <w:p>
      <w:pPr>
        <w:spacing w:after="0" w:line="203" w:lineRule="exact"/>
        <w:rPr>
          <w:sz w:val="20"/>
          <w:szCs w:val="20"/>
          <w:color w:val="auto"/>
        </w:rPr>
      </w:pPr>
    </w:p>
    <w:p>
      <w:pPr>
        <w:ind w:left="360" w:right="280" w:hanging="310"/>
        <w:spacing w:after="0" w:line="252" w:lineRule="auto"/>
        <w:tabs>
          <w:tab w:leader="none" w:pos="360" w:val="left"/>
        </w:tabs>
        <w:numPr>
          <w:ilvl w:val="0"/>
          <w:numId w:val="107"/>
        </w:numPr>
        <w:rPr>
          <w:rFonts w:ascii="Arial" w:cs="Arial" w:eastAsia="Arial" w:hAnsi="Arial"/>
          <w:sz w:val="15"/>
          <w:szCs w:val="15"/>
          <w:color w:val="444A54"/>
        </w:rPr>
      </w:pPr>
      <w:r>
        <w:rPr>
          <w:rFonts w:ascii="Arial" w:cs="Arial" w:eastAsia="Arial" w:hAnsi="Arial"/>
          <w:sz w:val="15"/>
          <w:szCs w:val="15"/>
          <w:color w:val="444A54"/>
        </w:rPr>
        <w:t>Only shareholders of record at the close of business on March 17, 2025, the record date for the 2025 Annual Meeting, are entitled to notice of, to participate in and to vote at the 2025 Annual Meeting, which will be held exclusively online. As of the record date, there were 119,504,229 shares of our common stock, $1.00 par value, issued and outstanding and entitled to be voted at the 2025 Annual Meeting. Each share of our common stock is entitled to one (1) vote on each matter considered at the 2025 Annual Meeting. No other class of United Community’s securities is currently entitled to vote on any matter at the 2025 Annual Meeting.</w:t>
      </w:r>
    </w:p>
    <w:p>
      <w:pPr>
        <w:spacing w:after="0" w:line="151" w:lineRule="exact"/>
        <w:rPr>
          <w:sz w:val="20"/>
          <w:szCs w:val="20"/>
          <w:color w:val="auto"/>
        </w:rPr>
      </w:pPr>
    </w:p>
    <w:p>
      <w:pPr>
        <w:ind w:left="300" w:hanging="300"/>
        <w:spacing w:after="0" w:line="291" w:lineRule="auto"/>
        <w:tabs>
          <w:tab w:leader="none" w:pos="300" w:val="left"/>
        </w:tabs>
        <w:numPr>
          <w:ilvl w:val="0"/>
          <w:numId w:val="108"/>
        </w:numPr>
        <w:rPr>
          <w:rFonts w:ascii="Arial" w:cs="Arial" w:eastAsia="Arial" w:hAnsi="Arial"/>
          <w:sz w:val="21"/>
          <w:szCs w:val="21"/>
          <w:b w:val="1"/>
          <w:bCs w:val="1"/>
          <w:i w:val="1"/>
          <w:iCs w:val="1"/>
          <w:color w:val="017AB5"/>
        </w:rPr>
      </w:pPr>
      <w:r>
        <w:rPr>
          <w:rFonts w:ascii="Arial" w:cs="Arial" w:eastAsia="Arial" w:hAnsi="Arial"/>
          <w:sz w:val="21"/>
          <w:szCs w:val="21"/>
          <w:b w:val="1"/>
          <w:bCs w:val="1"/>
          <w:i w:val="1"/>
          <w:iCs w:val="1"/>
          <w:color w:val="017AB5"/>
        </w:rPr>
        <w:t>How many votes will constitute a quorum at the 2025 Annual Meeting? Do abstentions and broker nonvotes count for the purposes of determining the presence of a quorum?</w:t>
      </w:r>
    </w:p>
    <w:p>
      <w:pPr>
        <w:spacing w:after="0" w:line="109" w:lineRule="exact"/>
        <w:rPr>
          <w:sz w:val="20"/>
          <w:szCs w:val="20"/>
          <w:color w:val="auto"/>
        </w:rPr>
      </w:pPr>
    </w:p>
    <w:p>
      <w:pPr>
        <w:ind w:left="360" w:right="360" w:hanging="310"/>
        <w:spacing w:after="0" w:line="255" w:lineRule="auto"/>
        <w:tabs>
          <w:tab w:leader="none" w:pos="360" w:val="left"/>
        </w:tabs>
        <w:numPr>
          <w:ilvl w:val="0"/>
          <w:numId w:val="109"/>
        </w:numPr>
        <w:rPr>
          <w:rFonts w:ascii="Arial" w:cs="Arial" w:eastAsia="Arial" w:hAnsi="Arial"/>
          <w:sz w:val="15"/>
          <w:szCs w:val="15"/>
          <w:color w:val="444A54"/>
        </w:rPr>
      </w:pPr>
      <w:r>
        <w:rPr>
          <w:rFonts w:ascii="Arial" w:cs="Arial" w:eastAsia="Arial" w:hAnsi="Arial"/>
          <w:sz w:val="15"/>
          <w:szCs w:val="15"/>
          <w:color w:val="444A54"/>
        </w:rPr>
        <w:t>Our Amended and Restated Bylaws provide that the presence of the holders of a majority of the issued and outstanding shares of common stock entitled to vote, in person or represented by proxy, will constitute a quorum at the 2025 Annual Meeting. A quorum must exist to conduct any business at the 2025 Annual Meeting. If a quorum is not present at the 2025 Annual Meeting, any officer entitled to preside at or to act as Secretary of the 2025 Annual Meeting will have power to adjourn the 2025 Annual Meeting from time to time until a quorum is present.</w:t>
      </w:r>
    </w:p>
    <w:p>
      <w:pPr>
        <w:spacing w:after="0" w:line="155" w:lineRule="exact"/>
        <w:rPr>
          <w:rFonts w:ascii="Arial" w:cs="Arial" w:eastAsia="Arial" w:hAnsi="Arial"/>
          <w:sz w:val="15"/>
          <w:szCs w:val="15"/>
          <w:color w:val="444A54"/>
        </w:rPr>
      </w:pPr>
    </w:p>
    <w:p>
      <w:pPr>
        <w:ind w:left="360" w:right="220"/>
        <w:spacing w:after="0" w:line="255" w:lineRule="auto"/>
        <w:rPr>
          <w:rFonts w:ascii="Arial" w:cs="Arial" w:eastAsia="Arial" w:hAnsi="Arial"/>
          <w:sz w:val="15"/>
          <w:szCs w:val="15"/>
          <w:color w:val="444A54"/>
        </w:rPr>
      </w:pPr>
      <w:r>
        <w:rPr>
          <w:rFonts w:ascii="Arial" w:cs="Arial" w:eastAsia="Arial" w:hAnsi="Arial"/>
          <w:sz w:val="15"/>
          <w:szCs w:val="15"/>
          <w:color w:val="444A54"/>
        </w:rPr>
        <w:t>Abstentions will be treated as shares that are present and entitled to vote for purposes of determining the presence of a quorum. Broker nonvotes are included in the calculation of the number of votes considered to be present at the 2025 Annual Meeting for purposes of determining the presence of a quorum only when there are “routine” matters to be voted upon. Because there is a “routine” matter to be voted upon at the 2025 Annual Meeting, broker nonvotes also will be included for purposes of determining a quorum.</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Will a list of shareholders entitled to vote at the 2025 Annual Meeting be available?</w:t>
      </w:r>
    </w:p>
    <w:p>
      <w:pPr>
        <w:spacing w:after="0" w:line="203" w:lineRule="exact"/>
        <w:rPr>
          <w:sz w:val="20"/>
          <w:szCs w:val="20"/>
          <w:color w:val="auto"/>
        </w:rPr>
      </w:pPr>
    </w:p>
    <w:p>
      <w:pPr>
        <w:ind w:left="360" w:right="360" w:hanging="310"/>
        <w:spacing w:after="0" w:line="261" w:lineRule="auto"/>
        <w:tabs>
          <w:tab w:leader="none" w:pos="360" w:val="left"/>
        </w:tabs>
        <w:numPr>
          <w:ilvl w:val="0"/>
          <w:numId w:val="110"/>
        </w:numPr>
        <w:rPr>
          <w:rFonts w:ascii="Arial" w:cs="Arial" w:eastAsia="Arial" w:hAnsi="Arial"/>
          <w:sz w:val="15"/>
          <w:szCs w:val="15"/>
          <w:color w:val="444A54"/>
        </w:rPr>
      </w:pPr>
      <w:r>
        <w:rPr>
          <w:rFonts w:ascii="Arial" w:cs="Arial" w:eastAsia="Arial" w:hAnsi="Arial"/>
          <w:sz w:val="15"/>
          <w:szCs w:val="15"/>
          <w:color w:val="444A54"/>
        </w:rPr>
        <w:t>Yes. A list of shareholders entitled to vote at the 2025 Annual Meeting will be available for any purpose germane to the 2025 Annual Meeting after May 4, 2025 at our executive offices and will be accessible there through the date of the 2025 Annual Meeting during ordinary business hours. In addition, the list of shareholders will be available electronically during the 2025 Annual Meeting.</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What am I voting on at the 2025 Annual Meeting?</w:t>
      </w:r>
    </w:p>
    <w:p>
      <w:pPr>
        <w:spacing w:after="0" w:line="203" w:lineRule="exact"/>
        <w:rPr>
          <w:sz w:val="20"/>
          <w:szCs w:val="20"/>
          <w:color w:val="auto"/>
        </w:rPr>
      </w:pPr>
    </w:p>
    <w:p>
      <w:pPr>
        <w:ind w:left="300" w:hanging="300"/>
        <w:spacing w:after="0"/>
        <w:tabs>
          <w:tab w:leader="none" w:pos="300" w:val="left"/>
        </w:tabs>
        <w:numPr>
          <w:ilvl w:val="0"/>
          <w:numId w:val="111"/>
        </w:numPr>
        <w:rPr>
          <w:rFonts w:ascii="Arial" w:cs="Arial" w:eastAsia="Arial" w:hAnsi="Arial"/>
          <w:sz w:val="15"/>
          <w:szCs w:val="15"/>
          <w:color w:val="444A54"/>
        </w:rPr>
      </w:pPr>
      <w:r>
        <w:rPr>
          <w:rFonts w:ascii="Arial" w:cs="Arial" w:eastAsia="Arial" w:hAnsi="Arial"/>
          <w:sz w:val="15"/>
          <w:szCs w:val="15"/>
          <w:color w:val="444A54"/>
        </w:rPr>
        <w:t>There are four proposals to be considered and voted on at the 2025 Annual Meeting:</w:t>
      </w:r>
    </w:p>
    <w:p>
      <w:pPr>
        <w:spacing w:after="0" w:line="90" w:lineRule="exact"/>
        <w:rPr>
          <w:rFonts w:ascii="Arial" w:cs="Arial" w:eastAsia="Arial" w:hAnsi="Arial"/>
          <w:sz w:val="15"/>
          <w:szCs w:val="15"/>
          <w:color w:val="444A54"/>
        </w:rPr>
      </w:pPr>
    </w:p>
    <w:p>
      <w:pPr>
        <w:ind w:left="580" w:right="420" w:hanging="230"/>
        <w:spacing w:after="0" w:line="279" w:lineRule="auto"/>
        <w:tabs>
          <w:tab w:leader="none" w:pos="580" w:val="left"/>
        </w:tabs>
        <w:numPr>
          <w:ilvl w:val="1"/>
          <w:numId w:val="111"/>
        </w:numPr>
        <w:rPr>
          <w:rFonts w:ascii="Arial" w:cs="Arial" w:eastAsia="Arial" w:hAnsi="Arial"/>
          <w:sz w:val="15"/>
          <w:szCs w:val="15"/>
          <w:color w:val="444A54"/>
        </w:rPr>
      </w:pPr>
      <w:r>
        <w:rPr>
          <w:rFonts w:ascii="Arial" w:cs="Arial" w:eastAsia="Arial" w:hAnsi="Arial"/>
          <w:sz w:val="15"/>
          <w:szCs w:val="15"/>
          <w:color w:val="444A54"/>
        </w:rPr>
        <w:t>Proposal 1 - To elect the 12 director nominees identified in this Proxy Statement to our Board, each to serve a one-year term expiring at the latter of the 2026 Annual Meeting of Shareholders or upon his or her successor being elected and qualified;</w:t>
      </w:r>
    </w:p>
    <w:p>
      <w:pPr>
        <w:spacing w:after="0" w:line="36" w:lineRule="exact"/>
        <w:rPr>
          <w:rFonts w:ascii="Arial" w:cs="Arial" w:eastAsia="Arial" w:hAnsi="Arial"/>
          <w:sz w:val="15"/>
          <w:szCs w:val="15"/>
          <w:color w:val="444A54"/>
        </w:rPr>
      </w:pPr>
    </w:p>
    <w:p>
      <w:pPr>
        <w:ind w:left="580" w:hanging="230"/>
        <w:spacing w:after="0"/>
        <w:tabs>
          <w:tab w:leader="none" w:pos="580" w:val="left"/>
        </w:tabs>
        <w:numPr>
          <w:ilvl w:val="1"/>
          <w:numId w:val="111"/>
        </w:numPr>
        <w:rPr>
          <w:rFonts w:ascii="Arial" w:cs="Arial" w:eastAsia="Arial" w:hAnsi="Arial"/>
          <w:sz w:val="15"/>
          <w:szCs w:val="15"/>
          <w:color w:val="444A54"/>
        </w:rPr>
      </w:pPr>
      <w:r>
        <w:rPr>
          <w:rFonts w:ascii="Arial" w:cs="Arial" w:eastAsia="Arial" w:hAnsi="Arial"/>
          <w:sz w:val="15"/>
          <w:szCs w:val="15"/>
          <w:color w:val="444A54"/>
        </w:rPr>
        <w:t>Proposal 2 - To approve, on an advisory (nonbinding) basis, the compensation paid to our Named Executive Officers (say-on-pay proposal);</w:t>
      </w:r>
    </w:p>
    <w:p>
      <w:pPr>
        <w:spacing w:after="0" w:line="90" w:lineRule="exact"/>
        <w:rPr>
          <w:rFonts w:ascii="Arial" w:cs="Arial" w:eastAsia="Arial" w:hAnsi="Arial"/>
          <w:sz w:val="15"/>
          <w:szCs w:val="15"/>
          <w:color w:val="444A54"/>
        </w:rPr>
      </w:pPr>
    </w:p>
    <w:p>
      <w:pPr>
        <w:ind w:left="580" w:right="280" w:hanging="230"/>
        <w:spacing w:after="0" w:line="279" w:lineRule="auto"/>
        <w:tabs>
          <w:tab w:leader="none" w:pos="580" w:val="left"/>
        </w:tabs>
        <w:numPr>
          <w:ilvl w:val="1"/>
          <w:numId w:val="111"/>
        </w:numPr>
        <w:rPr>
          <w:rFonts w:ascii="Arial" w:cs="Arial" w:eastAsia="Arial" w:hAnsi="Arial"/>
          <w:sz w:val="15"/>
          <w:szCs w:val="15"/>
          <w:color w:val="444A54"/>
        </w:rPr>
      </w:pPr>
      <w:r>
        <w:rPr>
          <w:rFonts w:ascii="Arial" w:cs="Arial" w:eastAsia="Arial" w:hAnsi="Arial"/>
          <w:sz w:val="15"/>
          <w:szCs w:val="15"/>
          <w:color w:val="444A54"/>
        </w:rPr>
        <w:t>Proposal 3 - To approve, on an advisory (nonbinding) basis, the frequency of the advisory vote on executive compensation (say-on-pay frequency proposal); and</w:t>
      </w:r>
    </w:p>
    <w:p>
      <w:pPr>
        <w:spacing w:after="0" w:line="36" w:lineRule="exact"/>
        <w:rPr>
          <w:rFonts w:ascii="Arial" w:cs="Arial" w:eastAsia="Arial" w:hAnsi="Arial"/>
          <w:sz w:val="15"/>
          <w:szCs w:val="15"/>
          <w:color w:val="444A54"/>
        </w:rPr>
      </w:pPr>
    </w:p>
    <w:p>
      <w:pPr>
        <w:ind w:left="580" w:hanging="230"/>
        <w:spacing w:after="0"/>
        <w:tabs>
          <w:tab w:leader="none" w:pos="580" w:val="left"/>
        </w:tabs>
        <w:numPr>
          <w:ilvl w:val="1"/>
          <w:numId w:val="111"/>
        </w:numPr>
        <w:rPr>
          <w:rFonts w:ascii="Arial" w:cs="Arial" w:eastAsia="Arial" w:hAnsi="Arial"/>
          <w:sz w:val="15"/>
          <w:szCs w:val="15"/>
          <w:color w:val="444A54"/>
        </w:rPr>
      </w:pPr>
      <w:r>
        <w:rPr>
          <w:rFonts w:ascii="Arial" w:cs="Arial" w:eastAsia="Arial" w:hAnsi="Arial"/>
          <w:sz w:val="15"/>
          <w:szCs w:val="15"/>
          <w:color w:val="444A54"/>
        </w:rPr>
        <w:t>Proposal 4 - To ratify the appointment of PricewaterhouseCoopers LLP as our independent registered public accounting firm for 2025.</w:t>
      </w:r>
    </w:p>
    <w:p>
      <w:pPr>
        <w:spacing w:after="0" w:line="184" w:lineRule="exact"/>
        <w:rPr>
          <w:sz w:val="20"/>
          <w:szCs w:val="20"/>
          <w:color w:val="auto"/>
        </w:rPr>
      </w:pPr>
    </w:p>
    <w:p>
      <w:pPr>
        <w:ind w:left="300" w:hanging="300"/>
        <w:spacing w:after="0" w:line="291" w:lineRule="auto"/>
        <w:tabs>
          <w:tab w:leader="none" w:pos="300" w:val="left"/>
        </w:tabs>
        <w:numPr>
          <w:ilvl w:val="0"/>
          <w:numId w:val="112"/>
        </w:numPr>
        <w:rPr>
          <w:rFonts w:ascii="Arial" w:cs="Arial" w:eastAsia="Arial" w:hAnsi="Arial"/>
          <w:sz w:val="21"/>
          <w:szCs w:val="21"/>
          <w:b w:val="1"/>
          <w:bCs w:val="1"/>
          <w:i w:val="1"/>
          <w:iCs w:val="1"/>
          <w:color w:val="017AB5"/>
        </w:rPr>
      </w:pPr>
      <w:r>
        <w:rPr>
          <w:rFonts w:ascii="Arial" w:cs="Arial" w:eastAsia="Arial" w:hAnsi="Arial"/>
          <w:sz w:val="21"/>
          <w:szCs w:val="21"/>
          <w:b w:val="1"/>
          <w:bCs w:val="1"/>
          <w:i w:val="1"/>
          <w:iCs w:val="1"/>
          <w:color w:val="017AB5"/>
        </w:rPr>
        <w:t>What are my choices when voting on the election of our 12 director nominees identified in this Proxy Statement, and what vote is needed to elect nominees to the Board?</w:t>
      </w:r>
    </w:p>
    <w:p>
      <w:pPr>
        <w:spacing w:after="0" w:line="109" w:lineRule="exact"/>
        <w:rPr>
          <w:sz w:val="20"/>
          <w:szCs w:val="20"/>
          <w:color w:val="auto"/>
        </w:rPr>
      </w:pPr>
    </w:p>
    <w:p>
      <w:pPr>
        <w:ind w:left="360" w:right="620" w:hanging="310"/>
        <w:spacing w:after="0" w:line="279" w:lineRule="auto"/>
        <w:tabs>
          <w:tab w:leader="none" w:pos="360" w:val="left"/>
        </w:tabs>
        <w:numPr>
          <w:ilvl w:val="0"/>
          <w:numId w:val="113"/>
        </w:numPr>
        <w:rPr>
          <w:rFonts w:ascii="Arial" w:cs="Arial" w:eastAsia="Arial" w:hAnsi="Arial"/>
          <w:sz w:val="15"/>
          <w:szCs w:val="15"/>
          <w:color w:val="444A54"/>
        </w:rPr>
      </w:pPr>
      <w:r>
        <w:rPr>
          <w:rFonts w:ascii="Arial" w:cs="Arial" w:eastAsia="Arial" w:hAnsi="Arial"/>
          <w:sz w:val="15"/>
          <w:szCs w:val="15"/>
          <w:color w:val="444A54"/>
        </w:rPr>
        <w:t>Regarding the vote on the election of our 12 director nominees identified in this Proxy Statement to serve until the 2026 Annual Meeting of Shareholders or until his or her successor is elected and qualified, shareholders may:</w:t>
      </w:r>
    </w:p>
    <w:p>
      <w:pPr>
        <w:spacing w:after="0" w:line="36" w:lineRule="exact"/>
        <w:rPr>
          <w:rFonts w:ascii="Arial" w:cs="Arial" w:eastAsia="Arial" w:hAnsi="Arial"/>
          <w:sz w:val="15"/>
          <w:szCs w:val="15"/>
          <w:color w:val="444A54"/>
        </w:rPr>
      </w:pPr>
    </w:p>
    <w:p>
      <w:pPr>
        <w:ind w:left="580" w:hanging="230"/>
        <w:spacing w:after="0"/>
        <w:tabs>
          <w:tab w:leader="none" w:pos="580" w:val="left"/>
        </w:tabs>
        <w:numPr>
          <w:ilvl w:val="1"/>
          <w:numId w:val="113"/>
        </w:numPr>
        <w:rPr>
          <w:rFonts w:ascii="Arial" w:cs="Arial" w:eastAsia="Arial" w:hAnsi="Arial"/>
          <w:sz w:val="15"/>
          <w:szCs w:val="15"/>
          <w:color w:val="444A54"/>
        </w:rPr>
      </w:pPr>
      <w:r>
        <w:rPr>
          <w:rFonts w:ascii="Arial" w:cs="Arial" w:eastAsia="Arial" w:hAnsi="Arial"/>
          <w:sz w:val="15"/>
          <w:szCs w:val="15"/>
          <w:color w:val="444A54"/>
        </w:rPr>
        <w:t>Vote “FOR ALL” director nominees;</w:t>
      </w:r>
    </w:p>
    <w:p>
      <w:pPr>
        <w:spacing w:after="0" w:line="90" w:lineRule="exact"/>
        <w:rPr>
          <w:rFonts w:ascii="Arial" w:cs="Arial" w:eastAsia="Arial" w:hAnsi="Arial"/>
          <w:sz w:val="15"/>
          <w:szCs w:val="15"/>
          <w:color w:val="444A54"/>
        </w:rPr>
      </w:pPr>
    </w:p>
    <w:p>
      <w:pPr>
        <w:ind w:left="580" w:hanging="230"/>
        <w:spacing w:after="0"/>
        <w:tabs>
          <w:tab w:leader="none" w:pos="580" w:val="left"/>
        </w:tabs>
        <w:numPr>
          <w:ilvl w:val="1"/>
          <w:numId w:val="113"/>
        </w:numPr>
        <w:rPr>
          <w:rFonts w:ascii="Arial" w:cs="Arial" w:eastAsia="Arial" w:hAnsi="Arial"/>
          <w:sz w:val="15"/>
          <w:szCs w:val="15"/>
          <w:color w:val="444A54"/>
        </w:rPr>
      </w:pPr>
      <w:r>
        <w:rPr>
          <w:rFonts w:ascii="Arial" w:cs="Arial" w:eastAsia="Arial" w:hAnsi="Arial"/>
          <w:sz w:val="15"/>
          <w:szCs w:val="15"/>
          <w:color w:val="444A54"/>
        </w:rPr>
        <w:t>Vote “FOR ALL EXCEPT” specific director nominees; or</w:t>
      </w:r>
    </w:p>
    <w:p>
      <w:pPr>
        <w:spacing w:after="0" w:line="90" w:lineRule="exact"/>
        <w:rPr>
          <w:rFonts w:ascii="Arial" w:cs="Arial" w:eastAsia="Arial" w:hAnsi="Arial"/>
          <w:sz w:val="15"/>
          <w:szCs w:val="15"/>
          <w:color w:val="444A54"/>
        </w:rPr>
      </w:pPr>
    </w:p>
    <w:p>
      <w:pPr>
        <w:ind w:left="580" w:hanging="230"/>
        <w:spacing w:after="0"/>
        <w:tabs>
          <w:tab w:leader="none" w:pos="580" w:val="left"/>
        </w:tabs>
        <w:numPr>
          <w:ilvl w:val="1"/>
          <w:numId w:val="113"/>
        </w:numPr>
        <w:rPr>
          <w:rFonts w:ascii="Arial" w:cs="Arial" w:eastAsia="Arial" w:hAnsi="Arial"/>
          <w:sz w:val="15"/>
          <w:szCs w:val="15"/>
          <w:color w:val="444A54"/>
        </w:rPr>
      </w:pPr>
      <w:r>
        <w:rPr>
          <w:rFonts w:ascii="Arial" w:cs="Arial" w:eastAsia="Arial" w:hAnsi="Arial"/>
          <w:sz w:val="15"/>
          <w:szCs w:val="15"/>
          <w:color w:val="444A54"/>
        </w:rPr>
        <w:t>Vote to “WITHHOLD ALL” votes for all director nominees.</w:t>
      </w:r>
    </w:p>
    <w:p>
      <w:pPr>
        <w:spacing w:after="0" w:line="90" w:lineRule="exact"/>
        <w:rPr>
          <w:sz w:val="20"/>
          <w:szCs w:val="20"/>
          <w:color w:val="auto"/>
        </w:rPr>
      </w:pPr>
    </w:p>
    <w:p>
      <w:pPr>
        <w:ind w:left="300" w:right="100"/>
        <w:spacing w:after="0" w:line="261" w:lineRule="auto"/>
        <w:rPr>
          <w:sz w:val="20"/>
          <w:szCs w:val="20"/>
          <w:color w:val="auto"/>
        </w:rPr>
      </w:pPr>
      <w:r>
        <w:rPr>
          <w:rFonts w:ascii="Arial" w:cs="Arial" w:eastAsia="Arial" w:hAnsi="Arial"/>
          <w:sz w:val="15"/>
          <w:szCs w:val="15"/>
          <w:color w:val="444A54"/>
        </w:rPr>
        <w:t>Directors are elected by a plurality of the votes cast at the 2025 Annual Meeting by the shares represented in person or by proxy and entitled to vote on the election of directors at the 2025 Annual Meeting provided a quorum is present. Withholding of authority to vote in the election and broker nonvotes will not affect the outcome of the election, provided a quorum is present. As a result, the 12 nominees receiving the highest number of “FOR” votes will be elected as directors.</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ind w:left="300" w:right="120" w:hanging="300"/>
        <w:spacing w:after="0" w:line="270" w:lineRule="auto"/>
        <w:tabs>
          <w:tab w:leader="none" w:pos="300" w:val="left"/>
        </w:tabs>
        <w:numPr>
          <w:ilvl w:val="0"/>
          <w:numId w:val="114"/>
        </w:numPr>
        <w:rPr>
          <w:rFonts w:ascii="Arial" w:cs="Arial" w:eastAsia="Arial" w:hAnsi="Arial"/>
          <w:sz w:val="21"/>
          <w:szCs w:val="21"/>
          <w:b w:val="1"/>
          <w:bCs w:val="1"/>
          <w:i w:val="1"/>
          <w:iCs w:val="1"/>
          <w:color w:val="017AB5"/>
        </w:rPr>
      </w:pPr>
      <w:r>
        <w:rPr>
          <w:rFonts w:ascii="Arial" w:cs="Arial" w:eastAsia="Arial" w:hAnsi="Arial"/>
          <w:sz w:val="21"/>
          <w:szCs w:val="21"/>
          <w:b w:val="1"/>
          <w:bCs w:val="1"/>
          <w:i w:val="1"/>
          <w:iCs w:val="1"/>
          <w:color w:val="017AB5"/>
        </w:rPr>
        <w:t>What are my choices when voting on the advisory (nonbinding) proposal regarding the compensation paid to the Company’s Named Executive Officers (say-on-pay proposal), and what vote is needed to approve the advisory say-on-pay proposal?</w:t>
      </w:r>
    </w:p>
    <w:p>
      <w:pPr>
        <w:spacing w:after="0" w:line="130" w:lineRule="exact"/>
        <w:rPr>
          <w:sz w:val="20"/>
          <w:szCs w:val="20"/>
          <w:color w:val="auto"/>
        </w:rPr>
      </w:pPr>
    </w:p>
    <w:p>
      <w:pPr>
        <w:ind w:left="300" w:hanging="300"/>
        <w:spacing w:after="0"/>
        <w:tabs>
          <w:tab w:leader="none" w:pos="300" w:val="left"/>
        </w:tabs>
        <w:numPr>
          <w:ilvl w:val="0"/>
          <w:numId w:val="115"/>
        </w:numPr>
        <w:rPr>
          <w:rFonts w:ascii="Arial" w:cs="Arial" w:eastAsia="Arial" w:hAnsi="Arial"/>
          <w:sz w:val="15"/>
          <w:szCs w:val="15"/>
          <w:color w:val="444A54"/>
        </w:rPr>
      </w:pPr>
      <w:r>
        <w:rPr>
          <w:rFonts w:ascii="Arial" w:cs="Arial" w:eastAsia="Arial" w:hAnsi="Arial"/>
          <w:sz w:val="15"/>
          <w:szCs w:val="15"/>
          <w:color w:val="444A54"/>
        </w:rPr>
        <w:t>Regarding the advisory (nonbinding) proposal on the compensation paid to our Named Executive Officers, shareholders may:</w:t>
      </w:r>
    </w:p>
    <w:p>
      <w:pPr>
        <w:spacing w:after="0" w:line="90" w:lineRule="exact"/>
        <w:rPr>
          <w:rFonts w:ascii="Arial" w:cs="Arial" w:eastAsia="Arial" w:hAnsi="Arial"/>
          <w:sz w:val="15"/>
          <w:szCs w:val="15"/>
          <w:color w:val="444A54"/>
        </w:rPr>
      </w:pPr>
    </w:p>
    <w:p>
      <w:pPr>
        <w:ind w:left="480" w:hanging="180"/>
        <w:spacing w:after="0"/>
        <w:tabs>
          <w:tab w:leader="none" w:pos="480" w:val="left"/>
        </w:tabs>
        <w:numPr>
          <w:ilvl w:val="1"/>
          <w:numId w:val="115"/>
        </w:numPr>
        <w:rPr>
          <w:rFonts w:ascii="Arial" w:cs="Arial" w:eastAsia="Arial" w:hAnsi="Arial"/>
          <w:sz w:val="15"/>
          <w:szCs w:val="15"/>
          <w:color w:val="444A54"/>
        </w:rPr>
      </w:pPr>
      <w:r>
        <w:rPr>
          <w:rFonts w:ascii="Arial" w:cs="Arial" w:eastAsia="Arial" w:hAnsi="Arial"/>
          <w:sz w:val="15"/>
          <w:szCs w:val="15"/>
          <w:color w:val="444A54"/>
        </w:rPr>
        <w:t>Vote “FOR” the advisory say-on-pay proposal;</w:t>
      </w:r>
    </w:p>
    <w:p>
      <w:pPr>
        <w:spacing w:after="0" w:line="90" w:lineRule="exact"/>
        <w:rPr>
          <w:rFonts w:ascii="Arial" w:cs="Arial" w:eastAsia="Arial" w:hAnsi="Arial"/>
          <w:sz w:val="15"/>
          <w:szCs w:val="15"/>
          <w:color w:val="444A54"/>
        </w:rPr>
      </w:pPr>
    </w:p>
    <w:p>
      <w:pPr>
        <w:ind w:left="480" w:hanging="180"/>
        <w:spacing w:after="0"/>
        <w:tabs>
          <w:tab w:leader="none" w:pos="480" w:val="left"/>
        </w:tabs>
        <w:numPr>
          <w:ilvl w:val="1"/>
          <w:numId w:val="115"/>
        </w:numPr>
        <w:rPr>
          <w:rFonts w:ascii="Arial" w:cs="Arial" w:eastAsia="Arial" w:hAnsi="Arial"/>
          <w:sz w:val="15"/>
          <w:szCs w:val="15"/>
          <w:color w:val="444A54"/>
        </w:rPr>
      </w:pPr>
      <w:r>
        <w:rPr>
          <w:rFonts w:ascii="Arial" w:cs="Arial" w:eastAsia="Arial" w:hAnsi="Arial"/>
          <w:sz w:val="15"/>
          <w:szCs w:val="15"/>
          <w:color w:val="444A54"/>
        </w:rPr>
        <w:t>Vote “AGAINST” the advisory say-on-pay proposal; or</w:t>
      </w:r>
    </w:p>
    <w:p>
      <w:pPr>
        <w:spacing w:after="0" w:line="90" w:lineRule="exact"/>
        <w:rPr>
          <w:rFonts w:ascii="Arial" w:cs="Arial" w:eastAsia="Arial" w:hAnsi="Arial"/>
          <w:sz w:val="15"/>
          <w:szCs w:val="15"/>
          <w:color w:val="444A54"/>
        </w:rPr>
      </w:pPr>
    </w:p>
    <w:p>
      <w:pPr>
        <w:ind w:left="480" w:hanging="180"/>
        <w:spacing w:after="0"/>
        <w:tabs>
          <w:tab w:leader="none" w:pos="480" w:val="left"/>
        </w:tabs>
        <w:numPr>
          <w:ilvl w:val="1"/>
          <w:numId w:val="115"/>
        </w:numPr>
        <w:rPr>
          <w:rFonts w:ascii="Arial" w:cs="Arial" w:eastAsia="Arial" w:hAnsi="Arial"/>
          <w:sz w:val="15"/>
          <w:szCs w:val="15"/>
          <w:color w:val="444A54"/>
        </w:rPr>
      </w:pPr>
      <w:r>
        <w:rPr>
          <w:rFonts w:ascii="Arial" w:cs="Arial" w:eastAsia="Arial" w:hAnsi="Arial"/>
          <w:sz w:val="15"/>
          <w:szCs w:val="15"/>
          <w:color w:val="444A54"/>
        </w:rPr>
        <w:t>“ABSTAIN” from voting on the advisory say-on-pay proposal.</w:t>
      </w:r>
    </w:p>
    <w:p>
      <w:pPr>
        <w:spacing w:after="0" w:line="190" w:lineRule="exact"/>
        <w:rPr>
          <w:sz w:val="20"/>
          <w:szCs w:val="20"/>
          <w:color w:val="auto"/>
        </w:rPr>
      </w:pPr>
    </w:p>
    <w:p>
      <w:pPr>
        <w:ind w:left="300" w:right="420"/>
        <w:spacing w:after="0" w:line="255" w:lineRule="auto"/>
        <w:rPr>
          <w:sz w:val="20"/>
          <w:szCs w:val="20"/>
          <w:color w:val="auto"/>
        </w:rPr>
      </w:pPr>
      <w:r>
        <w:rPr>
          <w:rFonts w:ascii="Arial" w:cs="Arial" w:eastAsia="Arial" w:hAnsi="Arial"/>
          <w:sz w:val="15"/>
          <w:szCs w:val="15"/>
          <w:color w:val="444A54"/>
        </w:rPr>
        <w:t>If a quorum exists at the 2025 Annual Meeting, approval of the “say-on-pay” proposal requires that the number of votes cast “FOR” the proposal exceed the number of votes cast “AGAINST” the proposal. As an advisory vote, this proposal is not binding upon us. However, our Talent and Compensation Committee is responsible for designing and administering our executive compensation program, values the opinions expressed by our shareholders and will consider the outcome of the vote when making future compensation decisions.</w:t>
      </w:r>
    </w:p>
    <w:p>
      <w:pPr>
        <w:spacing w:after="0" w:line="149" w:lineRule="exact"/>
        <w:rPr>
          <w:sz w:val="20"/>
          <w:szCs w:val="20"/>
          <w:color w:val="auto"/>
        </w:rPr>
      </w:pPr>
    </w:p>
    <w:p>
      <w:pPr>
        <w:ind w:left="300" w:hanging="300"/>
        <w:spacing w:after="0" w:line="291" w:lineRule="auto"/>
        <w:tabs>
          <w:tab w:leader="none" w:pos="300" w:val="left"/>
        </w:tabs>
        <w:numPr>
          <w:ilvl w:val="0"/>
          <w:numId w:val="116"/>
        </w:numPr>
        <w:rPr>
          <w:rFonts w:ascii="Arial" w:cs="Arial" w:eastAsia="Arial" w:hAnsi="Arial"/>
          <w:sz w:val="21"/>
          <w:szCs w:val="21"/>
          <w:b w:val="1"/>
          <w:bCs w:val="1"/>
          <w:i w:val="1"/>
          <w:iCs w:val="1"/>
          <w:color w:val="017AB5"/>
        </w:rPr>
      </w:pPr>
      <w:r>
        <w:rPr>
          <w:rFonts w:ascii="Arial" w:cs="Arial" w:eastAsia="Arial" w:hAnsi="Arial"/>
          <w:sz w:val="21"/>
          <w:szCs w:val="21"/>
          <w:b w:val="1"/>
          <w:bCs w:val="1"/>
          <w:i w:val="1"/>
          <w:iCs w:val="1"/>
          <w:color w:val="017AB5"/>
        </w:rPr>
        <w:t>What are my choices when voting on the advisory (nonbinding) proposal regarding the frequency of the advisory vote on executive compensation (say-on-pay frequency proposal)?</w:t>
      </w:r>
    </w:p>
    <w:p>
      <w:pPr>
        <w:spacing w:after="0" w:line="109" w:lineRule="exact"/>
        <w:rPr>
          <w:sz w:val="20"/>
          <w:szCs w:val="20"/>
          <w:color w:val="auto"/>
        </w:rPr>
      </w:pPr>
    </w:p>
    <w:p>
      <w:pPr>
        <w:ind w:left="300" w:right="120" w:hanging="300"/>
        <w:spacing w:after="0" w:line="279" w:lineRule="auto"/>
        <w:tabs>
          <w:tab w:leader="none" w:pos="300" w:val="left"/>
        </w:tabs>
        <w:numPr>
          <w:ilvl w:val="0"/>
          <w:numId w:val="117"/>
        </w:numPr>
        <w:rPr>
          <w:rFonts w:ascii="Arial" w:cs="Arial" w:eastAsia="Arial" w:hAnsi="Arial"/>
          <w:sz w:val="15"/>
          <w:szCs w:val="15"/>
          <w:color w:val="444A54"/>
        </w:rPr>
      </w:pPr>
      <w:r>
        <w:rPr>
          <w:rFonts w:ascii="Arial" w:cs="Arial" w:eastAsia="Arial" w:hAnsi="Arial"/>
          <w:sz w:val="15"/>
          <w:szCs w:val="15"/>
          <w:color w:val="444A54"/>
        </w:rPr>
        <w:t>Regarding the advisory (nonbinding) proposal regarding the frequency of the advisory vote on executive compensation (say-on-pay frequency proposal), shareholders may vote for one of four choices:</w:t>
      </w:r>
    </w:p>
    <w:p>
      <w:pPr>
        <w:spacing w:after="0" w:line="36" w:lineRule="exact"/>
        <w:rPr>
          <w:rFonts w:ascii="Arial" w:cs="Arial" w:eastAsia="Arial" w:hAnsi="Arial"/>
          <w:sz w:val="15"/>
          <w:szCs w:val="15"/>
          <w:color w:val="444A54"/>
        </w:rPr>
      </w:pPr>
    </w:p>
    <w:p>
      <w:pPr>
        <w:ind w:left="480" w:hanging="180"/>
        <w:spacing w:after="0"/>
        <w:tabs>
          <w:tab w:leader="none" w:pos="480" w:val="left"/>
        </w:tabs>
        <w:numPr>
          <w:ilvl w:val="1"/>
          <w:numId w:val="117"/>
        </w:numPr>
        <w:rPr>
          <w:rFonts w:ascii="Arial" w:cs="Arial" w:eastAsia="Arial" w:hAnsi="Arial"/>
          <w:sz w:val="15"/>
          <w:szCs w:val="15"/>
          <w:color w:val="444A54"/>
        </w:rPr>
      </w:pPr>
      <w:r>
        <w:rPr>
          <w:rFonts w:ascii="Arial" w:cs="Arial" w:eastAsia="Arial" w:hAnsi="Arial"/>
          <w:sz w:val="15"/>
          <w:szCs w:val="15"/>
          <w:color w:val="444A54"/>
        </w:rPr>
        <w:t>Vote “FOR” submitting a say-on-pay vote proposal to shareholders every year;</w:t>
      </w:r>
    </w:p>
    <w:p>
      <w:pPr>
        <w:spacing w:after="0" w:line="90" w:lineRule="exact"/>
        <w:rPr>
          <w:rFonts w:ascii="Arial" w:cs="Arial" w:eastAsia="Arial" w:hAnsi="Arial"/>
          <w:sz w:val="15"/>
          <w:szCs w:val="15"/>
          <w:color w:val="444A54"/>
        </w:rPr>
      </w:pPr>
    </w:p>
    <w:p>
      <w:pPr>
        <w:ind w:left="480" w:hanging="180"/>
        <w:spacing w:after="0"/>
        <w:tabs>
          <w:tab w:leader="none" w:pos="480" w:val="left"/>
        </w:tabs>
        <w:numPr>
          <w:ilvl w:val="1"/>
          <w:numId w:val="117"/>
        </w:numPr>
        <w:rPr>
          <w:rFonts w:ascii="Arial" w:cs="Arial" w:eastAsia="Arial" w:hAnsi="Arial"/>
          <w:sz w:val="15"/>
          <w:szCs w:val="15"/>
          <w:color w:val="444A54"/>
        </w:rPr>
      </w:pPr>
      <w:r>
        <w:rPr>
          <w:rFonts w:ascii="Arial" w:cs="Arial" w:eastAsia="Arial" w:hAnsi="Arial"/>
          <w:sz w:val="15"/>
          <w:szCs w:val="15"/>
          <w:color w:val="444A54"/>
        </w:rPr>
        <w:t>Vote “FOR” submitting a say-on-pay vote proposal to shareholders every two years;</w:t>
      </w:r>
    </w:p>
    <w:p>
      <w:pPr>
        <w:spacing w:after="0" w:line="90" w:lineRule="exact"/>
        <w:rPr>
          <w:rFonts w:ascii="Arial" w:cs="Arial" w:eastAsia="Arial" w:hAnsi="Arial"/>
          <w:sz w:val="15"/>
          <w:szCs w:val="15"/>
          <w:color w:val="444A54"/>
        </w:rPr>
      </w:pPr>
    </w:p>
    <w:p>
      <w:pPr>
        <w:ind w:left="480" w:hanging="180"/>
        <w:spacing w:after="0"/>
        <w:tabs>
          <w:tab w:leader="none" w:pos="480" w:val="left"/>
        </w:tabs>
        <w:numPr>
          <w:ilvl w:val="1"/>
          <w:numId w:val="117"/>
        </w:numPr>
        <w:rPr>
          <w:rFonts w:ascii="Arial" w:cs="Arial" w:eastAsia="Arial" w:hAnsi="Arial"/>
          <w:sz w:val="15"/>
          <w:szCs w:val="15"/>
          <w:color w:val="444A54"/>
        </w:rPr>
      </w:pPr>
      <w:r>
        <w:rPr>
          <w:rFonts w:ascii="Arial" w:cs="Arial" w:eastAsia="Arial" w:hAnsi="Arial"/>
          <w:sz w:val="15"/>
          <w:szCs w:val="15"/>
          <w:color w:val="444A54"/>
        </w:rPr>
        <w:t>Vote “FOR” submitting a say-on-pay vote proposal to shareholders every three years; or</w:t>
      </w:r>
    </w:p>
    <w:p>
      <w:pPr>
        <w:spacing w:after="0" w:line="90" w:lineRule="exact"/>
        <w:rPr>
          <w:rFonts w:ascii="Arial" w:cs="Arial" w:eastAsia="Arial" w:hAnsi="Arial"/>
          <w:sz w:val="15"/>
          <w:szCs w:val="15"/>
          <w:color w:val="444A54"/>
        </w:rPr>
      </w:pPr>
    </w:p>
    <w:p>
      <w:pPr>
        <w:ind w:left="480" w:hanging="180"/>
        <w:spacing w:after="0"/>
        <w:tabs>
          <w:tab w:leader="none" w:pos="480" w:val="left"/>
        </w:tabs>
        <w:numPr>
          <w:ilvl w:val="1"/>
          <w:numId w:val="117"/>
        </w:numPr>
        <w:rPr>
          <w:rFonts w:ascii="Arial" w:cs="Arial" w:eastAsia="Arial" w:hAnsi="Arial"/>
          <w:sz w:val="15"/>
          <w:szCs w:val="15"/>
          <w:color w:val="444A54"/>
        </w:rPr>
      </w:pPr>
      <w:r>
        <w:rPr>
          <w:rFonts w:ascii="Arial" w:cs="Arial" w:eastAsia="Arial" w:hAnsi="Arial"/>
          <w:sz w:val="15"/>
          <w:szCs w:val="15"/>
          <w:color w:val="444A54"/>
        </w:rPr>
        <w:t>“ABSTAIN” from voting on the say-on-pay frequency proposal.</w:t>
      </w:r>
    </w:p>
    <w:p>
      <w:pPr>
        <w:spacing w:after="0" w:line="190" w:lineRule="exact"/>
        <w:rPr>
          <w:sz w:val="20"/>
          <w:szCs w:val="20"/>
          <w:color w:val="auto"/>
        </w:rPr>
      </w:pPr>
    </w:p>
    <w:p>
      <w:pPr>
        <w:ind w:left="300" w:right="120"/>
        <w:spacing w:after="0" w:line="252" w:lineRule="auto"/>
        <w:rPr>
          <w:sz w:val="20"/>
          <w:szCs w:val="20"/>
          <w:color w:val="auto"/>
        </w:rPr>
      </w:pPr>
      <w:r>
        <w:rPr>
          <w:rFonts w:ascii="Arial" w:cs="Arial" w:eastAsia="Arial" w:hAnsi="Arial"/>
          <w:sz w:val="15"/>
          <w:szCs w:val="15"/>
          <w:color w:val="444A54"/>
        </w:rPr>
        <w:t>If a quorum exists at the 2025 Annual Meeting, the frequency (i.e., one year, two years or three years) that receives the highest number of votes cast (i.e., a plurality) will be deemed to be the frequency recommended by the shareholders. Abstentions and broker nonvotes, if any, will not be counted as votes cast and will have no effect on the result of the vote for this proposal. As an advisory vote, this proposal is not binding upon us. However, our Board or Talent and Compensation Committee may decide that it is in the best interests of our shareholders and the Company to hold such advisory votes more or less frequently than the option selected by shareholders.</w:t>
      </w:r>
    </w:p>
    <w:p>
      <w:pPr>
        <w:spacing w:after="0" w:line="151" w:lineRule="exact"/>
        <w:rPr>
          <w:sz w:val="20"/>
          <w:szCs w:val="20"/>
          <w:color w:val="auto"/>
        </w:rPr>
      </w:pPr>
    </w:p>
    <w:p>
      <w:pPr>
        <w:jc w:val="both"/>
        <w:ind w:left="300" w:hanging="300"/>
        <w:spacing w:after="0" w:line="270" w:lineRule="auto"/>
        <w:tabs>
          <w:tab w:leader="none" w:pos="300" w:val="left"/>
        </w:tabs>
        <w:numPr>
          <w:ilvl w:val="0"/>
          <w:numId w:val="118"/>
        </w:numPr>
        <w:rPr>
          <w:rFonts w:ascii="Arial" w:cs="Arial" w:eastAsia="Arial" w:hAnsi="Arial"/>
          <w:sz w:val="21"/>
          <w:szCs w:val="21"/>
          <w:b w:val="1"/>
          <w:bCs w:val="1"/>
          <w:i w:val="1"/>
          <w:iCs w:val="1"/>
          <w:color w:val="017AB5"/>
        </w:rPr>
      </w:pPr>
      <w:r>
        <w:rPr>
          <w:rFonts w:ascii="Arial" w:cs="Arial" w:eastAsia="Arial" w:hAnsi="Arial"/>
          <w:sz w:val="21"/>
          <w:szCs w:val="21"/>
          <w:b w:val="1"/>
          <w:bCs w:val="1"/>
          <w:i w:val="1"/>
          <w:iCs w:val="1"/>
          <w:color w:val="017AB5"/>
        </w:rPr>
        <w:t>What are my choices when voting on the ratification of the appointment of PwC as the Company’s independent registered public accounting firm for the fiscal year ending December 31, 2025, and what vote is needed to ratify their appointment?</w:t>
      </w:r>
    </w:p>
    <w:p>
      <w:pPr>
        <w:spacing w:after="0" w:line="130" w:lineRule="exact"/>
        <w:rPr>
          <w:sz w:val="20"/>
          <w:szCs w:val="20"/>
          <w:color w:val="auto"/>
        </w:rPr>
      </w:pPr>
    </w:p>
    <w:p>
      <w:pPr>
        <w:ind w:left="300" w:right="1480" w:hanging="300"/>
        <w:spacing w:after="0" w:line="279" w:lineRule="auto"/>
        <w:tabs>
          <w:tab w:leader="none" w:pos="300" w:val="left"/>
        </w:tabs>
        <w:numPr>
          <w:ilvl w:val="0"/>
          <w:numId w:val="119"/>
        </w:numPr>
        <w:rPr>
          <w:rFonts w:ascii="Arial" w:cs="Arial" w:eastAsia="Arial" w:hAnsi="Arial"/>
          <w:sz w:val="15"/>
          <w:szCs w:val="15"/>
          <w:color w:val="444A54"/>
        </w:rPr>
      </w:pPr>
      <w:r>
        <w:rPr>
          <w:rFonts w:ascii="Arial" w:cs="Arial" w:eastAsia="Arial" w:hAnsi="Arial"/>
          <w:sz w:val="15"/>
          <w:szCs w:val="15"/>
          <w:color w:val="444A54"/>
        </w:rPr>
        <w:t>Regarding the vote on the proposal to ratify the appointment of PwC as the Company’s independent registered public accounting firm for 2025, shareholders may:</w:t>
      </w:r>
    </w:p>
    <w:p>
      <w:pPr>
        <w:spacing w:after="0" w:line="36" w:lineRule="exact"/>
        <w:rPr>
          <w:rFonts w:ascii="Arial" w:cs="Arial" w:eastAsia="Arial" w:hAnsi="Arial"/>
          <w:sz w:val="15"/>
          <w:szCs w:val="15"/>
          <w:color w:val="444A54"/>
        </w:rPr>
      </w:pPr>
    </w:p>
    <w:p>
      <w:pPr>
        <w:ind w:left="480" w:hanging="180"/>
        <w:spacing w:after="0"/>
        <w:tabs>
          <w:tab w:leader="none" w:pos="480" w:val="left"/>
        </w:tabs>
        <w:numPr>
          <w:ilvl w:val="1"/>
          <w:numId w:val="119"/>
        </w:numPr>
        <w:rPr>
          <w:rFonts w:ascii="Arial" w:cs="Arial" w:eastAsia="Arial" w:hAnsi="Arial"/>
          <w:sz w:val="15"/>
          <w:szCs w:val="15"/>
          <w:color w:val="444A54"/>
        </w:rPr>
      </w:pPr>
      <w:r>
        <w:rPr>
          <w:rFonts w:ascii="Arial" w:cs="Arial" w:eastAsia="Arial" w:hAnsi="Arial"/>
          <w:sz w:val="15"/>
          <w:szCs w:val="15"/>
          <w:color w:val="444A54"/>
        </w:rPr>
        <w:t>Vote “FOR” the ratification of the appointment of PwC as the Company’s independent registered public accounting firm for 2025;</w:t>
      </w:r>
    </w:p>
    <w:p>
      <w:pPr>
        <w:spacing w:after="0" w:line="90" w:lineRule="exact"/>
        <w:rPr>
          <w:rFonts w:ascii="Arial" w:cs="Arial" w:eastAsia="Arial" w:hAnsi="Arial"/>
          <w:sz w:val="15"/>
          <w:szCs w:val="15"/>
          <w:color w:val="444A54"/>
        </w:rPr>
      </w:pPr>
    </w:p>
    <w:p>
      <w:pPr>
        <w:ind w:left="480" w:hanging="180"/>
        <w:spacing w:after="0"/>
        <w:tabs>
          <w:tab w:leader="none" w:pos="480" w:val="left"/>
        </w:tabs>
        <w:numPr>
          <w:ilvl w:val="1"/>
          <w:numId w:val="119"/>
        </w:numPr>
        <w:rPr>
          <w:rFonts w:ascii="Arial" w:cs="Arial" w:eastAsia="Arial" w:hAnsi="Arial"/>
          <w:sz w:val="15"/>
          <w:szCs w:val="15"/>
          <w:color w:val="444A54"/>
        </w:rPr>
      </w:pPr>
      <w:r>
        <w:rPr>
          <w:rFonts w:ascii="Arial" w:cs="Arial" w:eastAsia="Arial" w:hAnsi="Arial"/>
          <w:sz w:val="15"/>
          <w:szCs w:val="15"/>
          <w:color w:val="444A54"/>
        </w:rPr>
        <w:t>Vote “AGAINST” the ratification of the appointment of PwC as the Company’s independent registered public accounting firm for 2025; or</w:t>
      </w:r>
    </w:p>
    <w:p>
      <w:pPr>
        <w:spacing w:after="0" w:line="90" w:lineRule="exact"/>
        <w:rPr>
          <w:rFonts w:ascii="Arial" w:cs="Arial" w:eastAsia="Arial" w:hAnsi="Arial"/>
          <w:sz w:val="15"/>
          <w:szCs w:val="15"/>
          <w:color w:val="444A54"/>
        </w:rPr>
      </w:pPr>
    </w:p>
    <w:p>
      <w:pPr>
        <w:ind w:left="480" w:hanging="180"/>
        <w:spacing w:after="0"/>
        <w:tabs>
          <w:tab w:leader="none" w:pos="480" w:val="left"/>
        </w:tabs>
        <w:numPr>
          <w:ilvl w:val="1"/>
          <w:numId w:val="119"/>
        </w:numPr>
        <w:rPr>
          <w:rFonts w:ascii="Arial" w:cs="Arial" w:eastAsia="Arial" w:hAnsi="Arial"/>
          <w:sz w:val="15"/>
          <w:szCs w:val="15"/>
          <w:color w:val="444A54"/>
        </w:rPr>
      </w:pPr>
      <w:r>
        <w:rPr>
          <w:rFonts w:ascii="Arial" w:cs="Arial" w:eastAsia="Arial" w:hAnsi="Arial"/>
          <w:sz w:val="15"/>
          <w:szCs w:val="15"/>
          <w:color w:val="444A54"/>
        </w:rPr>
        <w:t>“ABSTAIN” from voting on the ratification of the appointment of PwC as the Company’s independent registered public accounting firm for 2025.</w:t>
      </w:r>
    </w:p>
    <w:p>
      <w:pPr>
        <w:spacing w:after="0" w:line="190" w:lineRule="exact"/>
        <w:rPr>
          <w:sz w:val="20"/>
          <w:szCs w:val="20"/>
          <w:color w:val="auto"/>
        </w:rPr>
      </w:pPr>
    </w:p>
    <w:p>
      <w:pPr>
        <w:ind w:left="300" w:right="220"/>
        <w:spacing w:after="0" w:line="279" w:lineRule="auto"/>
        <w:rPr>
          <w:sz w:val="20"/>
          <w:szCs w:val="20"/>
          <w:color w:val="auto"/>
        </w:rPr>
      </w:pPr>
      <w:r>
        <w:rPr>
          <w:rFonts w:ascii="Arial" w:cs="Arial" w:eastAsia="Arial" w:hAnsi="Arial"/>
          <w:sz w:val="15"/>
          <w:szCs w:val="15"/>
          <w:color w:val="444A54"/>
        </w:rPr>
        <w:t>If a quorum exists at the 2025 Annual Meeting, the approval of the proposal to ratify the appointment of PwC as our independent registered public accounting firm for 2025 requires that the number of votes cast “FOR” the proposal exceed the number of votes cast “AGAINST” the proposal.</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1" w:name="page72"/>
    <w:bookmarkEnd w:id="71"/>
    <w:p>
      <w:pPr>
        <w:spacing w:after="0"/>
        <w:rPr>
          <w:sz w:val="20"/>
          <w:szCs w:val="20"/>
          <w:color w:val="auto"/>
        </w:rPr>
      </w:pPr>
      <w:r>
        <w:rPr>
          <w:rFonts w:ascii="Arial" w:cs="Arial" w:eastAsia="Arial" w:hAnsi="Arial"/>
          <w:sz w:val="21"/>
          <w:szCs w:val="21"/>
          <w:b w:val="1"/>
          <w:bCs w:val="1"/>
          <w:i w:val="1"/>
          <w:iCs w:val="1"/>
          <w:color w:val="017AB5"/>
        </w:rPr>
        <w:t>Q: How does the Company’s Board recommend that I vote?</w:t>
      </w:r>
    </w:p>
    <w:p>
      <w:pPr>
        <w:spacing w:after="0" w:line="203" w:lineRule="exact"/>
        <w:rPr>
          <w:sz w:val="20"/>
          <w:szCs w:val="20"/>
          <w:color w:val="auto"/>
        </w:rPr>
      </w:pPr>
    </w:p>
    <w:p>
      <w:pPr>
        <w:ind w:left="300" w:hanging="300"/>
        <w:spacing w:after="0"/>
        <w:tabs>
          <w:tab w:leader="none" w:pos="300" w:val="left"/>
        </w:tabs>
        <w:numPr>
          <w:ilvl w:val="0"/>
          <w:numId w:val="120"/>
        </w:numPr>
        <w:rPr>
          <w:rFonts w:ascii="Arial" w:cs="Arial" w:eastAsia="Arial" w:hAnsi="Arial"/>
          <w:sz w:val="15"/>
          <w:szCs w:val="15"/>
          <w:color w:val="444A54"/>
        </w:rPr>
      </w:pPr>
      <w:r>
        <w:rPr>
          <w:rFonts w:ascii="Arial" w:cs="Arial" w:eastAsia="Arial" w:hAnsi="Arial"/>
          <w:sz w:val="15"/>
          <w:szCs w:val="15"/>
          <w:color w:val="444A54"/>
        </w:rPr>
        <w:t>Our Board unanimously recommends that you vote:</w:t>
      </w:r>
    </w:p>
    <w:p>
      <w:pPr>
        <w:spacing w:after="0" w:line="90" w:lineRule="exact"/>
        <w:rPr>
          <w:rFonts w:ascii="Arial" w:cs="Arial" w:eastAsia="Arial" w:hAnsi="Arial"/>
          <w:sz w:val="15"/>
          <w:szCs w:val="15"/>
          <w:color w:val="444A54"/>
        </w:rPr>
      </w:pPr>
    </w:p>
    <w:p>
      <w:pPr>
        <w:ind w:left="540" w:hanging="240"/>
        <w:spacing w:after="0"/>
        <w:tabs>
          <w:tab w:leader="none" w:pos="540" w:val="left"/>
        </w:tabs>
        <w:numPr>
          <w:ilvl w:val="1"/>
          <w:numId w:val="120"/>
        </w:numPr>
        <w:rPr>
          <w:rFonts w:ascii="Arial" w:cs="Arial" w:eastAsia="Arial" w:hAnsi="Arial"/>
          <w:sz w:val="15"/>
          <w:szCs w:val="15"/>
          <w:color w:val="444A54"/>
        </w:rPr>
      </w:pPr>
      <w:r>
        <w:rPr>
          <w:rFonts w:ascii="Arial" w:cs="Arial" w:eastAsia="Arial" w:hAnsi="Arial"/>
          <w:sz w:val="15"/>
          <w:szCs w:val="15"/>
          <w:color w:val="444A54"/>
        </w:rPr>
        <w:t>“FOR ALL” 12 nominees to our Board identified in this Proxy Statement;</w:t>
      </w:r>
    </w:p>
    <w:p>
      <w:pPr>
        <w:spacing w:after="0" w:line="90" w:lineRule="exact"/>
        <w:rPr>
          <w:rFonts w:ascii="Arial" w:cs="Arial" w:eastAsia="Arial" w:hAnsi="Arial"/>
          <w:sz w:val="15"/>
          <w:szCs w:val="15"/>
          <w:color w:val="444A54"/>
        </w:rPr>
      </w:pPr>
    </w:p>
    <w:p>
      <w:pPr>
        <w:ind w:left="540" w:hanging="240"/>
        <w:spacing w:after="0"/>
        <w:tabs>
          <w:tab w:leader="none" w:pos="540" w:val="left"/>
        </w:tabs>
        <w:numPr>
          <w:ilvl w:val="1"/>
          <w:numId w:val="120"/>
        </w:numPr>
        <w:rPr>
          <w:rFonts w:ascii="Arial" w:cs="Arial" w:eastAsia="Arial" w:hAnsi="Arial"/>
          <w:sz w:val="15"/>
          <w:szCs w:val="15"/>
          <w:color w:val="444A54"/>
        </w:rPr>
      </w:pPr>
      <w:r>
        <w:rPr>
          <w:rFonts w:ascii="Arial" w:cs="Arial" w:eastAsia="Arial" w:hAnsi="Arial"/>
          <w:sz w:val="15"/>
          <w:szCs w:val="15"/>
          <w:color w:val="444A54"/>
        </w:rPr>
        <w:t>“FOR” the advisory (nonbinding) proposal regarding the compensation paid to our Named Executive Officers (say-on-pay proposal);</w:t>
      </w:r>
    </w:p>
    <w:p>
      <w:pPr>
        <w:spacing w:after="0" w:line="90" w:lineRule="exact"/>
        <w:rPr>
          <w:rFonts w:ascii="Arial" w:cs="Arial" w:eastAsia="Arial" w:hAnsi="Arial"/>
          <w:sz w:val="15"/>
          <w:szCs w:val="15"/>
          <w:color w:val="444A54"/>
        </w:rPr>
      </w:pPr>
    </w:p>
    <w:p>
      <w:pPr>
        <w:ind w:left="540" w:hanging="240"/>
        <w:spacing w:after="0"/>
        <w:tabs>
          <w:tab w:leader="none" w:pos="540" w:val="left"/>
        </w:tabs>
        <w:numPr>
          <w:ilvl w:val="1"/>
          <w:numId w:val="120"/>
        </w:numPr>
        <w:rPr>
          <w:rFonts w:ascii="Arial" w:cs="Arial" w:eastAsia="Arial" w:hAnsi="Arial"/>
          <w:sz w:val="15"/>
          <w:szCs w:val="15"/>
          <w:color w:val="444A54"/>
        </w:rPr>
      </w:pPr>
      <w:r>
        <w:rPr>
          <w:rFonts w:ascii="Arial" w:cs="Arial" w:eastAsia="Arial" w:hAnsi="Arial"/>
          <w:sz w:val="15"/>
          <w:szCs w:val="15"/>
          <w:color w:val="444A54"/>
        </w:rPr>
        <w:t>“FOR” the option of every year as the preferred frequency for advisory votes on executive compensation; and</w:t>
      </w:r>
    </w:p>
    <w:p>
      <w:pPr>
        <w:spacing w:after="0" w:line="90" w:lineRule="exact"/>
        <w:rPr>
          <w:rFonts w:ascii="Arial" w:cs="Arial" w:eastAsia="Arial" w:hAnsi="Arial"/>
          <w:sz w:val="15"/>
          <w:szCs w:val="15"/>
          <w:color w:val="444A54"/>
        </w:rPr>
      </w:pPr>
    </w:p>
    <w:p>
      <w:pPr>
        <w:ind w:left="540" w:hanging="240"/>
        <w:spacing w:after="0"/>
        <w:tabs>
          <w:tab w:leader="none" w:pos="540" w:val="left"/>
        </w:tabs>
        <w:numPr>
          <w:ilvl w:val="1"/>
          <w:numId w:val="120"/>
        </w:numPr>
        <w:rPr>
          <w:rFonts w:ascii="Arial" w:cs="Arial" w:eastAsia="Arial" w:hAnsi="Arial"/>
          <w:sz w:val="15"/>
          <w:szCs w:val="15"/>
          <w:color w:val="444A54"/>
        </w:rPr>
      </w:pPr>
      <w:r>
        <w:rPr>
          <w:rFonts w:ascii="Arial" w:cs="Arial" w:eastAsia="Arial" w:hAnsi="Arial"/>
          <w:sz w:val="15"/>
          <w:szCs w:val="15"/>
          <w:color w:val="444A54"/>
        </w:rPr>
        <w:t>“FOR” the ratification of the appointment of PwC as our independent registered public accounting firm for 2025.</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How do I cast my vote?</w:t>
      </w:r>
    </w:p>
    <w:p>
      <w:pPr>
        <w:spacing w:after="0" w:line="203" w:lineRule="exact"/>
        <w:rPr>
          <w:sz w:val="20"/>
          <w:szCs w:val="20"/>
          <w:color w:val="auto"/>
        </w:rPr>
      </w:pPr>
    </w:p>
    <w:p>
      <w:pPr>
        <w:ind w:left="300" w:right="60" w:hanging="300"/>
        <w:spacing w:after="0" w:line="252" w:lineRule="auto"/>
        <w:tabs>
          <w:tab w:leader="none" w:pos="300" w:val="left"/>
        </w:tabs>
        <w:numPr>
          <w:ilvl w:val="0"/>
          <w:numId w:val="121"/>
        </w:numPr>
        <w:rPr>
          <w:rFonts w:ascii="Arial" w:cs="Arial" w:eastAsia="Arial" w:hAnsi="Arial"/>
          <w:sz w:val="15"/>
          <w:szCs w:val="15"/>
          <w:color w:val="444A54"/>
        </w:rPr>
      </w:pPr>
      <w:r>
        <w:rPr>
          <w:rFonts w:ascii="Arial" w:cs="Arial" w:eastAsia="Arial" w:hAnsi="Arial"/>
          <w:sz w:val="15"/>
          <w:szCs w:val="15"/>
          <w:color w:val="444A54"/>
        </w:rPr>
        <w:t>It is important that your shares be represented at the 2025 Annual Meeting, and we hope that you will access and participate in the 2025 Annual Meeting. If you do participate, you may vote during the 2025 Annual Meeting by following the instructions available on the meeting website during the meeting. However, even if you participate in the virtual meeting, we ask you to please vote your shares in advance of the 2025 Annual Meeting so that we can be assured of having a quorum present at the 2025 Annual Meeting and so that your shares may be voted in accordance with your wishes, even if you later decide to participate in the 2025 Annual Meeting.</w:t>
      </w:r>
    </w:p>
    <w:p>
      <w:pPr>
        <w:spacing w:after="0" w:line="157" w:lineRule="exact"/>
        <w:rPr>
          <w:rFonts w:ascii="Arial" w:cs="Arial" w:eastAsia="Arial" w:hAnsi="Arial"/>
          <w:sz w:val="15"/>
          <w:szCs w:val="15"/>
          <w:color w:val="444A54"/>
        </w:rPr>
      </w:pPr>
    </w:p>
    <w:p>
      <w:pPr>
        <w:ind w:left="300" w:right="220"/>
        <w:spacing w:after="0" w:line="255" w:lineRule="auto"/>
        <w:rPr>
          <w:rFonts w:ascii="Arial" w:cs="Arial" w:eastAsia="Arial" w:hAnsi="Arial"/>
          <w:sz w:val="15"/>
          <w:szCs w:val="15"/>
          <w:color w:val="444A54"/>
        </w:rPr>
      </w:pPr>
      <w:r>
        <w:rPr>
          <w:rFonts w:ascii="Arial" w:cs="Arial" w:eastAsia="Arial" w:hAnsi="Arial"/>
          <w:sz w:val="15"/>
          <w:szCs w:val="15"/>
          <w:color w:val="444A54"/>
        </w:rPr>
        <w:t>If your shares are registered directly in your name with our transfer agent, Continental Stock Transfer &amp; Trust, you are considered a shareholder of record with respect to those shares (“record holder”). If you are a record holder, the Notice was sent to you directly by Broadridge Investor Communication Solutions, Inc. (“Broadridge”). Please carefully consider the information contained in this Proxy Statement and, whether or not you plan to participate in the 2025 Annual Meeting via the Internet, please vote in one of the following ways:</w:t>
      </w:r>
    </w:p>
    <w:p>
      <w:pPr>
        <w:spacing w:after="0" w:line="55" w:lineRule="exact"/>
        <w:rPr>
          <w:rFonts w:ascii="Arial" w:cs="Arial" w:eastAsia="Arial" w:hAnsi="Arial"/>
          <w:sz w:val="15"/>
          <w:szCs w:val="15"/>
          <w:color w:val="444A54"/>
        </w:rPr>
      </w:pPr>
    </w:p>
    <w:p>
      <w:pPr>
        <w:ind w:left="540" w:hanging="240"/>
        <w:spacing w:after="0"/>
        <w:tabs>
          <w:tab w:leader="none" w:pos="540" w:val="left"/>
        </w:tabs>
        <w:numPr>
          <w:ilvl w:val="1"/>
          <w:numId w:val="121"/>
        </w:numPr>
        <w:rPr>
          <w:rFonts w:ascii="Arial" w:cs="Arial" w:eastAsia="Arial" w:hAnsi="Arial"/>
          <w:sz w:val="15"/>
          <w:szCs w:val="15"/>
          <w:color w:val="444A54"/>
        </w:rPr>
      </w:pPr>
      <w:r>
        <w:rPr>
          <w:rFonts w:ascii="Arial" w:cs="Arial" w:eastAsia="Arial" w:hAnsi="Arial"/>
          <w:sz w:val="15"/>
          <w:szCs w:val="15"/>
          <w:color w:val="444A54"/>
        </w:rPr>
        <w:t>Internet: Access www.proxyvote.com (you will need the control number from your Notice) and follow the instructions on the Notice; or</w:t>
      </w:r>
    </w:p>
    <w:p>
      <w:pPr>
        <w:spacing w:after="0" w:line="90" w:lineRule="exact"/>
        <w:rPr>
          <w:rFonts w:ascii="Arial" w:cs="Arial" w:eastAsia="Arial" w:hAnsi="Arial"/>
          <w:sz w:val="15"/>
          <w:szCs w:val="15"/>
          <w:color w:val="444A54"/>
        </w:rPr>
      </w:pPr>
    </w:p>
    <w:p>
      <w:pPr>
        <w:ind w:left="540" w:right="980" w:hanging="240"/>
        <w:spacing w:after="0" w:line="279" w:lineRule="auto"/>
        <w:tabs>
          <w:tab w:leader="none" w:pos="540" w:val="left"/>
        </w:tabs>
        <w:numPr>
          <w:ilvl w:val="1"/>
          <w:numId w:val="121"/>
        </w:numPr>
        <w:rPr>
          <w:rFonts w:ascii="Arial" w:cs="Arial" w:eastAsia="Arial" w:hAnsi="Arial"/>
          <w:sz w:val="15"/>
          <w:szCs w:val="15"/>
          <w:color w:val="444A54"/>
        </w:rPr>
      </w:pPr>
      <w:r>
        <w:rPr>
          <w:rFonts w:ascii="Arial" w:cs="Arial" w:eastAsia="Arial" w:hAnsi="Arial"/>
          <w:sz w:val="15"/>
          <w:szCs w:val="15"/>
          <w:color w:val="444A54"/>
        </w:rPr>
        <w:t>Telephone: In the United States or Canada, call the toll-free number specified after accessing the Proxy Materials on www.proxyvote.com or on the proxy card that you receive if you requested printed copies of the Proxy Materials; or</w:t>
      </w:r>
    </w:p>
    <w:p>
      <w:pPr>
        <w:spacing w:after="0" w:line="36" w:lineRule="exact"/>
        <w:rPr>
          <w:rFonts w:ascii="Arial" w:cs="Arial" w:eastAsia="Arial" w:hAnsi="Arial"/>
          <w:sz w:val="15"/>
          <w:szCs w:val="15"/>
          <w:color w:val="444A54"/>
        </w:rPr>
      </w:pPr>
    </w:p>
    <w:p>
      <w:pPr>
        <w:ind w:left="540" w:hanging="240"/>
        <w:spacing w:after="0"/>
        <w:tabs>
          <w:tab w:leader="none" w:pos="540" w:val="left"/>
        </w:tabs>
        <w:numPr>
          <w:ilvl w:val="1"/>
          <w:numId w:val="121"/>
        </w:numPr>
        <w:rPr>
          <w:rFonts w:ascii="Arial" w:cs="Arial" w:eastAsia="Arial" w:hAnsi="Arial"/>
          <w:sz w:val="15"/>
          <w:szCs w:val="15"/>
          <w:color w:val="444A54"/>
        </w:rPr>
      </w:pPr>
      <w:r>
        <w:rPr>
          <w:rFonts w:ascii="Arial" w:cs="Arial" w:eastAsia="Arial" w:hAnsi="Arial"/>
          <w:sz w:val="15"/>
          <w:szCs w:val="15"/>
          <w:color w:val="444A54"/>
        </w:rPr>
        <w:t>Mail: Request paper copies of the Proxy Materials which will include a proxy card that includes instructions for voting by mail.</w:t>
      </w:r>
    </w:p>
    <w:p>
      <w:pPr>
        <w:spacing w:after="0" w:line="90" w:lineRule="exact"/>
        <w:rPr>
          <w:sz w:val="20"/>
          <w:szCs w:val="20"/>
          <w:color w:val="auto"/>
        </w:rPr>
      </w:pPr>
    </w:p>
    <w:p>
      <w:pPr>
        <w:ind w:left="300" w:right="400"/>
        <w:spacing w:after="0" w:line="279" w:lineRule="auto"/>
        <w:rPr>
          <w:sz w:val="20"/>
          <w:szCs w:val="20"/>
          <w:color w:val="auto"/>
        </w:rPr>
      </w:pPr>
      <w:r>
        <w:rPr>
          <w:rFonts w:ascii="Arial" w:cs="Arial" w:eastAsia="Arial" w:hAnsi="Arial"/>
          <w:sz w:val="15"/>
          <w:szCs w:val="15"/>
          <w:color w:val="444A54"/>
        </w:rPr>
        <w:t>If your shares are held by a broker, bank or other nominee (this is called “street name”), your broker, bank or other nominee will send you instructions for voting those shares. Many (but not all) brokerage firms, banks and other nominees participate in a program that offers various voting options.</w:t>
      </w:r>
    </w:p>
    <w:p>
      <w:pPr>
        <w:spacing w:after="0" w:line="130" w:lineRule="exact"/>
        <w:rPr>
          <w:sz w:val="20"/>
          <w:szCs w:val="20"/>
          <w:color w:val="auto"/>
        </w:rPr>
      </w:pPr>
    </w:p>
    <w:p>
      <w:pPr>
        <w:ind w:left="300" w:hanging="300"/>
        <w:spacing w:after="0" w:line="291" w:lineRule="auto"/>
        <w:tabs>
          <w:tab w:leader="none" w:pos="300" w:val="left"/>
        </w:tabs>
        <w:numPr>
          <w:ilvl w:val="0"/>
          <w:numId w:val="122"/>
        </w:numPr>
        <w:rPr>
          <w:rFonts w:ascii="Arial" w:cs="Arial" w:eastAsia="Arial" w:hAnsi="Arial"/>
          <w:sz w:val="21"/>
          <w:szCs w:val="21"/>
          <w:b w:val="1"/>
          <w:bCs w:val="1"/>
          <w:i w:val="1"/>
          <w:iCs w:val="1"/>
          <w:color w:val="017AB5"/>
        </w:rPr>
      </w:pPr>
      <w:r>
        <w:rPr>
          <w:rFonts w:ascii="Arial" w:cs="Arial" w:eastAsia="Arial" w:hAnsi="Arial"/>
          <w:sz w:val="21"/>
          <w:szCs w:val="21"/>
          <w:b w:val="1"/>
          <w:bCs w:val="1"/>
          <w:i w:val="1"/>
          <w:iCs w:val="1"/>
          <w:color w:val="017AB5"/>
        </w:rPr>
        <w:t>If I vote prior to the 2025 Annual Meeting, can I still gain access to and participate in the 2025 Annual Meeting and vote at the 2025 Annual Meeting if I so choose?</w:t>
      </w:r>
    </w:p>
    <w:p>
      <w:pPr>
        <w:spacing w:after="0" w:line="109" w:lineRule="exact"/>
        <w:rPr>
          <w:sz w:val="20"/>
          <w:szCs w:val="20"/>
          <w:color w:val="auto"/>
        </w:rPr>
      </w:pPr>
    </w:p>
    <w:p>
      <w:pPr>
        <w:ind w:left="300" w:right="380" w:hanging="300"/>
        <w:spacing w:after="0" w:line="279" w:lineRule="auto"/>
        <w:tabs>
          <w:tab w:leader="none" w:pos="300" w:val="left"/>
        </w:tabs>
        <w:numPr>
          <w:ilvl w:val="0"/>
          <w:numId w:val="123"/>
        </w:numPr>
        <w:rPr>
          <w:rFonts w:ascii="Arial" w:cs="Arial" w:eastAsia="Arial" w:hAnsi="Arial"/>
          <w:sz w:val="15"/>
          <w:szCs w:val="15"/>
          <w:color w:val="444A54"/>
        </w:rPr>
      </w:pPr>
      <w:r>
        <w:rPr>
          <w:rFonts w:ascii="Arial" w:cs="Arial" w:eastAsia="Arial" w:hAnsi="Arial"/>
          <w:sz w:val="15"/>
          <w:szCs w:val="15"/>
          <w:color w:val="444A54"/>
        </w:rPr>
        <w:t>Yes. If you are a shareholder of record, voting in advance of the 2025 Annual Meeting will not limit your right to vote at the virtual 2025 Annual Meeting if you so choose.</w:t>
      </w:r>
    </w:p>
    <w:p>
      <w:pPr>
        <w:spacing w:after="0" w:line="136" w:lineRule="exact"/>
        <w:rPr>
          <w:rFonts w:ascii="Arial" w:cs="Arial" w:eastAsia="Arial" w:hAnsi="Arial"/>
          <w:sz w:val="15"/>
          <w:szCs w:val="15"/>
          <w:color w:val="444A54"/>
        </w:rPr>
      </w:pPr>
    </w:p>
    <w:p>
      <w:pPr>
        <w:ind w:left="300" w:right="240"/>
        <w:spacing w:after="0" w:line="255" w:lineRule="auto"/>
        <w:rPr>
          <w:rFonts w:ascii="Arial" w:cs="Arial" w:eastAsia="Arial" w:hAnsi="Arial"/>
          <w:sz w:val="15"/>
          <w:szCs w:val="15"/>
          <w:color w:val="444A54"/>
        </w:rPr>
      </w:pPr>
      <w:r>
        <w:rPr>
          <w:rFonts w:ascii="Arial" w:cs="Arial" w:eastAsia="Arial" w:hAnsi="Arial"/>
          <w:sz w:val="15"/>
          <w:szCs w:val="15"/>
          <w:color w:val="444A54"/>
        </w:rPr>
        <w:t>As indicated, we are hosting the 2025 Annual Meeting exclusively online. There will be no physical location at which shareholders may attend the 2025 Annual Meeting, but shareholders may gain access to and participate in the 2025 Annual Meeting electronically. Shareholders eligible to gain access to and participate in the virtual Annual Meeting will be deemed to be present in person and will be able to vote during the 2025 Annual Meeting, during the times that the voting polls are open, if they so choose.</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May I change or revoke my proxy after I have delivered my proxy?</w:t>
      </w:r>
    </w:p>
    <w:p>
      <w:pPr>
        <w:spacing w:after="0" w:line="203" w:lineRule="exact"/>
        <w:rPr>
          <w:sz w:val="20"/>
          <w:szCs w:val="20"/>
          <w:color w:val="auto"/>
        </w:rPr>
      </w:pPr>
    </w:p>
    <w:p>
      <w:pPr>
        <w:ind w:left="300" w:right="440" w:hanging="300"/>
        <w:spacing w:after="0" w:line="255" w:lineRule="auto"/>
        <w:tabs>
          <w:tab w:leader="none" w:pos="300" w:val="left"/>
        </w:tabs>
        <w:numPr>
          <w:ilvl w:val="0"/>
          <w:numId w:val="124"/>
        </w:numPr>
        <w:rPr>
          <w:rFonts w:ascii="Arial" w:cs="Arial" w:eastAsia="Arial" w:hAnsi="Arial"/>
          <w:sz w:val="15"/>
          <w:szCs w:val="15"/>
          <w:color w:val="444A54"/>
        </w:rPr>
      </w:pPr>
      <w:r>
        <w:rPr>
          <w:rFonts w:ascii="Arial" w:cs="Arial" w:eastAsia="Arial" w:hAnsi="Arial"/>
          <w:sz w:val="15"/>
          <w:szCs w:val="15"/>
          <w:color w:val="444A54"/>
        </w:rPr>
        <w:t>Yes. You may change or revoke your proxy at any time before the voting polls close at the 2025 Annual Meeting by submitting a subsequent proxy with a later date by Internet, telephone or mail or by sending our Corporate Secretary a written revocation. Any previously submitted proxy also will be considered revoked if you participate in the virtual 2025 Annual Meeting and vote via the virtual portal (see If I vote prior to the 2025 Annual Meeting, can I still gain access to and participate in the 2025 Annual Meeting and vote at the 2025 Annual Meeting if I so choose).</w:t>
      </w:r>
    </w:p>
    <w:p>
      <w:pPr>
        <w:spacing w:after="0" w:line="155" w:lineRule="exact"/>
        <w:rPr>
          <w:rFonts w:ascii="Arial" w:cs="Arial" w:eastAsia="Arial" w:hAnsi="Arial"/>
          <w:sz w:val="15"/>
          <w:szCs w:val="15"/>
          <w:color w:val="444A54"/>
        </w:rPr>
      </w:pPr>
    </w:p>
    <w:p>
      <w:pPr>
        <w:ind w:left="300" w:right="400"/>
        <w:spacing w:after="0" w:line="279" w:lineRule="auto"/>
        <w:rPr>
          <w:rFonts w:ascii="Arial" w:cs="Arial" w:eastAsia="Arial" w:hAnsi="Arial"/>
          <w:sz w:val="15"/>
          <w:szCs w:val="15"/>
          <w:color w:val="444A54"/>
        </w:rPr>
      </w:pPr>
      <w:r>
        <w:rPr>
          <w:rFonts w:ascii="Arial" w:cs="Arial" w:eastAsia="Arial" w:hAnsi="Arial"/>
          <w:sz w:val="15"/>
          <w:szCs w:val="15"/>
          <w:color w:val="444A54"/>
        </w:rPr>
        <w:t>If your shares are held in street name by a broker, bank or other nominee, you must contact your broker, bank or other nominee in order to change your vote or obtain a proxy to vote your shares if you wish to cast your vote during the virtual 2025 Annual Meeting.</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72" w:name="page73"/>
    <w:bookmarkEnd w:id="72"/>
    <w:p>
      <w:pPr>
        <w:spacing w:after="0"/>
        <w:rPr>
          <w:sz w:val="20"/>
          <w:szCs w:val="20"/>
          <w:color w:val="auto"/>
        </w:rPr>
      </w:pPr>
      <w:r>
        <w:rPr>
          <w:rFonts w:ascii="Arial" w:cs="Arial" w:eastAsia="Arial" w:hAnsi="Arial"/>
          <w:sz w:val="21"/>
          <w:szCs w:val="21"/>
          <w:b w:val="1"/>
          <w:bCs w:val="1"/>
          <w:i w:val="1"/>
          <w:iCs w:val="1"/>
          <w:color w:val="017AB5"/>
        </w:rPr>
        <w:t>Q: Is cumulative voting allowed? Do I have dissenters’ or appraisal rights?</w:t>
      </w:r>
    </w:p>
    <w:p>
      <w:pPr>
        <w:spacing w:after="0" w:line="203" w:lineRule="exact"/>
        <w:rPr>
          <w:sz w:val="20"/>
          <w:szCs w:val="20"/>
          <w:color w:val="auto"/>
        </w:rPr>
      </w:pPr>
    </w:p>
    <w:p>
      <w:pPr>
        <w:ind w:left="300" w:right="540" w:hanging="300"/>
        <w:spacing w:after="0" w:line="279" w:lineRule="auto"/>
        <w:tabs>
          <w:tab w:leader="none" w:pos="300" w:val="left"/>
        </w:tabs>
        <w:numPr>
          <w:ilvl w:val="0"/>
          <w:numId w:val="125"/>
        </w:numPr>
        <w:rPr>
          <w:rFonts w:ascii="Arial" w:cs="Arial" w:eastAsia="Arial" w:hAnsi="Arial"/>
          <w:sz w:val="15"/>
          <w:szCs w:val="15"/>
          <w:color w:val="444A54"/>
        </w:rPr>
      </w:pPr>
      <w:r>
        <w:rPr>
          <w:rFonts w:ascii="Arial" w:cs="Arial" w:eastAsia="Arial" w:hAnsi="Arial"/>
          <w:sz w:val="15"/>
          <w:szCs w:val="15"/>
          <w:color w:val="444A54"/>
        </w:rPr>
        <w:t>No. Cumulative voting rights are not authorized, and dissenters’ rights and rights of appraisal are not applicable to any of the matters being voted upon at the 2025 Annual Meeting.</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What are broker votes and broker nonvotes? How are they treated?</w:t>
      </w:r>
    </w:p>
    <w:p>
      <w:pPr>
        <w:spacing w:after="0" w:line="203" w:lineRule="exact"/>
        <w:rPr>
          <w:sz w:val="20"/>
          <w:szCs w:val="20"/>
          <w:color w:val="auto"/>
        </w:rPr>
      </w:pPr>
    </w:p>
    <w:p>
      <w:pPr>
        <w:ind w:left="300" w:right="220" w:hanging="300"/>
        <w:spacing w:after="0" w:line="252" w:lineRule="auto"/>
        <w:tabs>
          <w:tab w:leader="none" w:pos="300" w:val="left"/>
        </w:tabs>
        <w:numPr>
          <w:ilvl w:val="0"/>
          <w:numId w:val="126"/>
        </w:numPr>
        <w:rPr>
          <w:rFonts w:ascii="Arial" w:cs="Arial" w:eastAsia="Arial" w:hAnsi="Arial"/>
          <w:sz w:val="15"/>
          <w:szCs w:val="15"/>
          <w:color w:val="444A54"/>
        </w:rPr>
      </w:pPr>
      <w:r>
        <w:rPr>
          <w:rFonts w:ascii="Arial" w:cs="Arial" w:eastAsia="Arial" w:hAnsi="Arial"/>
          <w:sz w:val="15"/>
          <w:szCs w:val="15"/>
          <w:color w:val="444A54"/>
        </w:rPr>
        <w:t>On certain “routine” matters, brokerage firms have discretionary authority under applicable stock exchange rules to vote their customers’ shares if their customers do not provide voting instructions. When a brokerage firm votes its customers’ shares on a “routine” matter without receiving voting instructions (referred to as a “broker vote”), these shares are counted both for establishing a quorum to conduct business at the 2025 Annual Meeting and in determining the number of shares voted “FOR” or “AGAINST” the “routine” matter. For purposes of the 2025 Annual Meeting, Proposal 4 (the ratification of the appointment of PwC as our independent registered public accounting firm for 2025) is considered a “routine” matter.</w:t>
      </w:r>
    </w:p>
    <w:p>
      <w:pPr>
        <w:spacing w:after="0" w:line="157" w:lineRule="exact"/>
        <w:rPr>
          <w:rFonts w:ascii="Arial" w:cs="Arial" w:eastAsia="Arial" w:hAnsi="Arial"/>
          <w:sz w:val="15"/>
          <w:szCs w:val="15"/>
          <w:color w:val="444A54"/>
        </w:rPr>
      </w:pPr>
    </w:p>
    <w:p>
      <w:pPr>
        <w:ind w:left="300"/>
        <w:spacing w:after="0"/>
        <w:rPr>
          <w:rFonts w:ascii="Arial" w:cs="Arial" w:eastAsia="Arial" w:hAnsi="Arial"/>
          <w:sz w:val="15"/>
          <w:szCs w:val="15"/>
          <w:color w:val="444A54"/>
        </w:rPr>
      </w:pPr>
      <w:r>
        <w:rPr>
          <w:rFonts w:ascii="Arial" w:cs="Arial" w:eastAsia="Arial" w:hAnsi="Arial"/>
          <w:sz w:val="15"/>
          <w:szCs w:val="15"/>
          <w:color w:val="444A54"/>
        </w:rPr>
        <w:t>Under applicable stock exchange rules, Proposal 1: the election of directors, Proposal 2: the approval of the advisory (nonbinding) vote on the compensation paid</w:t>
      </w:r>
    </w:p>
    <w:p>
      <w:pPr>
        <w:spacing w:after="0" w:line="16" w:lineRule="exact"/>
        <w:rPr>
          <w:rFonts w:ascii="Arial" w:cs="Arial" w:eastAsia="Arial" w:hAnsi="Arial"/>
          <w:sz w:val="15"/>
          <w:szCs w:val="15"/>
          <w:color w:val="444A54"/>
        </w:rPr>
      </w:pPr>
    </w:p>
    <w:p>
      <w:pPr>
        <w:ind w:left="300" w:right="240"/>
        <w:spacing w:after="0" w:line="246" w:lineRule="auto"/>
        <w:rPr>
          <w:rFonts w:ascii="Arial" w:cs="Arial" w:eastAsia="Arial" w:hAnsi="Arial"/>
          <w:sz w:val="15"/>
          <w:szCs w:val="15"/>
          <w:color w:val="444A54"/>
        </w:rPr>
      </w:pPr>
      <w:r>
        <w:rPr>
          <w:rFonts w:ascii="Arial" w:cs="Arial" w:eastAsia="Arial" w:hAnsi="Arial"/>
          <w:sz w:val="15"/>
          <w:szCs w:val="15"/>
          <w:color w:val="444A54"/>
        </w:rPr>
        <w:t>to our Named Executive Officers say-on-pay proposal and Proposal 3: the approval of the advisory (nonbinding) vote on the frequency of the advisory vote on executive compensation are considered “nonroutine” matters for which brokerage firms do not have discretionary authority to vote their customers’ shares if their customers did not provide voting instructions (referred to as a “broker nonvote”). Therefore, for purposes of the 2025 Annual Meeting, if you hold your stock through a brokerage account, your brokerage firm may not vote your shares on your behalf on Proposal 1, Proposal 2 or Proposal 3 without receiving instructions from you. When a brokerage firm does not have the authority to vote its customers’ shares or does not exercise its authority, these situations are referred to as broker nonvotes. Broker nonvotes are only counted for establishing a quorum but will not be counted as votes cast either in favor of or against a particular proposal. If a quorum is present, broker nonvotes will have no effect on the outcome of Proposal 1, Proposal 2 or Proposal 3.</w:t>
      </w:r>
    </w:p>
    <w:p>
      <w:pPr>
        <w:spacing w:after="0" w:line="162" w:lineRule="exact"/>
        <w:rPr>
          <w:sz w:val="20"/>
          <w:szCs w:val="20"/>
          <w:color w:val="auto"/>
        </w:rPr>
      </w:pPr>
    </w:p>
    <w:p>
      <w:pPr>
        <w:ind w:left="360" w:right="400"/>
        <w:spacing w:after="0" w:line="279" w:lineRule="auto"/>
        <w:rPr>
          <w:sz w:val="20"/>
          <w:szCs w:val="20"/>
          <w:color w:val="auto"/>
        </w:rPr>
      </w:pPr>
      <w:r>
        <w:rPr>
          <w:rFonts w:ascii="Arial" w:cs="Arial" w:eastAsia="Arial" w:hAnsi="Arial"/>
          <w:sz w:val="15"/>
          <w:szCs w:val="15"/>
          <w:color w:val="444A54"/>
        </w:rPr>
        <w:t>We encourage you to provide instructions to your brokerage firm, bank or other nominee by voting your proxy. This action ensures your shares will be voted at the 2025 Annual Meeting on all matters being considered.</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What if I “ABSTAIN” from voting? How are abstentions treated?</w:t>
      </w:r>
    </w:p>
    <w:p>
      <w:pPr>
        <w:spacing w:after="0" w:line="203" w:lineRule="exact"/>
        <w:rPr>
          <w:sz w:val="20"/>
          <w:szCs w:val="20"/>
          <w:color w:val="auto"/>
        </w:rPr>
      </w:pPr>
    </w:p>
    <w:p>
      <w:pPr>
        <w:ind w:left="360" w:right="200" w:hanging="310"/>
        <w:spacing w:after="0" w:line="274" w:lineRule="auto"/>
        <w:tabs>
          <w:tab w:leader="none" w:pos="360" w:val="left"/>
        </w:tabs>
        <w:numPr>
          <w:ilvl w:val="0"/>
          <w:numId w:val="127"/>
        </w:numPr>
        <w:rPr>
          <w:rFonts w:ascii="Arial" w:cs="Arial" w:eastAsia="Arial" w:hAnsi="Arial"/>
          <w:sz w:val="14"/>
          <w:szCs w:val="14"/>
          <w:color w:val="444A54"/>
        </w:rPr>
      </w:pPr>
      <w:r>
        <w:rPr>
          <w:rFonts w:ascii="Arial" w:cs="Arial" w:eastAsia="Arial" w:hAnsi="Arial"/>
          <w:sz w:val="14"/>
          <w:szCs w:val="14"/>
          <w:color w:val="444A54"/>
        </w:rPr>
        <w:t>You have the option to “ABSTAIN” from voting with respect to Proposal 2 (the approval of the advisory (nonbinding) vote on the compensation paid to our Named Executive Officers (say-on-pay proposal)), Proposal 3 (the approval of the advisory (nonbinding) vote regarding the frequency of the advisory vote on executive compensation (say-on-pay frequency vote)) and Proposal 4 (the ratification of the appointment of PwC as our independent registered public accounting firm for 2025). Abstentions are treated as shares that are present and entitled to vote for purposes of establishing a quorum but will not be counted as votes cast either in favor of or against a particular proposal. If a quorum is present, abstentions will have no effect on the outcome of Proposal 2, Proposal 3 or Proposal 4.</w:t>
      </w:r>
    </w:p>
    <w:p>
      <w:pPr>
        <w:spacing w:after="0" w:line="138" w:lineRule="exact"/>
        <w:rPr>
          <w:sz w:val="20"/>
          <w:szCs w:val="20"/>
          <w:color w:val="auto"/>
        </w:rPr>
      </w:pPr>
    </w:p>
    <w:p>
      <w:pPr>
        <w:jc w:val="both"/>
        <w:ind w:left="300" w:hanging="300"/>
        <w:spacing w:after="0" w:line="270" w:lineRule="auto"/>
        <w:tabs>
          <w:tab w:leader="none" w:pos="300" w:val="left"/>
        </w:tabs>
        <w:numPr>
          <w:ilvl w:val="0"/>
          <w:numId w:val="128"/>
        </w:numPr>
        <w:rPr>
          <w:rFonts w:ascii="Arial" w:cs="Arial" w:eastAsia="Arial" w:hAnsi="Arial"/>
          <w:sz w:val="21"/>
          <w:szCs w:val="21"/>
          <w:b w:val="1"/>
          <w:bCs w:val="1"/>
          <w:i w:val="1"/>
          <w:iCs w:val="1"/>
          <w:color w:val="017AB5"/>
        </w:rPr>
      </w:pPr>
      <w:r>
        <w:rPr>
          <w:rFonts w:ascii="Arial" w:cs="Arial" w:eastAsia="Arial" w:hAnsi="Arial"/>
          <w:sz w:val="21"/>
          <w:szCs w:val="21"/>
          <w:b w:val="1"/>
          <w:bCs w:val="1"/>
          <w:i w:val="1"/>
          <w:iCs w:val="1"/>
          <w:color w:val="017AB5"/>
        </w:rPr>
        <w:t>How will my shares be voted if I return my proxy card or vote via telephone or Internet? What if I return my proxy card but do not provide voting instructions or if I complete the telephone or Internet voting procedures but do not specify how I want to vote my shares?</w:t>
      </w:r>
    </w:p>
    <w:p>
      <w:pPr>
        <w:spacing w:after="0" w:line="130" w:lineRule="exact"/>
        <w:rPr>
          <w:sz w:val="20"/>
          <w:szCs w:val="20"/>
          <w:color w:val="auto"/>
        </w:rPr>
      </w:pPr>
    </w:p>
    <w:p>
      <w:pPr>
        <w:ind w:left="300" w:right="640" w:hanging="300"/>
        <w:spacing w:after="0" w:line="279" w:lineRule="auto"/>
        <w:tabs>
          <w:tab w:leader="none" w:pos="300" w:val="left"/>
        </w:tabs>
        <w:numPr>
          <w:ilvl w:val="0"/>
          <w:numId w:val="129"/>
        </w:numPr>
        <w:rPr>
          <w:rFonts w:ascii="Arial" w:cs="Arial" w:eastAsia="Arial" w:hAnsi="Arial"/>
          <w:sz w:val="15"/>
          <w:szCs w:val="15"/>
          <w:color w:val="444A54"/>
        </w:rPr>
      </w:pPr>
      <w:r>
        <w:rPr>
          <w:rFonts w:ascii="Arial" w:cs="Arial" w:eastAsia="Arial" w:hAnsi="Arial"/>
          <w:sz w:val="15"/>
          <w:szCs w:val="15"/>
          <w:color w:val="444A54"/>
        </w:rPr>
        <w:t>Our Board has named H. Lynn Harton, Chairman, President and CEO, and Thomas A. Richlovsky, Lead Director, as official proxy holders. They will vote all proxies, or record an abstention or withholding, in accordance with the directions on the proxy.</w:t>
      </w:r>
    </w:p>
    <w:p>
      <w:pPr>
        <w:spacing w:after="0" w:line="136" w:lineRule="exact"/>
        <w:rPr>
          <w:rFonts w:ascii="Arial" w:cs="Arial" w:eastAsia="Arial" w:hAnsi="Arial"/>
          <w:sz w:val="15"/>
          <w:szCs w:val="15"/>
          <w:color w:val="444A54"/>
        </w:rPr>
      </w:pPr>
    </w:p>
    <w:p>
      <w:pPr>
        <w:ind w:left="300"/>
        <w:spacing w:after="0"/>
        <w:rPr>
          <w:rFonts w:ascii="Arial" w:cs="Arial" w:eastAsia="Arial" w:hAnsi="Arial"/>
          <w:sz w:val="15"/>
          <w:szCs w:val="15"/>
          <w:color w:val="444A54"/>
        </w:rPr>
      </w:pPr>
      <w:r>
        <w:rPr>
          <w:rFonts w:ascii="Arial" w:cs="Arial" w:eastAsia="Arial" w:hAnsi="Arial"/>
          <w:sz w:val="15"/>
          <w:szCs w:val="15"/>
          <w:color w:val="444A54"/>
        </w:rPr>
        <w:t>All shares represented by properly executed proxies, unless previously revoked, will be voted at the 2025 Annual Meeting as you direct.</w:t>
      </w:r>
    </w:p>
    <w:p>
      <w:pPr>
        <w:spacing w:after="0" w:line="190" w:lineRule="exact"/>
        <w:rPr>
          <w:rFonts w:ascii="Arial" w:cs="Arial" w:eastAsia="Arial" w:hAnsi="Arial"/>
          <w:sz w:val="15"/>
          <w:szCs w:val="15"/>
          <w:color w:val="444A54"/>
        </w:rPr>
      </w:pPr>
    </w:p>
    <w:p>
      <w:pPr>
        <w:ind w:left="300" w:right="320"/>
        <w:spacing w:after="0" w:line="279" w:lineRule="auto"/>
        <w:rPr>
          <w:rFonts w:ascii="Arial" w:cs="Arial" w:eastAsia="Arial" w:hAnsi="Arial"/>
          <w:sz w:val="15"/>
          <w:szCs w:val="15"/>
          <w:color w:val="444A54"/>
        </w:rPr>
      </w:pPr>
      <w:r>
        <w:rPr>
          <w:rFonts w:ascii="Arial" w:cs="Arial" w:eastAsia="Arial" w:hAnsi="Arial"/>
          <w:sz w:val="15"/>
          <w:szCs w:val="15"/>
          <w:color w:val="444A54"/>
        </w:rPr>
        <w:t>If you sign and return your proxy card but give no direction or complete the telephone or Internet voting procedures but do not specify how you want to vote your shares, the shares will be voted in the following manner:</w:t>
      </w:r>
    </w:p>
    <w:p>
      <w:pPr>
        <w:spacing w:after="0" w:line="36" w:lineRule="exact"/>
        <w:rPr>
          <w:rFonts w:ascii="Arial" w:cs="Arial" w:eastAsia="Arial" w:hAnsi="Arial"/>
          <w:sz w:val="15"/>
          <w:szCs w:val="15"/>
          <w:color w:val="444A54"/>
        </w:rPr>
      </w:pPr>
    </w:p>
    <w:p>
      <w:pPr>
        <w:ind w:left="540" w:hanging="240"/>
        <w:spacing w:after="0"/>
        <w:tabs>
          <w:tab w:leader="none" w:pos="540" w:val="left"/>
        </w:tabs>
        <w:numPr>
          <w:ilvl w:val="1"/>
          <w:numId w:val="129"/>
        </w:numPr>
        <w:rPr>
          <w:rFonts w:ascii="Arial" w:cs="Arial" w:eastAsia="Arial" w:hAnsi="Arial"/>
          <w:sz w:val="15"/>
          <w:szCs w:val="15"/>
          <w:color w:val="444A54"/>
        </w:rPr>
      </w:pPr>
      <w:r>
        <w:rPr>
          <w:rFonts w:ascii="Arial" w:cs="Arial" w:eastAsia="Arial" w:hAnsi="Arial"/>
          <w:sz w:val="15"/>
          <w:szCs w:val="15"/>
          <w:color w:val="444A54"/>
        </w:rPr>
        <w:t>“FOR ALL” director nominees (Proposal 1);</w:t>
      </w:r>
    </w:p>
    <w:p>
      <w:pPr>
        <w:spacing w:after="0" w:line="90" w:lineRule="exact"/>
        <w:rPr>
          <w:rFonts w:ascii="Arial" w:cs="Arial" w:eastAsia="Arial" w:hAnsi="Arial"/>
          <w:sz w:val="15"/>
          <w:szCs w:val="15"/>
          <w:color w:val="444A54"/>
        </w:rPr>
      </w:pPr>
    </w:p>
    <w:p>
      <w:pPr>
        <w:ind w:left="540" w:hanging="240"/>
        <w:spacing w:after="0"/>
        <w:tabs>
          <w:tab w:leader="none" w:pos="540" w:val="left"/>
        </w:tabs>
        <w:numPr>
          <w:ilvl w:val="1"/>
          <w:numId w:val="129"/>
        </w:numPr>
        <w:rPr>
          <w:rFonts w:ascii="Arial" w:cs="Arial" w:eastAsia="Arial" w:hAnsi="Arial"/>
          <w:sz w:val="15"/>
          <w:szCs w:val="15"/>
          <w:color w:val="444A54"/>
        </w:rPr>
      </w:pPr>
      <w:r>
        <w:rPr>
          <w:rFonts w:ascii="Arial" w:cs="Arial" w:eastAsia="Arial" w:hAnsi="Arial"/>
          <w:sz w:val="15"/>
          <w:szCs w:val="15"/>
          <w:color w:val="444A54"/>
        </w:rPr>
        <w:t>“FOR” the advisory (nonbinding) vote on the compensation paid to our Named Executive Officers (say-on-pay proposal) (Proposal 2);</w:t>
      </w:r>
    </w:p>
    <w:p>
      <w:pPr>
        <w:spacing w:after="0" w:line="90" w:lineRule="exact"/>
        <w:rPr>
          <w:rFonts w:ascii="Arial" w:cs="Arial" w:eastAsia="Arial" w:hAnsi="Arial"/>
          <w:sz w:val="15"/>
          <w:szCs w:val="15"/>
          <w:color w:val="444A54"/>
        </w:rPr>
      </w:pPr>
    </w:p>
    <w:p>
      <w:pPr>
        <w:ind w:left="540" w:hanging="240"/>
        <w:spacing w:after="0"/>
        <w:tabs>
          <w:tab w:leader="none" w:pos="540" w:val="left"/>
        </w:tabs>
        <w:numPr>
          <w:ilvl w:val="1"/>
          <w:numId w:val="129"/>
        </w:numPr>
        <w:rPr>
          <w:rFonts w:ascii="Arial" w:cs="Arial" w:eastAsia="Arial" w:hAnsi="Arial"/>
          <w:sz w:val="15"/>
          <w:szCs w:val="15"/>
          <w:color w:val="444A54"/>
        </w:rPr>
      </w:pPr>
      <w:r>
        <w:rPr>
          <w:rFonts w:ascii="Arial" w:cs="Arial" w:eastAsia="Arial" w:hAnsi="Arial"/>
          <w:sz w:val="15"/>
          <w:szCs w:val="15"/>
          <w:color w:val="444A54"/>
        </w:rPr>
        <w:t>“FOR” submitting a say-on-pay vote proposal to shareholders every year (say-on-pay frequency proposal) (Proposal 3); and</w:t>
      </w:r>
    </w:p>
    <w:p>
      <w:pPr>
        <w:spacing w:after="0" w:line="90" w:lineRule="exact"/>
        <w:rPr>
          <w:rFonts w:ascii="Arial" w:cs="Arial" w:eastAsia="Arial" w:hAnsi="Arial"/>
          <w:sz w:val="15"/>
          <w:szCs w:val="15"/>
          <w:color w:val="444A54"/>
        </w:rPr>
      </w:pPr>
    </w:p>
    <w:p>
      <w:pPr>
        <w:ind w:left="540" w:hanging="240"/>
        <w:spacing w:after="0"/>
        <w:tabs>
          <w:tab w:leader="none" w:pos="540" w:val="left"/>
        </w:tabs>
        <w:numPr>
          <w:ilvl w:val="1"/>
          <w:numId w:val="129"/>
        </w:numPr>
        <w:rPr>
          <w:rFonts w:ascii="Arial" w:cs="Arial" w:eastAsia="Arial" w:hAnsi="Arial"/>
          <w:sz w:val="15"/>
          <w:szCs w:val="15"/>
          <w:color w:val="444A54"/>
        </w:rPr>
      </w:pPr>
      <w:r>
        <w:rPr>
          <w:rFonts w:ascii="Arial" w:cs="Arial" w:eastAsia="Arial" w:hAnsi="Arial"/>
          <w:sz w:val="15"/>
          <w:szCs w:val="15"/>
          <w:color w:val="444A54"/>
        </w:rPr>
        <w:t>“FOR” the ratification of the appointment of PwC as our independent registered public accounting firm for 2025 (Proposal 4).</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73" w:name="page74"/>
    <w:bookmarkEnd w:id="73"/>
    <w:p>
      <w:pPr>
        <w:spacing w:after="0"/>
        <w:rPr>
          <w:sz w:val="20"/>
          <w:szCs w:val="20"/>
          <w:color w:val="auto"/>
        </w:rPr>
      </w:pPr>
      <w:r>
        <w:rPr>
          <w:rFonts w:ascii="Arial" w:cs="Arial" w:eastAsia="Arial" w:hAnsi="Arial"/>
          <w:sz w:val="21"/>
          <w:szCs w:val="21"/>
          <w:b w:val="1"/>
          <w:bCs w:val="1"/>
          <w:i w:val="1"/>
          <w:iCs w:val="1"/>
          <w:color w:val="017AB5"/>
        </w:rPr>
        <w:t>Q: Who will count the votes?</w:t>
      </w:r>
    </w:p>
    <w:p>
      <w:pPr>
        <w:spacing w:after="0" w:line="203" w:lineRule="exact"/>
        <w:rPr>
          <w:sz w:val="20"/>
          <w:szCs w:val="20"/>
          <w:color w:val="auto"/>
        </w:rPr>
      </w:pPr>
    </w:p>
    <w:p>
      <w:pPr>
        <w:ind w:left="300" w:right="740" w:hanging="300"/>
        <w:spacing w:after="0" w:line="279" w:lineRule="auto"/>
        <w:tabs>
          <w:tab w:leader="none" w:pos="300" w:val="left"/>
        </w:tabs>
        <w:numPr>
          <w:ilvl w:val="0"/>
          <w:numId w:val="130"/>
        </w:numPr>
        <w:rPr>
          <w:rFonts w:ascii="Arial" w:cs="Arial" w:eastAsia="Arial" w:hAnsi="Arial"/>
          <w:sz w:val="15"/>
          <w:szCs w:val="15"/>
          <w:color w:val="444A54"/>
        </w:rPr>
      </w:pPr>
      <w:r>
        <w:rPr>
          <w:rFonts w:ascii="Arial" w:cs="Arial" w:eastAsia="Arial" w:hAnsi="Arial"/>
          <w:sz w:val="15"/>
          <w:szCs w:val="15"/>
          <w:color w:val="444A54"/>
        </w:rPr>
        <w:t>A representative of Broadridge will be appointed as an inspector of elections for the 2025 Annual Meeting. That person will tabulate votes cast by proxy or during the 2025 Annual Meeting as well as determine whether a quorum is present.</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Where can I find voting results of the 2025 Annual Meeting?</w:t>
      </w:r>
    </w:p>
    <w:p>
      <w:pPr>
        <w:spacing w:after="0" w:line="203" w:lineRule="exact"/>
        <w:rPr>
          <w:sz w:val="20"/>
          <w:szCs w:val="20"/>
          <w:color w:val="auto"/>
        </w:rPr>
      </w:pPr>
    </w:p>
    <w:p>
      <w:pPr>
        <w:ind w:left="300" w:right="360" w:hanging="300"/>
        <w:spacing w:after="0" w:line="252" w:lineRule="auto"/>
        <w:tabs>
          <w:tab w:leader="none" w:pos="300" w:val="left"/>
        </w:tabs>
        <w:numPr>
          <w:ilvl w:val="0"/>
          <w:numId w:val="131"/>
        </w:numPr>
        <w:rPr>
          <w:rFonts w:ascii="Arial" w:cs="Arial" w:eastAsia="Arial" w:hAnsi="Arial"/>
          <w:sz w:val="15"/>
          <w:szCs w:val="15"/>
          <w:color w:val="444A54"/>
        </w:rPr>
      </w:pPr>
      <w:r>
        <w:rPr>
          <w:rFonts w:ascii="Arial" w:cs="Arial" w:eastAsia="Arial" w:hAnsi="Arial"/>
          <w:sz w:val="15"/>
          <w:szCs w:val="15"/>
          <w:color w:val="444A54"/>
        </w:rPr>
        <w:t>We will announce preliminary voting results at the 2025 Annual Meeting and publish final results on a Current Report on Form 8-K that we expect to file with the SEC within four business days following the 2025 Annual Meeting (a copy of which will be available on our w</w:t>
      </w:r>
      <w:r>
        <w:rPr>
          <w:rFonts w:ascii="Arial" w:cs="Arial" w:eastAsia="Arial" w:hAnsi="Arial"/>
          <w:sz w:val="15"/>
          <w:szCs w:val="15"/>
          <w:color w:val="000000"/>
        </w:rPr>
        <w:t>ebsite, www.ucbi.com,</w:t>
      </w:r>
      <w:r>
        <w:rPr>
          <w:rFonts w:ascii="Arial" w:cs="Arial" w:eastAsia="Arial" w:hAnsi="Arial"/>
          <w:sz w:val="15"/>
          <w:szCs w:val="15"/>
          <w:color w:val="444A54"/>
        </w:rPr>
        <w:t xml:space="preserve"> under Investor Relations &gt; Financial Information). If our final voting results are not available within four business days following the 2025 Annual Meeting, we will file a Current Report on Form 8-K reporting the preliminary voting results and subsequently file the final voting results in an amendment to the Current Report on Form 8-K within four business days after the final voting results are known to us.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Does the Board know of any other matters that might arise at the 2025 Annual Meeting?</w:t>
      </w:r>
    </w:p>
    <w:p>
      <w:pPr>
        <w:spacing w:after="0" w:line="203" w:lineRule="exact"/>
        <w:rPr>
          <w:sz w:val="20"/>
          <w:szCs w:val="20"/>
          <w:color w:val="auto"/>
        </w:rPr>
      </w:pPr>
    </w:p>
    <w:p>
      <w:pPr>
        <w:ind w:left="300" w:right="260" w:hanging="300"/>
        <w:spacing w:after="0" w:line="255" w:lineRule="auto"/>
        <w:tabs>
          <w:tab w:leader="none" w:pos="300" w:val="left"/>
        </w:tabs>
        <w:numPr>
          <w:ilvl w:val="0"/>
          <w:numId w:val="132"/>
        </w:numPr>
        <w:rPr>
          <w:rFonts w:ascii="Arial" w:cs="Arial" w:eastAsia="Arial" w:hAnsi="Arial"/>
          <w:sz w:val="15"/>
          <w:szCs w:val="15"/>
          <w:color w:val="444A54"/>
        </w:rPr>
      </w:pPr>
      <w:r>
        <w:rPr>
          <w:rFonts w:ascii="Arial" w:cs="Arial" w:eastAsia="Arial" w:hAnsi="Arial"/>
          <w:sz w:val="15"/>
          <w:szCs w:val="15"/>
          <w:color w:val="444A54"/>
        </w:rPr>
        <w:t>The Board knows of no matters to be presented at the 2025 Annual Meeting other than those set forth in these Proxy Materials. However, if any other matters do come before the 2025 Annual Meeting, it is intended that the holders of the proxies will vote thereon in their discretion. Any such other matter will require for its approval the affirmative vote of a majority of votes cast by shares represented in person or by proxy and entitled to vote at such 2025 Annual Meeting, provided a quorum is present, or such greater vote as may be required under the Company’s Amended and Restated Articles of Incorporation, Bylaws or applicable law.</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May I propose actions for consideration at the 2025 Annual Meeting?</w:t>
      </w:r>
    </w:p>
    <w:p>
      <w:pPr>
        <w:spacing w:after="0" w:line="203" w:lineRule="exact"/>
        <w:rPr>
          <w:sz w:val="20"/>
          <w:szCs w:val="20"/>
          <w:color w:val="auto"/>
        </w:rPr>
      </w:pPr>
    </w:p>
    <w:p>
      <w:pPr>
        <w:ind w:left="300" w:right="240" w:hanging="300"/>
        <w:spacing w:after="0" w:line="261" w:lineRule="auto"/>
        <w:tabs>
          <w:tab w:leader="none" w:pos="300" w:val="left"/>
        </w:tabs>
        <w:numPr>
          <w:ilvl w:val="0"/>
          <w:numId w:val="133"/>
        </w:numPr>
        <w:rPr>
          <w:rFonts w:ascii="Arial" w:cs="Arial" w:eastAsia="Arial" w:hAnsi="Arial"/>
          <w:sz w:val="15"/>
          <w:szCs w:val="15"/>
          <w:color w:val="444A54"/>
        </w:rPr>
      </w:pPr>
      <w:r>
        <w:rPr>
          <w:rFonts w:ascii="Arial" w:cs="Arial" w:eastAsia="Arial" w:hAnsi="Arial"/>
          <w:sz w:val="15"/>
          <w:szCs w:val="15"/>
          <w:color w:val="444A54"/>
        </w:rPr>
        <w:t>Yes. To propose actions for consideration at the 2025 Annual Meeting you must give timely notice of the business in writing to the Corporate Secretary of the Company. To be timely, your notice must be delivered or mailed to and received at the executive offices of the Company on or before the later to occur of 14 days prior to the 2025 Annual Meeting or five days after this notice is provided to you. Your notice to the Corporate Secretary must set forth:</w:t>
      </w:r>
    </w:p>
    <w:p>
      <w:pPr>
        <w:spacing w:after="0" w:line="50" w:lineRule="exact"/>
        <w:rPr>
          <w:rFonts w:ascii="Arial" w:cs="Arial" w:eastAsia="Arial" w:hAnsi="Arial"/>
          <w:sz w:val="15"/>
          <w:szCs w:val="15"/>
          <w:color w:val="444A54"/>
        </w:rPr>
      </w:pPr>
    </w:p>
    <w:p>
      <w:pPr>
        <w:ind w:left="540" w:right="360" w:hanging="240"/>
        <w:spacing w:after="0" w:line="279" w:lineRule="auto"/>
        <w:tabs>
          <w:tab w:leader="none" w:pos="540" w:val="left"/>
        </w:tabs>
        <w:numPr>
          <w:ilvl w:val="1"/>
          <w:numId w:val="133"/>
        </w:numPr>
        <w:rPr>
          <w:rFonts w:ascii="Arial" w:cs="Arial" w:eastAsia="Arial" w:hAnsi="Arial"/>
          <w:sz w:val="15"/>
          <w:szCs w:val="15"/>
          <w:color w:val="444A54"/>
        </w:rPr>
      </w:pPr>
      <w:r>
        <w:rPr>
          <w:rFonts w:ascii="Arial" w:cs="Arial" w:eastAsia="Arial" w:hAnsi="Arial"/>
          <w:sz w:val="15"/>
          <w:szCs w:val="15"/>
          <w:color w:val="444A54"/>
        </w:rPr>
        <w:t>A brief description of each matter of business that you propose to bring before the 2025 Annual Meeting and the reasons for conducting that business at the meeting;</w:t>
      </w:r>
    </w:p>
    <w:p>
      <w:pPr>
        <w:spacing w:after="0" w:line="36" w:lineRule="exact"/>
        <w:rPr>
          <w:rFonts w:ascii="Arial" w:cs="Arial" w:eastAsia="Arial" w:hAnsi="Arial"/>
          <w:sz w:val="15"/>
          <w:szCs w:val="15"/>
          <w:color w:val="444A54"/>
        </w:rPr>
      </w:pPr>
    </w:p>
    <w:p>
      <w:pPr>
        <w:ind w:left="540" w:hanging="240"/>
        <w:spacing w:after="0"/>
        <w:tabs>
          <w:tab w:leader="none" w:pos="540" w:val="left"/>
        </w:tabs>
        <w:numPr>
          <w:ilvl w:val="1"/>
          <w:numId w:val="133"/>
        </w:numPr>
        <w:rPr>
          <w:rFonts w:ascii="Arial" w:cs="Arial" w:eastAsia="Arial" w:hAnsi="Arial"/>
          <w:sz w:val="15"/>
          <w:szCs w:val="15"/>
          <w:color w:val="444A54"/>
        </w:rPr>
      </w:pPr>
      <w:r>
        <w:rPr>
          <w:rFonts w:ascii="Arial" w:cs="Arial" w:eastAsia="Arial" w:hAnsi="Arial"/>
          <w:sz w:val="15"/>
          <w:szCs w:val="15"/>
          <w:color w:val="444A54"/>
        </w:rPr>
        <w:t>The name under which your shares are held and your address;</w:t>
      </w:r>
    </w:p>
    <w:p>
      <w:pPr>
        <w:spacing w:after="0" w:line="90" w:lineRule="exact"/>
        <w:rPr>
          <w:rFonts w:ascii="Arial" w:cs="Arial" w:eastAsia="Arial" w:hAnsi="Arial"/>
          <w:sz w:val="15"/>
          <w:szCs w:val="15"/>
          <w:color w:val="444A54"/>
        </w:rPr>
      </w:pPr>
    </w:p>
    <w:p>
      <w:pPr>
        <w:ind w:left="540" w:hanging="240"/>
        <w:spacing w:after="0"/>
        <w:tabs>
          <w:tab w:leader="none" w:pos="540" w:val="left"/>
        </w:tabs>
        <w:numPr>
          <w:ilvl w:val="1"/>
          <w:numId w:val="133"/>
        </w:numPr>
        <w:rPr>
          <w:rFonts w:ascii="Arial" w:cs="Arial" w:eastAsia="Arial" w:hAnsi="Arial"/>
          <w:sz w:val="15"/>
          <w:szCs w:val="15"/>
          <w:color w:val="444A54"/>
        </w:rPr>
      </w:pPr>
      <w:r>
        <w:rPr>
          <w:rFonts w:ascii="Arial" w:cs="Arial" w:eastAsia="Arial" w:hAnsi="Arial"/>
          <w:sz w:val="15"/>
          <w:szCs w:val="15"/>
          <w:color w:val="444A54"/>
        </w:rPr>
        <w:t>The series or class and number of shares of our stock that are beneficially owned by you; and</w:t>
      </w:r>
    </w:p>
    <w:p>
      <w:pPr>
        <w:spacing w:after="0" w:line="90" w:lineRule="exact"/>
        <w:rPr>
          <w:rFonts w:ascii="Arial" w:cs="Arial" w:eastAsia="Arial" w:hAnsi="Arial"/>
          <w:sz w:val="15"/>
          <w:szCs w:val="15"/>
          <w:color w:val="444A54"/>
        </w:rPr>
      </w:pPr>
    </w:p>
    <w:p>
      <w:pPr>
        <w:ind w:left="540" w:hanging="240"/>
        <w:spacing w:after="0"/>
        <w:tabs>
          <w:tab w:leader="none" w:pos="540" w:val="left"/>
        </w:tabs>
        <w:numPr>
          <w:ilvl w:val="1"/>
          <w:numId w:val="133"/>
        </w:numPr>
        <w:rPr>
          <w:rFonts w:ascii="Arial" w:cs="Arial" w:eastAsia="Arial" w:hAnsi="Arial"/>
          <w:sz w:val="15"/>
          <w:szCs w:val="15"/>
          <w:color w:val="444A54"/>
        </w:rPr>
      </w:pPr>
      <w:r>
        <w:rPr>
          <w:rFonts w:ascii="Arial" w:cs="Arial" w:eastAsia="Arial" w:hAnsi="Arial"/>
          <w:sz w:val="15"/>
          <w:szCs w:val="15"/>
          <w:color w:val="444A54"/>
        </w:rPr>
        <w:t>Any material interest that you have in the proposed business.</w:t>
      </w:r>
    </w:p>
    <w:p>
      <w:pPr>
        <w:spacing w:after="0" w:line="190" w:lineRule="exact"/>
        <w:rPr>
          <w:sz w:val="20"/>
          <w:szCs w:val="20"/>
          <w:color w:val="auto"/>
        </w:rPr>
      </w:pPr>
    </w:p>
    <w:p>
      <w:pPr>
        <w:ind w:left="300" w:right="600"/>
        <w:spacing w:after="0" w:line="279" w:lineRule="auto"/>
        <w:rPr>
          <w:sz w:val="20"/>
          <w:szCs w:val="20"/>
          <w:color w:val="auto"/>
        </w:rPr>
      </w:pPr>
      <w:r>
        <w:rPr>
          <w:rFonts w:ascii="Arial" w:cs="Arial" w:eastAsia="Arial" w:hAnsi="Arial"/>
          <w:sz w:val="15"/>
          <w:szCs w:val="15"/>
          <w:color w:val="444A54"/>
        </w:rPr>
        <w:t>The chair of the 2025 Annual Meeting shall have the discretion to declare that any business proposed by a shareholder to be considered at the 2025 Annual Meeting is out of order and that such business shall not be transacted at the meeting if:</w:t>
      </w:r>
    </w:p>
    <w:p>
      <w:pPr>
        <w:spacing w:after="0" w:line="37" w:lineRule="exact"/>
        <w:rPr>
          <w:sz w:val="20"/>
          <w:szCs w:val="20"/>
          <w:color w:val="auto"/>
        </w:rPr>
      </w:pPr>
    </w:p>
    <w:p>
      <w:pPr>
        <w:ind w:left="540" w:hanging="240"/>
        <w:spacing w:after="0"/>
        <w:tabs>
          <w:tab w:leader="none" w:pos="540" w:val="left"/>
        </w:tabs>
        <w:numPr>
          <w:ilvl w:val="1"/>
          <w:numId w:val="134"/>
        </w:numPr>
        <w:rPr>
          <w:rFonts w:ascii="Arial" w:cs="Arial" w:eastAsia="Arial" w:hAnsi="Arial"/>
          <w:sz w:val="15"/>
          <w:szCs w:val="15"/>
          <w:color w:val="444A54"/>
        </w:rPr>
      </w:pPr>
      <w:r>
        <w:rPr>
          <w:rFonts w:ascii="Arial" w:cs="Arial" w:eastAsia="Arial" w:hAnsi="Arial"/>
          <w:sz w:val="15"/>
          <w:szCs w:val="15"/>
          <w:color w:val="444A54"/>
        </w:rPr>
        <w:t>The chair concludes that the matter has been proposed in a manner inconsistent with the applicable section of the Bylaws; or</w:t>
      </w:r>
    </w:p>
    <w:p>
      <w:pPr>
        <w:spacing w:after="0" w:line="90" w:lineRule="exact"/>
        <w:rPr>
          <w:rFonts w:ascii="Arial" w:cs="Arial" w:eastAsia="Arial" w:hAnsi="Arial"/>
          <w:sz w:val="15"/>
          <w:szCs w:val="15"/>
          <w:color w:val="444A54"/>
        </w:rPr>
      </w:pPr>
    </w:p>
    <w:p>
      <w:pPr>
        <w:ind w:left="540" w:hanging="240"/>
        <w:spacing w:after="0"/>
        <w:tabs>
          <w:tab w:leader="none" w:pos="540" w:val="left"/>
        </w:tabs>
        <w:numPr>
          <w:ilvl w:val="1"/>
          <w:numId w:val="134"/>
        </w:numPr>
        <w:rPr>
          <w:rFonts w:ascii="Arial" w:cs="Arial" w:eastAsia="Arial" w:hAnsi="Arial"/>
          <w:sz w:val="15"/>
          <w:szCs w:val="15"/>
          <w:color w:val="444A54"/>
        </w:rPr>
      </w:pPr>
      <w:r>
        <w:rPr>
          <w:rFonts w:ascii="Arial" w:cs="Arial" w:eastAsia="Arial" w:hAnsi="Arial"/>
          <w:sz w:val="15"/>
          <w:szCs w:val="15"/>
          <w:color w:val="444A54"/>
        </w:rPr>
        <w:t>The chair concludes that the subject matter of the proposed business is inappropriate for consideration by the shareholders at the 2025 Annual Meeting.</w:t>
      </w:r>
    </w:p>
    <w:p>
      <w:pPr>
        <w:spacing w:after="0" w:line="183" w:lineRule="exact"/>
        <w:rPr>
          <w:rFonts w:ascii="Arial" w:cs="Arial" w:eastAsia="Arial" w:hAnsi="Arial"/>
          <w:sz w:val="15"/>
          <w:szCs w:val="15"/>
          <w:color w:val="444A54"/>
        </w:rPr>
      </w:pPr>
    </w:p>
    <w:p>
      <w:pPr>
        <w:ind w:left="300" w:hanging="300"/>
        <w:spacing w:after="0"/>
        <w:tabs>
          <w:tab w:leader="none" w:pos="300" w:val="left"/>
        </w:tabs>
        <w:numPr>
          <w:ilvl w:val="0"/>
          <w:numId w:val="134"/>
        </w:numPr>
        <w:rPr>
          <w:rFonts w:ascii="Arial" w:cs="Arial" w:eastAsia="Arial" w:hAnsi="Arial"/>
          <w:sz w:val="21"/>
          <w:szCs w:val="21"/>
          <w:b w:val="1"/>
          <w:bCs w:val="1"/>
          <w:i w:val="1"/>
          <w:iCs w:val="1"/>
          <w:color w:val="017AB5"/>
        </w:rPr>
      </w:pPr>
      <w:r>
        <w:rPr>
          <w:rFonts w:ascii="Arial" w:cs="Arial" w:eastAsia="Arial" w:hAnsi="Arial"/>
          <w:sz w:val="21"/>
          <w:szCs w:val="21"/>
          <w:b w:val="1"/>
          <w:bCs w:val="1"/>
          <w:i w:val="1"/>
          <w:iCs w:val="1"/>
          <w:color w:val="017AB5"/>
        </w:rPr>
        <w:t>May I nominate an individual for director to be considered at the 2025 Annual Meeting?</w:t>
      </w:r>
    </w:p>
    <w:p>
      <w:pPr>
        <w:spacing w:after="0" w:line="203" w:lineRule="exact"/>
        <w:rPr>
          <w:sz w:val="20"/>
          <w:szCs w:val="20"/>
          <w:color w:val="auto"/>
        </w:rPr>
      </w:pPr>
    </w:p>
    <w:p>
      <w:pPr>
        <w:ind w:left="300" w:right="400" w:hanging="300"/>
        <w:spacing w:after="0" w:line="274" w:lineRule="auto"/>
        <w:tabs>
          <w:tab w:leader="none" w:pos="300" w:val="left"/>
        </w:tabs>
        <w:numPr>
          <w:ilvl w:val="0"/>
          <w:numId w:val="135"/>
        </w:numPr>
        <w:rPr>
          <w:rFonts w:ascii="Arial" w:cs="Arial" w:eastAsia="Arial" w:hAnsi="Arial"/>
          <w:sz w:val="14"/>
          <w:szCs w:val="14"/>
          <w:color w:val="444A54"/>
        </w:rPr>
      </w:pPr>
      <w:r>
        <w:rPr>
          <w:rFonts w:ascii="Arial" w:cs="Arial" w:eastAsia="Arial" w:hAnsi="Arial"/>
          <w:sz w:val="14"/>
          <w:szCs w:val="14"/>
          <w:color w:val="444A54"/>
        </w:rPr>
        <w:t xml:space="preserve">No. This process is not available for the nomination of an additional individual for director to be considered at the 2025 Annual Meeting. To submit a nominee for consideration at an annual meeting of the Company, you must comply with our Shareholder Nomination and Communication Procedures, which can be found on our website </w:t>
      </w:r>
      <w:r>
        <w:rPr>
          <w:rFonts w:ascii="Arial" w:cs="Arial" w:eastAsia="Arial" w:hAnsi="Arial"/>
          <w:sz w:val="14"/>
          <w:szCs w:val="14"/>
          <w:color w:val="000000"/>
        </w:rPr>
        <w:t>www.ucbi.com</w:t>
      </w:r>
      <w:r>
        <w:rPr>
          <w:rFonts w:ascii="Arial" w:cs="Arial" w:eastAsia="Arial" w:hAnsi="Arial"/>
          <w:sz w:val="14"/>
          <w:szCs w:val="14"/>
          <w:color w:val="444A54"/>
        </w:rPr>
        <w:t xml:space="preserve"> at Investor Relations &gt; Corporate Governance. To have submitted a director nominee for consideration at the 2025 Annual Meeting, your notice (and information required) was required to have been received on or before December 3, 2024, which date was one hundred twenty (120) days before the anniversary date of the Company’s Proxy Statement released to shareholders in connection with our prior year’s (2024) Annual Meeting.</w:t>
      </w:r>
    </w:p>
    <w:p>
      <w:pPr>
        <w:spacing w:after="0" w:line="144" w:lineRule="exact"/>
        <w:rPr>
          <w:rFonts w:ascii="Arial" w:cs="Arial" w:eastAsia="Arial" w:hAnsi="Arial"/>
          <w:sz w:val="14"/>
          <w:szCs w:val="14"/>
          <w:color w:val="444A54"/>
        </w:rPr>
      </w:pPr>
    </w:p>
    <w:p>
      <w:pPr>
        <w:ind w:left="300" w:right="520"/>
        <w:spacing w:after="0" w:line="255" w:lineRule="auto"/>
        <w:rPr>
          <w:rFonts w:ascii="Arial" w:cs="Arial" w:eastAsia="Arial" w:hAnsi="Arial"/>
          <w:sz w:val="14"/>
          <w:szCs w:val="14"/>
          <w:color w:val="444A54"/>
        </w:rPr>
      </w:pPr>
      <w:r>
        <w:rPr>
          <w:rFonts w:ascii="Arial" w:cs="Arial" w:eastAsia="Arial" w:hAnsi="Arial"/>
          <w:sz w:val="15"/>
          <w:szCs w:val="15"/>
          <w:color w:val="444A54"/>
        </w:rPr>
        <w:t>In addition to complying with the procedures described above, shareholders who intend to solicit proxies in support of a director candidate other than the Company’s nominees for consideration by the shareholders at an annual meeting of the Company must also comply with the SEC’s “universal proxy card” rules under Rule 14a-19 of the Exchange Act (“Rule 14a-19”). In the case of the 2025 Annual Meeting, Rule 14a-19 requires shareholders to have provided a notice to the Company no later than March 16, 2025 setting forth all the information and disclosures required by Rule 14a-19.</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4" w:name="page75"/>
    <w:bookmarkEnd w:id="74"/>
    <w:p>
      <w:pPr>
        <w:spacing w:after="0"/>
        <w:rPr>
          <w:sz w:val="20"/>
          <w:szCs w:val="20"/>
          <w:color w:val="auto"/>
        </w:rPr>
      </w:pPr>
      <w:r>
        <w:rPr>
          <w:rFonts w:ascii="Arial" w:cs="Arial" w:eastAsia="Arial" w:hAnsi="Arial"/>
          <w:sz w:val="21"/>
          <w:szCs w:val="21"/>
          <w:b w:val="1"/>
          <w:bCs w:val="1"/>
          <w:i w:val="1"/>
          <w:iCs w:val="1"/>
          <w:color w:val="017AB5"/>
        </w:rPr>
        <w:t>Q: May I ask questions to be addressed at the 2025 Annual Meeting?</w:t>
      </w:r>
    </w:p>
    <w:p>
      <w:pPr>
        <w:spacing w:after="0" w:line="203" w:lineRule="exact"/>
        <w:rPr>
          <w:sz w:val="20"/>
          <w:szCs w:val="20"/>
          <w:color w:val="auto"/>
        </w:rPr>
      </w:pPr>
    </w:p>
    <w:p>
      <w:pPr>
        <w:ind w:left="300" w:hanging="300"/>
        <w:spacing w:after="0" w:line="279" w:lineRule="auto"/>
        <w:tabs>
          <w:tab w:leader="none" w:pos="300" w:val="left"/>
        </w:tabs>
        <w:numPr>
          <w:ilvl w:val="0"/>
          <w:numId w:val="136"/>
        </w:numPr>
        <w:rPr>
          <w:rFonts w:ascii="Arial" w:cs="Arial" w:eastAsia="Arial" w:hAnsi="Arial"/>
          <w:sz w:val="15"/>
          <w:szCs w:val="15"/>
          <w:color w:val="444A54"/>
        </w:rPr>
      </w:pPr>
      <w:r>
        <w:rPr>
          <w:rFonts w:ascii="Arial" w:cs="Arial" w:eastAsia="Arial" w:hAnsi="Arial"/>
          <w:sz w:val="15"/>
          <w:szCs w:val="15"/>
          <w:color w:val="444A54"/>
        </w:rPr>
        <w:t>Yes. You may submit a question to be addressed during the virtual 2025 Annual Meeting at www.virtualshareholdermeeting.com/UCBI2025 in the “Ask a Question” field. Only questions pertinent to matters relative to the 2025 Annual Meeting will be answered, subject to time constraints.</w:t>
      </w:r>
    </w:p>
    <w:p>
      <w:pPr>
        <w:spacing w:after="0" w:line="136" w:lineRule="exact"/>
        <w:rPr>
          <w:rFonts w:ascii="Arial" w:cs="Arial" w:eastAsia="Arial" w:hAnsi="Arial"/>
          <w:sz w:val="15"/>
          <w:szCs w:val="15"/>
          <w:color w:val="444A54"/>
        </w:rPr>
      </w:pPr>
    </w:p>
    <w:p>
      <w:pPr>
        <w:ind w:left="300" w:right="460"/>
        <w:spacing w:after="0" w:line="252" w:lineRule="auto"/>
        <w:rPr>
          <w:rFonts w:ascii="Arial" w:cs="Arial" w:eastAsia="Arial" w:hAnsi="Arial"/>
          <w:sz w:val="15"/>
          <w:szCs w:val="15"/>
          <w:color w:val="444A54"/>
        </w:rPr>
      </w:pPr>
      <w:r>
        <w:rPr>
          <w:rFonts w:ascii="Arial" w:cs="Arial" w:eastAsia="Arial" w:hAnsi="Arial"/>
          <w:sz w:val="15"/>
          <w:szCs w:val="15"/>
          <w:color w:val="444A54"/>
        </w:rPr>
        <w:t>Only shareholders with a valid control number will be allowed to ask questions. Questions pertinent to meeting matters will be answered during the meeting as time allows. If we receive substantially similar written questions, we may group such questions together and provide a single response to avoid repetition and allow time for additional question topics. If we are unable to respond to a shareholder’s properly submitted question due to time constraints, we will respond directly to that shareholder using the contact information provided. Additional information regarding the rules and procedures for participating in the virtual annual meeting will be provided in our meeting rules of conduct, which shareholders can view during the meeting on the meeting platform.</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Whom should I contact with questions about the 2025 Annual Meeting?</w:t>
      </w:r>
    </w:p>
    <w:p>
      <w:pPr>
        <w:spacing w:after="0" w:line="203" w:lineRule="exact"/>
        <w:rPr>
          <w:sz w:val="20"/>
          <w:szCs w:val="20"/>
          <w:color w:val="auto"/>
        </w:rPr>
      </w:pPr>
    </w:p>
    <w:p>
      <w:pPr>
        <w:ind w:left="300" w:right="420" w:hanging="300"/>
        <w:spacing w:after="0" w:line="255" w:lineRule="auto"/>
        <w:tabs>
          <w:tab w:leader="none" w:pos="300" w:val="left"/>
        </w:tabs>
        <w:numPr>
          <w:ilvl w:val="0"/>
          <w:numId w:val="137"/>
        </w:numPr>
        <w:rPr>
          <w:rFonts w:ascii="Arial" w:cs="Arial" w:eastAsia="Arial" w:hAnsi="Arial"/>
          <w:sz w:val="15"/>
          <w:szCs w:val="15"/>
          <w:color w:val="444A54"/>
        </w:rPr>
      </w:pPr>
      <w:r>
        <w:rPr>
          <w:rFonts w:ascii="Arial" w:cs="Arial" w:eastAsia="Arial" w:hAnsi="Arial"/>
          <w:sz w:val="15"/>
          <w:szCs w:val="15"/>
          <w:color w:val="444A54"/>
        </w:rPr>
        <w:t>If you have any questions about this Proxy Statement or the 2025 Annual Meeting, please contact Melinda Davis Lux, our Chief Administrative Officer, General Counsel and Corporate Secretary, in writing at United Community Banks, Inc., 200 East Camperdown Way, Greenville, South Carolina 29601 or by telephone at (866) 270-5900. If you need help at the virtual 2025 Annual Meeting because of a disability, please contact us at least one week in advance of the 2025 Annual Meeting at (866) 270-5900.</w:t>
      </w:r>
    </w:p>
    <w:p>
      <w:pPr>
        <w:spacing w:after="0" w:line="149" w:lineRule="exact"/>
        <w:rPr>
          <w:sz w:val="20"/>
          <w:szCs w:val="20"/>
          <w:color w:val="auto"/>
        </w:rPr>
      </w:pPr>
    </w:p>
    <w:p>
      <w:pPr>
        <w:ind w:left="300" w:hanging="300"/>
        <w:spacing w:after="0" w:line="291" w:lineRule="auto"/>
        <w:tabs>
          <w:tab w:leader="none" w:pos="300" w:val="left"/>
        </w:tabs>
        <w:numPr>
          <w:ilvl w:val="0"/>
          <w:numId w:val="138"/>
        </w:numPr>
        <w:rPr>
          <w:rFonts w:ascii="Arial" w:cs="Arial" w:eastAsia="Arial" w:hAnsi="Arial"/>
          <w:sz w:val="21"/>
          <w:szCs w:val="21"/>
          <w:b w:val="1"/>
          <w:bCs w:val="1"/>
          <w:i w:val="1"/>
          <w:iCs w:val="1"/>
          <w:color w:val="017AB5"/>
        </w:rPr>
      </w:pPr>
      <w:r>
        <w:rPr>
          <w:rFonts w:ascii="Arial" w:cs="Arial" w:eastAsia="Arial" w:hAnsi="Arial"/>
          <w:sz w:val="21"/>
          <w:szCs w:val="21"/>
          <w:b w:val="1"/>
          <w:bCs w:val="1"/>
          <w:i w:val="1"/>
          <w:iCs w:val="1"/>
          <w:color w:val="017AB5"/>
        </w:rPr>
        <w:t>May I propose actions for consideration at the 2026 Annual Meeting of Shareholders or nominate individuals to serve as directors?</w:t>
      </w:r>
    </w:p>
    <w:p>
      <w:pPr>
        <w:spacing w:after="0" w:line="109" w:lineRule="exact"/>
        <w:rPr>
          <w:sz w:val="20"/>
          <w:szCs w:val="20"/>
          <w:color w:val="auto"/>
        </w:rPr>
      </w:pPr>
    </w:p>
    <w:p>
      <w:pPr>
        <w:ind w:left="300" w:right="280" w:hanging="300"/>
        <w:spacing w:after="0" w:line="261" w:lineRule="auto"/>
        <w:tabs>
          <w:tab w:leader="none" w:pos="300" w:val="left"/>
        </w:tabs>
        <w:numPr>
          <w:ilvl w:val="0"/>
          <w:numId w:val="139"/>
        </w:numPr>
        <w:rPr>
          <w:rFonts w:ascii="Arial" w:cs="Arial" w:eastAsia="Arial" w:hAnsi="Arial"/>
          <w:sz w:val="15"/>
          <w:szCs w:val="15"/>
          <w:color w:val="444A54"/>
        </w:rPr>
      </w:pPr>
      <w:r>
        <w:rPr>
          <w:rFonts w:ascii="Arial" w:cs="Arial" w:eastAsia="Arial" w:hAnsi="Arial"/>
          <w:sz w:val="15"/>
          <w:szCs w:val="15"/>
          <w:color w:val="444A54"/>
        </w:rPr>
        <w:t>You may submit proposals for consideration at future shareholder meetings including director nominations. See Proposal 1: Election of Directors: Process for Shareholder to Recommend Individuals for Consideration by the Nominating and Corporate Governance Committee and Shareholder Proposals for 2026 Annual Meeting of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17AB5"/>
        </w:rPr>
        <w:t>Q: What information is available on the Internet?</w:t>
      </w:r>
    </w:p>
    <w:p>
      <w:pPr>
        <w:spacing w:after="0" w:line="203" w:lineRule="exact"/>
        <w:rPr>
          <w:sz w:val="20"/>
          <w:szCs w:val="20"/>
          <w:color w:val="auto"/>
        </w:rPr>
      </w:pPr>
    </w:p>
    <w:p>
      <w:pPr>
        <w:ind w:left="300" w:right="800" w:hanging="300"/>
        <w:spacing w:after="0" w:line="279" w:lineRule="auto"/>
        <w:tabs>
          <w:tab w:leader="none" w:pos="300" w:val="left"/>
        </w:tabs>
        <w:numPr>
          <w:ilvl w:val="0"/>
          <w:numId w:val="140"/>
        </w:numPr>
        <w:rPr>
          <w:rFonts w:ascii="Arial" w:cs="Arial" w:eastAsia="Arial" w:hAnsi="Arial"/>
          <w:sz w:val="15"/>
          <w:szCs w:val="15"/>
          <w:color w:val="444A54"/>
        </w:rPr>
      </w:pPr>
      <w:r>
        <w:rPr>
          <w:rFonts w:ascii="Arial" w:cs="Arial" w:eastAsia="Arial" w:hAnsi="Arial"/>
          <w:sz w:val="15"/>
          <w:szCs w:val="15"/>
          <w:color w:val="444A54"/>
        </w:rPr>
        <w:t xml:space="preserve">A copy of our Proxy Materials is available for download free of charge at </w:t>
      </w:r>
      <w:r>
        <w:rPr>
          <w:rFonts w:ascii="Arial" w:cs="Arial" w:eastAsia="Arial" w:hAnsi="Arial"/>
          <w:sz w:val="15"/>
          <w:szCs w:val="15"/>
          <w:color w:val="000000"/>
        </w:rPr>
        <w:t>www.proxyvote.com</w:t>
      </w:r>
      <w:r>
        <w:rPr>
          <w:rFonts w:ascii="Arial" w:cs="Arial" w:eastAsia="Arial" w:hAnsi="Arial"/>
          <w:sz w:val="15"/>
          <w:szCs w:val="15"/>
          <w:color w:val="444A54"/>
        </w:rPr>
        <w:t xml:space="preserve"> (you will need the control number from your Notice or proxy card to access the Proxy Materials).</w:t>
      </w:r>
    </w:p>
    <w:p>
      <w:pPr>
        <w:spacing w:after="0" w:line="136" w:lineRule="exact"/>
        <w:rPr>
          <w:rFonts w:ascii="Arial" w:cs="Arial" w:eastAsia="Arial" w:hAnsi="Arial"/>
          <w:sz w:val="15"/>
          <w:szCs w:val="15"/>
          <w:color w:val="444A54"/>
        </w:rPr>
      </w:pPr>
    </w:p>
    <w:p>
      <w:pPr>
        <w:ind w:left="300" w:right="220"/>
        <w:spacing w:after="0" w:line="316" w:lineRule="auto"/>
        <w:rPr>
          <w:rFonts w:ascii="Arial" w:cs="Arial" w:eastAsia="Arial" w:hAnsi="Arial"/>
          <w:sz w:val="15"/>
          <w:szCs w:val="15"/>
          <w:color w:val="444A54"/>
        </w:rPr>
      </w:pPr>
      <w:r>
        <w:rPr>
          <w:rFonts w:ascii="Arial" w:cs="Arial" w:eastAsia="Arial" w:hAnsi="Arial"/>
          <w:sz w:val="14"/>
          <w:szCs w:val="14"/>
          <w:color w:val="444A54"/>
        </w:rPr>
        <w:t>Additionally, we use our website, www.ucbi.com, as a channel of distribution for important Company information. We make available free of charge on our website various documents including our SEC filings, proxy statements and annual reports (Investor Relations &gt; Financial Information), as well as other information.</w:t>
      </w:r>
    </w:p>
    <w:p>
      <w:pPr>
        <w:spacing w:after="0" w:line="114" w:lineRule="exact"/>
        <w:rPr>
          <w:rFonts w:ascii="Arial" w:cs="Arial" w:eastAsia="Arial" w:hAnsi="Arial"/>
          <w:sz w:val="15"/>
          <w:szCs w:val="15"/>
          <w:color w:val="444A54"/>
        </w:rPr>
      </w:pPr>
    </w:p>
    <w:p>
      <w:pPr>
        <w:ind w:left="300"/>
        <w:spacing w:after="0"/>
        <w:rPr>
          <w:rFonts w:ascii="Arial" w:cs="Arial" w:eastAsia="Arial" w:hAnsi="Arial"/>
          <w:sz w:val="15"/>
          <w:szCs w:val="15"/>
          <w:color w:val="444A54"/>
        </w:rPr>
      </w:pPr>
      <w:r>
        <w:rPr>
          <w:rFonts w:ascii="Arial" w:cs="Arial" w:eastAsia="Arial" w:hAnsi="Arial"/>
          <w:sz w:val="15"/>
          <w:szCs w:val="15"/>
          <w:color w:val="444A54"/>
        </w:rPr>
        <w:t>Information from our website is not incorporated by reference into this Proxy Statement.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75" w:name="page76"/>
    <w:bookmarkEnd w:id="75"/>
    <w:p>
      <w:pPr>
        <w:spacing w:after="0"/>
        <w:rPr>
          <w:sz w:val="20"/>
          <w:szCs w:val="20"/>
          <w:color w:val="auto"/>
        </w:rPr>
      </w:pPr>
      <w:r>
        <w:rPr>
          <w:rFonts w:ascii="Arial" w:cs="Arial" w:eastAsia="Arial" w:hAnsi="Arial"/>
          <w:sz w:val="31"/>
          <w:szCs w:val="31"/>
          <w:b w:val="1"/>
          <w:bCs w:val="1"/>
          <w:color w:val="194C85"/>
        </w:rPr>
        <w:t>Shareholder Proposals for 2026 Annual Meeting of Shareholders</w:t>
      </w:r>
    </w:p>
    <w:p>
      <w:pPr>
        <w:spacing w:after="0" w:line="205" w:lineRule="exact"/>
        <w:rPr>
          <w:sz w:val="20"/>
          <w:szCs w:val="20"/>
          <w:color w:val="auto"/>
        </w:rPr>
      </w:pPr>
    </w:p>
    <w:p>
      <w:pPr>
        <w:ind w:right="360"/>
        <w:spacing w:after="0" w:line="261" w:lineRule="auto"/>
        <w:rPr>
          <w:sz w:val="20"/>
          <w:szCs w:val="20"/>
          <w:color w:val="auto"/>
        </w:rPr>
      </w:pPr>
      <w:r>
        <w:rPr>
          <w:rFonts w:ascii="Arial" w:cs="Arial" w:eastAsia="Arial" w:hAnsi="Arial"/>
          <w:sz w:val="15"/>
          <w:szCs w:val="15"/>
          <w:color w:val="444A54"/>
        </w:rPr>
        <w:t>All shareholder proposals and written notices must be mailed to Corporate Secretary, United Community Banks, Inc., 200 East Camperdown Way, Greenville, South Carolina 29601. Shareholder proposals and director nominations that are not included in our Proxy Materials will not be considered at any annual meeting of shareholders unless such proposals have complied with the requirements of our Bylaws.</w:t>
      </w:r>
    </w:p>
    <w:p>
      <w:pPr>
        <w:spacing w:after="0" w:line="140" w:lineRule="exact"/>
        <w:rPr>
          <w:sz w:val="20"/>
          <w:szCs w:val="20"/>
          <w:color w:val="auto"/>
        </w:rPr>
      </w:pPr>
    </w:p>
    <w:p>
      <w:pPr>
        <w:spacing w:after="0"/>
        <w:rPr>
          <w:sz w:val="20"/>
          <w:szCs w:val="20"/>
          <w:color w:val="auto"/>
        </w:rPr>
      </w:pPr>
      <w:r>
        <w:rPr>
          <w:rFonts w:ascii="Arial" w:cs="Arial" w:eastAsia="Arial" w:hAnsi="Arial"/>
          <w:sz w:val="23"/>
          <w:szCs w:val="23"/>
          <w:b w:val="1"/>
          <w:bCs w:val="1"/>
          <w:color w:val="017AB5"/>
        </w:rPr>
        <w:t>Shareholder Proposals Under Exchange Act Rule 14a-8</w:t>
      </w:r>
    </w:p>
    <w:p>
      <w:pPr>
        <w:spacing w:after="0" w:line="209" w:lineRule="exact"/>
        <w:rPr>
          <w:sz w:val="20"/>
          <w:szCs w:val="20"/>
          <w:color w:val="auto"/>
        </w:rPr>
      </w:pPr>
    </w:p>
    <w:p>
      <w:pPr>
        <w:ind w:right="480"/>
        <w:spacing w:after="0" w:line="279" w:lineRule="auto"/>
        <w:rPr>
          <w:sz w:val="20"/>
          <w:szCs w:val="20"/>
          <w:color w:val="auto"/>
        </w:rPr>
      </w:pPr>
      <w:r>
        <w:rPr>
          <w:rFonts w:ascii="Arial" w:cs="Arial" w:eastAsia="Arial" w:hAnsi="Arial"/>
          <w:sz w:val="15"/>
          <w:szCs w:val="15"/>
          <w:color w:val="444A54"/>
        </w:rPr>
        <w:t>Proposals of eligible shareholders that are submitted pursuant to Exchange Act Rule 14a-8 must be received in writing by the Corporate Secretary no later than December 3, 2025, in order to be considered for inclusion in the Company’s Proxy Statement and proxy card relating to the 2026 Annual Meeting of Shareholders.</w:t>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017AB5"/>
        </w:rPr>
        <w:t>Other Shareholder Proposals</w:t>
      </w:r>
    </w:p>
    <w:p>
      <w:pPr>
        <w:spacing w:after="0" w:line="209" w:lineRule="exact"/>
        <w:rPr>
          <w:sz w:val="20"/>
          <w:szCs w:val="20"/>
          <w:color w:val="auto"/>
        </w:rPr>
      </w:pPr>
    </w:p>
    <w:p>
      <w:pPr>
        <w:ind w:right="400"/>
        <w:spacing w:after="0" w:line="252" w:lineRule="auto"/>
        <w:rPr>
          <w:sz w:val="20"/>
          <w:szCs w:val="20"/>
          <w:color w:val="auto"/>
        </w:rPr>
      </w:pPr>
      <w:r>
        <w:rPr>
          <w:rFonts w:ascii="Arial" w:cs="Arial" w:eastAsia="Arial" w:hAnsi="Arial"/>
          <w:sz w:val="15"/>
          <w:szCs w:val="15"/>
          <w:color w:val="444A54"/>
        </w:rPr>
        <w:t>The Company anticipates that its next annual meeting of shareholders will be held in May 2026. If a shareholder desires to submit a proposal for consideration at the 2026 Annual Meeting of Shareholders, written notice of such shareholder’s intent to make such a proposal must be given and received by the Company’s Corporate Secretary at its principal executive offices either by personal delivery or by United States mail. To be timely, the notice must be delivered or mailed to and received at the principal executive offices of the Company on or before the later to occur of (i) 14 days prior to the 2026 Annual Meeting of Shareholders or (ii) 5 days after the notice of the 2026 Annual Meeting of Shareholders is provided to the shareholder. Your notice to the Corporate Secretary must set forth:</w:t>
      </w:r>
    </w:p>
    <w:p>
      <w:pPr>
        <w:spacing w:after="0" w:line="58" w:lineRule="exact"/>
        <w:rPr>
          <w:sz w:val="20"/>
          <w:szCs w:val="20"/>
          <w:color w:val="auto"/>
        </w:rPr>
      </w:pPr>
    </w:p>
    <w:p>
      <w:pPr>
        <w:ind w:left="580" w:right="300" w:hanging="230"/>
        <w:spacing w:after="0" w:line="279" w:lineRule="auto"/>
        <w:tabs>
          <w:tab w:leader="none" w:pos="580" w:val="left"/>
        </w:tabs>
        <w:numPr>
          <w:ilvl w:val="0"/>
          <w:numId w:val="141"/>
        </w:numPr>
        <w:rPr>
          <w:rFonts w:ascii="Arial" w:cs="Arial" w:eastAsia="Arial" w:hAnsi="Arial"/>
          <w:sz w:val="15"/>
          <w:szCs w:val="15"/>
          <w:color w:val="444A54"/>
        </w:rPr>
      </w:pPr>
      <w:r>
        <w:rPr>
          <w:rFonts w:ascii="Arial" w:cs="Arial" w:eastAsia="Arial" w:hAnsi="Arial"/>
          <w:sz w:val="15"/>
          <w:szCs w:val="15"/>
          <w:color w:val="444A54"/>
        </w:rPr>
        <w:t>A brief description of each matter of business that you propose to bring before the 2026 Annual Meeting of Shareholders and the reasons for conducting that business at the meeting;</w:t>
      </w:r>
    </w:p>
    <w:p>
      <w:pPr>
        <w:spacing w:after="0" w:line="36" w:lineRule="exact"/>
        <w:rPr>
          <w:rFonts w:ascii="Arial" w:cs="Arial" w:eastAsia="Arial" w:hAnsi="Arial"/>
          <w:sz w:val="15"/>
          <w:szCs w:val="15"/>
          <w:color w:val="444A54"/>
        </w:rPr>
      </w:pPr>
    </w:p>
    <w:p>
      <w:pPr>
        <w:ind w:left="580" w:hanging="230"/>
        <w:spacing w:after="0"/>
        <w:tabs>
          <w:tab w:leader="none" w:pos="580" w:val="left"/>
        </w:tabs>
        <w:numPr>
          <w:ilvl w:val="0"/>
          <w:numId w:val="141"/>
        </w:numPr>
        <w:rPr>
          <w:rFonts w:ascii="Arial" w:cs="Arial" w:eastAsia="Arial" w:hAnsi="Arial"/>
          <w:sz w:val="15"/>
          <w:szCs w:val="15"/>
          <w:color w:val="444A54"/>
        </w:rPr>
      </w:pPr>
      <w:r>
        <w:rPr>
          <w:rFonts w:ascii="Arial" w:cs="Arial" w:eastAsia="Arial" w:hAnsi="Arial"/>
          <w:sz w:val="15"/>
          <w:szCs w:val="15"/>
          <w:color w:val="444A54"/>
        </w:rPr>
        <w:t>The name under which your shares are held and your address;</w:t>
      </w:r>
    </w:p>
    <w:p>
      <w:pPr>
        <w:spacing w:after="0" w:line="90" w:lineRule="exact"/>
        <w:rPr>
          <w:rFonts w:ascii="Arial" w:cs="Arial" w:eastAsia="Arial" w:hAnsi="Arial"/>
          <w:sz w:val="15"/>
          <w:szCs w:val="15"/>
          <w:color w:val="444A54"/>
        </w:rPr>
      </w:pPr>
    </w:p>
    <w:p>
      <w:pPr>
        <w:ind w:left="580" w:hanging="230"/>
        <w:spacing w:after="0"/>
        <w:tabs>
          <w:tab w:leader="none" w:pos="580" w:val="left"/>
        </w:tabs>
        <w:numPr>
          <w:ilvl w:val="0"/>
          <w:numId w:val="141"/>
        </w:numPr>
        <w:rPr>
          <w:rFonts w:ascii="Arial" w:cs="Arial" w:eastAsia="Arial" w:hAnsi="Arial"/>
          <w:sz w:val="15"/>
          <w:szCs w:val="15"/>
          <w:color w:val="444A54"/>
        </w:rPr>
      </w:pPr>
      <w:r>
        <w:rPr>
          <w:rFonts w:ascii="Arial" w:cs="Arial" w:eastAsia="Arial" w:hAnsi="Arial"/>
          <w:sz w:val="15"/>
          <w:szCs w:val="15"/>
          <w:color w:val="444A54"/>
        </w:rPr>
        <w:t>The series or class and number of shares of our stock that are beneficially owned by you; and</w:t>
      </w:r>
    </w:p>
    <w:p>
      <w:pPr>
        <w:spacing w:after="0" w:line="90" w:lineRule="exact"/>
        <w:rPr>
          <w:rFonts w:ascii="Arial" w:cs="Arial" w:eastAsia="Arial" w:hAnsi="Arial"/>
          <w:sz w:val="15"/>
          <w:szCs w:val="15"/>
          <w:color w:val="444A54"/>
        </w:rPr>
      </w:pPr>
    </w:p>
    <w:p>
      <w:pPr>
        <w:ind w:left="580" w:hanging="230"/>
        <w:spacing w:after="0"/>
        <w:tabs>
          <w:tab w:leader="none" w:pos="580" w:val="left"/>
        </w:tabs>
        <w:numPr>
          <w:ilvl w:val="0"/>
          <w:numId w:val="141"/>
        </w:numPr>
        <w:rPr>
          <w:rFonts w:ascii="Arial" w:cs="Arial" w:eastAsia="Arial" w:hAnsi="Arial"/>
          <w:sz w:val="15"/>
          <w:szCs w:val="15"/>
          <w:color w:val="444A54"/>
        </w:rPr>
      </w:pPr>
      <w:r>
        <w:rPr>
          <w:rFonts w:ascii="Arial" w:cs="Arial" w:eastAsia="Arial" w:hAnsi="Arial"/>
          <w:sz w:val="15"/>
          <w:szCs w:val="15"/>
          <w:color w:val="444A54"/>
        </w:rPr>
        <w:t>Any material interest that you have in the proposed business.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444A54"/>
        </w:rPr>
        <w:t>The chair of the 2026 Annual Meeting of Shareholders shall have the discretion to declare that any business proposed by a shareholder to be considered at the 2026</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444A54"/>
        </w:rPr>
        <w:t>Annual Meeting of Shareholders is out of order and that such business shall not be transacted at the meeting if:</w:t>
      </w:r>
    </w:p>
    <w:p>
      <w:pPr>
        <w:spacing w:after="0" w:line="76" w:lineRule="exact"/>
        <w:rPr>
          <w:sz w:val="20"/>
          <w:szCs w:val="20"/>
          <w:color w:val="auto"/>
        </w:rPr>
      </w:pPr>
    </w:p>
    <w:p>
      <w:pPr>
        <w:ind w:left="580" w:hanging="230"/>
        <w:spacing w:after="0"/>
        <w:tabs>
          <w:tab w:leader="none" w:pos="580" w:val="left"/>
        </w:tabs>
        <w:numPr>
          <w:ilvl w:val="0"/>
          <w:numId w:val="142"/>
        </w:numPr>
        <w:rPr>
          <w:rFonts w:ascii="Arial" w:cs="Arial" w:eastAsia="Arial" w:hAnsi="Arial"/>
          <w:sz w:val="15"/>
          <w:szCs w:val="15"/>
          <w:color w:val="444A54"/>
        </w:rPr>
      </w:pPr>
      <w:r>
        <w:rPr>
          <w:rFonts w:ascii="Arial" w:cs="Arial" w:eastAsia="Arial" w:hAnsi="Arial"/>
          <w:sz w:val="15"/>
          <w:szCs w:val="15"/>
          <w:color w:val="444A54"/>
        </w:rPr>
        <w:t>The chair concludes that the matter has been proposed in a manner inconsistent with the applicable section of the Bylaws; or</w:t>
      </w:r>
    </w:p>
    <w:p>
      <w:pPr>
        <w:spacing w:after="0" w:line="90" w:lineRule="exact"/>
        <w:rPr>
          <w:rFonts w:ascii="Arial" w:cs="Arial" w:eastAsia="Arial" w:hAnsi="Arial"/>
          <w:sz w:val="15"/>
          <w:szCs w:val="15"/>
          <w:color w:val="444A54"/>
        </w:rPr>
      </w:pPr>
    </w:p>
    <w:p>
      <w:pPr>
        <w:ind w:left="580" w:right="120" w:hanging="230"/>
        <w:spacing w:after="0" w:line="279" w:lineRule="auto"/>
        <w:tabs>
          <w:tab w:leader="none" w:pos="580" w:val="left"/>
        </w:tabs>
        <w:numPr>
          <w:ilvl w:val="0"/>
          <w:numId w:val="142"/>
        </w:numPr>
        <w:rPr>
          <w:rFonts w:ascii="Arial" w:cs="Arial" w:eastAsia="Arial" w:hAnsi="Arial"/>
          <w:sz w:val="15"/>
          <w:szCs w:val="15"/>
          <w:color w:val="444A54"/>
        </w:rPr>
      </w:pPr>
      <w:r>
        <w:rPr>
          <w:rFonts w:ascii="Arial" w:cs="Arial" w:eastAsia="Arial" w:hAnsi="Arial"/>
          <w:sz w:val="15"/>
          <w:szCs w:val="15"/>
          <w:color w:val="444A54"/>
        </w:rPr>
        <w:t>The chair concludes that the subject matter of the proposed business is inappropriate for consideration by the shareholders at the 2026 Annual Meeting of Shareholders.</w:t>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017AB5"/>
        </w:rPr>
        <w:t>Shareholder Recommendations for Director Nominees</w:t>
      </w:r>
    </w:p>
    <w:p>
      <w:pPr>
        <w:spacing w:after="0" w:line="209" w:lineRule="exact"/>
        <w:rPr>
          <w:sz w:val="20"/>
          <w:szCs w:val="20"/>
          <w:color w:val="auto"/>
        </w:rPr>
      </w:pPr>
    </w:p>
    <w:p>
      <w:pPr>
        <w:ind w:right="240"/>
        <w:spacing w:after="0" w:line="252" w:lineRule="auto"/>
        <w:rPr>
          <w:sz w:val="20"/>
          <w:szCs w:val="20"/>
          <w:color w:val="auto"/>
        </w:rPr>
      </w:pPr>
      <w:r>
        <w:rPr>
          <w:rFonts w:ascii="Arial" w:cs="Arial" w:eastAsia="Arial" w:hAnsi="Arial"/>
          <w:sz w:val="15"/>
          <w:szCs w:val="15"/>
          <w:color w:val="444A54"/>
        </w:rPr>
        <w:t xml:space="preserve">See Proposal 1: Election of Directors: Process for Shareholder to Recommend Individuals for Consideration by the Nominating and Corporate Governance Committee. To submit a nominee for consideration at the 2026 Annual Meeting of Shareholders, you must comply with our Shareholder Nomination and Communication Procedures, which can be found on our website, </w:t>
      </w:r>
      <w:r>
        <w:rPr>
          <w:rFonts w:ascii="Arial" w:cs="Arial" w:eastAsia="Arial" w:hAnsi="Arial"/>
          <w:sz w:val="15"/>
          <w:szCs w:val="15"/>
          <w:color w:val="000000"/>
        </w:rPr>
        <w:t>www.ucbi.com</w:t>
      </w:r>
      <w:r>
        <w:rPr>
          <w:rFonts w:ascii="Arial" w:cs="Arial" w:eastAsia="Arial" w:hAnsi="Arial"/>
          <w:sz w:val="15"/>
          <w:szCs w:val="15"/>
          <w:color w:val="444A54"/>
        </w:rPr>
        <w:t xml:space="preserve"> at Investor Relations &gt; Corporate Governance &gt; Governance Overview. Your notice (and information required) is required to be received on or before December 3, 2025, which date will be one hundred twenty (120) days before the anniversary date of the Company’s Proxy Statement released to shareholders in connection with the 2025 Annual Meeting.</w:t>
      </w:r>
    </w:p>
    <w:p>
      <w:pPr>
        <w:spacing w:after="0" w:line="158" w:lineRule="exact"/>
        <w:rPr>
          <w:sz w:val="20"/>
          <w:szCs w:val="20"/>
          <w:color w:val="auto"/>
        </w:rPr>
      </w:pPr>
    </w:p>
    <w:p>
      <w:pPr>
        <w:ind w:right="120"/>
        <w:spacing w:after="0" w:line="250" w:lineRule="auto"/>
        <w:rPr>
          <w:sz w:val="20"/>
          <w:szCs w:val="20"/>
          <w:color w:val="auto"/>
        </w:rPr>
      </w:pPr>
      <w:r>
        <w:rPr>
          <w:rFonts w:ascii="Arial" w:cs="Arial" w:eastAsia="Arial" w:hAnsi="Arial"/>
          <w:sz w:val="15"/>
          <w:szCs w:val="15"/>
          <w:color w:val="444A54"/>
        </w:rPr>
        <w:t>In addition to complying with the procedures described above, shareholders who intended to solicit proxies in support of a director candidate other than the Company’s nominees for consideration by the shareholders at the Company’s 2026 Annual Meeting of Shareholders must have also complied with the SEC’s “universal proxy card” rules under Rule 14a-19. Rule 14a-19 requires shareholders to have provided a notice no later than March 15, 2026, setting forth all the information and disclosures required by Rule 14a-19. If the 2026 Annual Meeting of Shareholders is set for a date that is not within 30 calendar days of the anniversary of the date of the 2025 Annual Meeting then notice must be provided by the later of 60 calendar days prior to the date of the 2026 Annual Meeting of Shareholders or by the close of business on the tenth calendar day following the day on which a public announcement of the date of the 2026 Annual Meeting of Shareholders is first made.</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424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390525</wp:posOffset>
            </wp:positionV>
            <wp:extent cx="7142480" cy="90811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2480"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90811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2480" cy="90811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1"/>
      <w:numFmt w:val="bullet"/>
      <w:start w:val="1"/>
    </w:lvl>
  </w:abstractNum>
  <w:abstractNum w:abstractNumId="18">
    <w:nsid w:val="4962813B"/>
    <w:multiLevelType w:val="hybridMultilevel"/>
    <w:lvl w:ilvl="0">
      <w:lvlJc w:val="left"/>
      <w:lvlText w:val="2"/>
      <w:numFmt w:val="bullet"/>
      <w:start w:val="1"/>
    </w:lvl>
  </w:abstractNum>
  <w:abstractNum w:abstractNumId="19">
    <w:nsid w:val="60B6DF70"/>
    <w:multiLevelType w:val="hybridMultilevel"/>
    <w:lvl w:ilvl="0">
      <w:lvlJc w:val="left"/>
      <w:lvlText w:val="3"/>
      <w:numFmt w:val="bullet"/>
      <w:start w:val="1"/>
    </w:lvl>
  </w:abstractNum>
  <w:abstractNum w:abstractNumId="20">
    <w:nsid w:val="6A5EE64"/>
    <w:multiLevelType w:val="hybridMultilevel"/>
    <w:lvl w:ilvl="0">
      <w:lvlJc w:val="left"/>
      <w:lvlText w:val="4"/>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1"/>
      <w:numFmt w:val="bullet"/>
      <w:start w:val="1"/>
    </w:lvl>
  </w:abstractNum>
  <w:abstractNum w:abstractNumId="29">
    <w:nsid w:val="94211F2"/>
    <w:multiLevelType w:val="hybridMultilevel"/>
    <w:lvl w:ilvl="0">
      <w:lvlJc w:val="left"/>
      <w:lvlText w:val="1"/>
      <w:numFmt w:val="bullet"/>
      <w:start w:val="1"/>
    </w:lvl>
  </w:abstractNum>
  <w:abstractNum w:abstractNumId="30">
    <w:nsid w:val="885E1B"/>
    <w:multiLevelType w:val="hybridMultilevel"/>
    <w:lvl w:ilvl="0">
      <w:lvlJc w:val="left"/>
      <w:lvlText w:val="2"/>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1)"/>
      <w:numFmt w:val="lowerLetter"/>
      <w:start w:val="2"/>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1)"/>
      <w:numFmt w:val="lowerLetter"/>
      <w:start w:val="2"/>
    </w:lvl>
  </w:abstractNum>
  <w:abstractNum w:abstractNumId="36">
    <w:nsid w:val="74DE0EE3"/>
    <w:multiLevelType w:val="hybridMultilevel"/>
    <w:lvl w:ilvl="0">
      <w:lvlJc w:val="left"/>
      <w:lvlText w:val="1"/>
      <w:numFmt w:val="bullet"/>
      <w:start w:val="1"/>
    </w:lvl>
  </w:abstractNum>
  <w:abstractNum w:abstractNumId="37">
    <w:nsid w:val="68EBC550"/>
    <w:multiLevelType w:val="hybridMultilevel"/>
    <w:lvl w:ilvl="0">
      <w:lvlJc w:val="left"/>
      <w:lvlText w:val="2"/>
      <w:numFmt w:val="bullet"/>
      <w:start w:val="1"/>
    </w:lvl>
  </w:abstractNum>
  <w:abstractNum w:abstractNumId="38">
    <w:nsid w:val="2DF6D648"/>
    <w:multiLevelType w:val="hybridMultilevel"/>
    <w:lvl w:ilvl="0">
      <w:lvlJc w:val="left"/>
      <w:lvlText w:val="3"/>
      <w:numFmt w:val="bullet"/>
      <w:start w:val="1"/>
    </w:lvl>
  </w:abstractNum>
  <w:abstractNum w:abstractNumId="39">
    <w:nsid w:val="46B7D447"/>
    <w:multiLevelType w:val="hybridMultilevel"/>
    <w:lvl w:ilvl="0">
      <w:lvlJc w:val="left"/>
      <w:lvlText w:val="4"/>
      <w:numFmt w:val="bullet"/>
      <w:start w:val="1"/>
    </w:lvl>
  </w:abstractNum>
  <w:abstractNum w:abstractNumId="40">
    <w:nsid w:val="4A2AC315"/>
    <w:multiLevelType w:val="hybridMultilevel"/>
    <w:lvl w:ilvl="0">
      <w:lvlJc w:val="left"/>
      <w:lvlText w:val="5"/>
      <w:numFmt w:val="bullet"/>
      <w:start w:val="1"/>
    </w:lvl>
  </w:abstractNum>
  <w:abstractNum w:abstractNumId="41">
    <w:nsid w:val="39EE015C"/>
    <w:multiLevelType w:val="hybridMultilevel"/>
    <w:lvl w:ilvl="0">
      <w:lvlJc w:val="left"/>
      <w:lvlText w:val="6"/>
      <w:numFmt w:val="bullet"/>
      <w:start w:val="1"/>
    </w:lvl>
  </w:abstractNum>
  <w:abstractNum w:abstractNumId="42">
    <w:nsid w:val="57FC4FBB"/>
    <w:multiLevelType w:val="hybridMultilevel"/>
    <w:lvl w:ilvl="0">
      <w:lvlJc w:val="left"/>
      <w:lvlText w:val="7"/>
      <w:numFmt w:val="bullet"/>
      <w:start w:val="1"/>
    </w:lvl>
  </w:abstractNum>
  <w:abstractNum w:abstractNumId="43">
    <w:nsid w:val="CC1016F"/>
    <w:multiLevelType w:val="hybridMultilevel"/>
    <w:lvl w:ilvl="0">
      <w:lvlJc w:val="left"/>
      <w:lvlText w:val="1"/>
      <w:numFmt w:val="bullet"/>
      <w:start w:val="1"/>
    </w:lvl>
  </w:abstractNum>
  <w:abstractNum w:abstractNumId="44">
    <w:nsid w:val="43F18422"/>
    <w:multiLevelType w:val="hybridMultilevel"/>
    <w:lvl w:ilvl="0">
      <w:lvlJc w:val="left"/>
      <w:lvlText w:val="2"/>
      <w:numFmt w:val="bullet"/>
      <w:start w:val="1"/>
    </w:lvl>
  </w:abstractNum>
  <w:abstractNum w:abstractNumId="45">
    <w:nsid w:val="60EF0119"/>
    <w:multiLevelType w:val="hybridMultilevel"/>
    <w:lvl w:ilvl="0">
      <w:lvlJc w:val="left"/>
      <w:lvlText w:val="3"/>
      <w:numFmt w:val="bullet"/>
      <w:start w:val="1"/>
    </w:lvl>
  </w:abstractNum>
  <w:abstractNum w:abstractNumId="46">
    <w:nsid w:val="26F324BA"/>
    <w:multiLevelType w:val="hybridMultilevel"/>
    <w:lvl w:ilvl="0">
      <w:lvlJc w:val="left"/>
      <w:lvlText w:val="1"/>
      <w:numFmt w:val="bullet"/>
      <w:start w:val="1"/>
    </w:lvl>
  </w:abstractNum>
  <w:abstractNum w:abstractNumId="47">
    <w:nsid w:val="7F01579B"/>
    <w:multiLevelType w:val="hybridMultilevel"/>
    <w:lvl w:ilvl="0">
      <w:lvlJc w:val="left"/>
      <w:lvlText w:val="2"/>
      <w:numFmt w:val="bullet"/>
      <w:start w:val="1"/>
    </w:lvl>
  </w:abstractNum>
  <w:abstractNum w:abstractNumId="48">
    <w:nsid w:val="49DA307D"/>
    <w:multiLevelType w:val="hybridMultilevel"/>
    <w:lvl w:ilvl="0">
      <w:lvlJc w:val="left"/>
      <w:lvlText w:val="3"/>
      <w:numFmt w:val="bullet"/>
      <w:start w:val="1"/>
    </w:lvl>
  </w:abstractNum>
  <w:abstractNum w:abstractNumId="49">
    <w:nsid w:val="7055A5F5"/>
    <w:multiLevelType w:val="hybridMultilevel"/>
    <w:lvl w:ilvl="0">
      <w:lvlJc w:val="left"/>
      <w:lvlText w:val="4"/>
      <w:numFmt w:val="bullet"/>
      <w:start w:val="1"/>
    </w:lvl>
  </w:abstractNum>
  <w:abstractNum w:abstractNumId="50">
    <w:nsid w:val="5FB8370B"/>
    <w:multiLevelType w:val="hybridMultilevel"/>
    <w:lvl w:ilvl="0">
      <w:lvlJc w:val="left"/>
      <w:lvlText w:val="5"/>
      <w:numFmt w:val="bullet"/>
      <w:start w:val="1"/>
    </w:lvl>
  </w:abstractNum>
  <w:abstractNum w:abstractNumId="51">
    <w:nsid w:val="50801EE1"/>
    <w:multiLevelType w:val="hybridMultilevel"/>
    <w:lvl w:ilvl="0">
      <w:lvlJc w:val="left"/>
      <w:lvlText w:val="6"/>
      <w:numFmt w:val="bullet"/>
      <w:start w:val="1"/>
    </w:lvl>
  </w:abstractNum>
  <w:abstractNum w:abstractNumId="52">
    <w:nsid w:val="488AC1A"/>
    <w:multiLevelType w:val="hybridMultilevel"/>
    <w:lvl w:ilvl="0">
      <w:lvlJc w:val="left"/>
      <w:lvlText w:val="1"/>
      <w:numFmt w:val="bullet"/>
      <w:start w:val="1"/>
    </w:lvl>
  </w:abstractNum>
  <w:abstractNum w:abstractNumId="53">
    <w:nsid w:val="5FB8011C"/>
    <w:multiLevelType w:val="hybridMultilevel"/>
    <w:lvl w:ilvl="0">
      <w:lvlJc w:val="left"/>
      <w:lvlText w:val="2"/>
      <w:numFmt w:val="bullet"/>
      <w:start w:val="1"/>
    </w:lvl>
  </w:abstractNum>
  <w:abstractNum w:abstractNumId="54">
    <w:nsid w:val="6AA78F7F"/>
    <w:multiLevelType w:val="hybridMultilevel"/>
    <w:lvl w:ilvl="0">
      <w:lvlJc w:val="left"/>
      <w:lvlText w:val="3"/>
      <w:numFmt w:val="bullet"/>
      <w:start w:val="1"/>
    </w:lvl>
  </w:abstractNum>
  <w:abstractNum w:abstractNumId="55">
    <w:nsid w:val="7672BD23"/>
    <w:multiLevelType w:val="hybridMultilevel"/>
    <w:lvl w:ilvl="0">
      <w:lvlJc w:val="left"/>
      <w:lvlText w:val="1"/>
      <w:numFmt w:val="bullet"/>
      <w:start w:val="1"/>
    </w:lvl>
  </w:abstractNum>
  <w:abstractNum w:abstractNumId="56">
    <w:nsid w:val="6FC75AF8"/>
    <w:multiLevelType w:val="hybridMultilevel"/>
    <w:lvl w:ilvl="0">
      <w:lvlJc w:val="left"/>
      <w:lvlText w:val="2"/>
      <w:numFmt w:val="bullet"/>
      <w:start w:val="1"/>
    </w:lvl>
  </w:abstractNum>
  <w:abstractNum w:abstractNumId="57">
    <w:nsid w:val="6A5F7029"/>
    <w:multiLevelType w:val="hybridMultilevel"/>
    <w:lvl w:ilvl="0">
      <w:lvlJc w:val="left"/>
      <w:lvlText w:val="1"/>
      <w:numFmt w:val="bullet"/>
      <w:start w:val="1"/>
    </w:lvl>
  </w:abstractNum>
  <w:abstractNum w:abstractNumId="58">
    <w:nsid w:val="7D5E18F8"/>
    <w:multiLevelType w:val="hybridMultilevel"/>
    <w:lvl w:ilvl="0">
      <w:lvlJc w:val="left"/>
      <w:lvlText w:val="2"/>
      <w:numFmt w:val="bullet"/>
      <w:start w:val="1"/>
    </w:lvl>
    <w:lvl w:ilvl="1">
      <w:lvlJc w:val="left"/>
      <w:lvlText w:val="%2."/>
      <w:numFmt w:val="lowerLetter"/>
      <w:start w:val="1"/>
    </w:lvl>
  </w:abstractNum>
  <w:abstractNum w:abstractNumId="59">
    <w:nsid w:val="5F3534A4"/>
    <w:multiLevelType w:val="hybridMultilevel"/>
    <w:lvl w:ilvl="0">
      <w:lvlJc w:val="left"/>
      <w:lvlText w:val="3"/>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0">
    <w:nsid w:val="73A1821B"/>
    <w:multiLevelType w:val="hybridMultilevel"/>
    <w:lvl w:ilvl="0">
      <w:lvlJc w:val="left"/>
      <w:lvlText w:val="3"/>
      <w:numFmt w:val="bullet"/>
      <w:start w:val="1"/>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61">
    <w:nsid w:val="7DE67713"/>
    <w:multiLevelType w:val="hybridMultilevel"/>
    <w:lvl w:ilvl="0">
      <w:lvlJc w:val="left"/>
      <w:lvlText w:val="4"/>
      <w:numFmt w:val="bullet"/>
      <w:start w:val="1"/>
    </w:lvl>
  </w:abstractNum>
  <w:abstractNum w:abstractNumId="62">
    <w:nsid w:val="555C55B5"/>
    <w:multiLevelType w:val="hybridMultilevel"/>
    <w:lvl w:ilvl="0">
      <w:lvlJc w:val="left"/>
      <w:lvlText w:val="5"/>
      <w:numFmt w:val="bullet"/>
      <w:start w:val="1"/>
    </w:lvl>
    <w:lvl w:ilvl="1">
      <w:lvlJc w:val="left"/>
      <w:lvlText w:val="%2."/>
      <w:numFmt w:val="lowerLetter"/>
      <w:start w:val="1"/>
    </w:lvl>
  </w:abstractNum>
  <w:abstractNum w:abstractNumId="63">
    <w:nsid w:val="3FA62ACA"/>
    <w:multiLevelType w:val="hybridMultilevel"/>
    <w:lvl w:ilvl="0">
      <w:lvlJc w:val="left"/>
      <w:lvlText w:val="%1."/>
      <w:numFmt w:val="lowerLetter"/>
      <w:start w:val="4"/>
    </w:lvl>
  </w:abstractNum>
  <w:abstractNum w:abstractNumId="64">
    <w:nsid w:val="14FCE74E"/>
    <w:multiLevelType w:val="hybridMultilevel"/>
    <w:lvl w:ilvl="0">
      <w:lvlJc w:val="left"/>
      <w:lvlText w:val="6"/>
      <w:numFmt w:val="bullet"/>
      <w:start w:val="1"/>
    </w:lvl>
  </w:abstractNum>
  <w:abstractNum w:abstractNumId="65">
    <w:nsid w:val="6A3DD3E8"/>
    <w:multiLevelType w:val="hybridMultilevel"/>
    <w:lvl w:ilvl="0">
      <w:lvlJc w:val="left"/>
      <w:lvlText w:val="7"/>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
      <w:numFmt w:val="bullet"/>
      <w:start w:val="1"/>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1"/>
      <w:numFmt w:val="bullet"/>
      <w:start w:val="1"/>
    </w:lvl>
    <w:lvl w:ilvl="1">
      <w:lvlJc w:val="left"/>
      <w:lvlText w:val="●"/>
      <w:numFmt w:val="bullet"/>
      <w:start w:val="1"/>
    </w:lvl>
  </w:abstractNum>
  <w:abstractNum w:abstractNumId="71">
    <w:nsid w:val="1D545C4D"/>
    <w:multiLevelType w:val="hybridMultilevel"/>
    <w:lvl w:ilvl="0">
      <w:lvlJc w:val="left"/>
      <w:lvlText w:val="2"/>
      <w:numFmt w:val="bullet"/>
      <w:start w:val="1"/>
    </w:lvl>
  </w:abstractNum>
  <w:abstractNum w:abstractNumId="72">
    <w:nsid w:val="59ADEA3D"/>
    <w:multiLevelType w:val="hybridMultilevel"/>
    <w:lvl w:ilvl="0">
      <w:lvlJc w:val="left"/>
      <w:lvlText w:val="3"/>
      <w:numFmt w:val="bullet"/>
      <w:start w:val="1"/>
    </w:lvl>
  </w:abstractNum>
  <w:abstractNum w:abstractNumId="73">
    <w:nsid w:val="288F1A34"/>
    <w:multiLevelType w:val="hybridMultilevel"/>
    <w:lvl w:ilvl="0">
      <w:lvlJc w:val="left"/>
      <w:lvlText w:val="4"/>
      <w:numFmt w:val="bullet"/>
      <w:start w:val="1"/>
    </w:lvl>
    <w:lvl w:ilvl="1">
      <w:lvlJc w:val="left"/>
      <w:lvlText w:val="●"/>
      <w:numFmt w:val="bullet"/>
      <w:start w:val="1"/>
    </w:lvl>
  </w:abstractNum>
  <w:abstractNum w:abstractNumId="74">
    <w:nsid w:val="2A155DBC"/>
    <w:multiLevelType w:val="hybridMultilevel"/>
    <w:lvl w:ilvl="0">
      <w:lvlJc w:val="left"/>
      <w:lvlText w:val="1"/>
      <w:numFmt w:val="bullet"/>
      <w:start w:val="1"/>
    </w:lvl>
  </w:abstractNum>
  <w:abstractNum w:abstractNumId="75">
    <w:nsid w:val="1D9F6E5F"/>
    <w:multiLevelType w:val="hybridMultilevel"/>
    <w:lvl w:ilvl="0">
      <w:lvlJc w:val="left"/>
      <w:lvlText w:val="2"/>
      <w:numFmt w:val="bullet"/>
      <w:start w:val="1"/>
    </w:lvl>
  </w:abstractNum>
  <w:abstractNum w:abstractNumId="76">
    <w:nsid w:val="97E1B4E"/>
    <w:multiLevelType w:val="hybridMultilevel"/>
    <w:lvl w:ilvl="0">
      <w:lvlJc w:val="left"/>
      <w:lvlText w:val="3"/>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1."/>
      <w:numFmt w:val="decimal"/>
      <w:start w:val="4"/>
    </w:lvl>
  </w:abstractNum>
  <w:abstractNum w:abstractNumId="79">
    <w:nsid w:val="53584BCB"/>
    <w:multiLevelType w:val="hybridMultilevel"/>
    <w:lvl w:ilvl="0">
      <w:lvlJc w:val="left"/>
      <w:lvlText w:val="5"/>
      <w:numFmt w:val="bullet"/>
      <w:start w:val="1"/>
    </w:lvl>
  </w:abstractNum>
  <w:abstractNum w:abstractNumId="80">
    <w:nsid w:val="415E286C"/>
    <w:multiLevelType w:val="hybridMultilevel"/>
    <w:lvl w:ilvl="0">
      <w:lvlJc w:val="left"/>
      <w:lvlText w:val="•"/>
      <w:numFmt w:val="bullet"/>
      <w:start w:val="1"/>
    </w:lvl>
  </w:abstractNum>
  <w:abstractNum w:abstractNumId="81">
    <w:nsid w:val="7C58FD05"/>
    <w:multiLevelType w:val="hybridMultilevel"/>
    <w:lvl w:ilvl="0">
      <w:lvlJc w:val="left"/>
      <w:lvlText w:val="1"/>
      <w:numFmt w:val="bullet"/>
      <w:start w:val="1"/>
    </w:lvl>
  </w:abstractNum>
  <w:abstractNum w:abstractNumId="82">
    <w:nsid w:val="23D86AAC"/>
    <w:multiLevelType w:val="hybridMultilevel"/>
    <w:lvl w:ilvl="0">
      <w:lvlJc w:val="left"/>
      <w:lvlText w:val="2"/>
      <w:numFmt w:val="bullet"/>
      <w:start w:val="1"/>
    </w:lvl>
  </w:abstractNum>
  <w:abstractNum w:abstractNumId="83">
    <w:nsid w:val="45E6D486"/>
    <w:multiLevelType w:val="hybridMultilevel"/>
    <w:lvl w:ilvl="0">
      <w:lvlJc w:val="left"/>
      <w:lvlText w:val="3"/>
      <w:numFmt w:val="bullet"/>
      <w:start w:val="1"/>
    </w:lvl>
  </w:abstractNum>
  <w:abstractNum w:abstractNumId="84">
    <w:nsid w:val="5C10FE21"/>
    <w:multiLevelType w:val="hybridMultilevel"/>
    <w:lvl w:ilvl="0">
      <w:lvlJc w:val="left"/>
      <w:lvlText w:val="4"/>
      <w:numFmt w:val="bullet"/>
      <w:start w:val="1"/>
    </w:lvl>
  </w:abstractNum>
  <w:abstractNum w:abstractNumId="85">
    <w:nsid w:val="E7FFA2B"/>
    <w:multiLevelType w:val="hybridMultilevel"/>
    <w:lvl w:ilvl="0">
      <w:lvlJc w:val="left"/>
      <w:lvlText w:val="5"/>
      <w:numFmt w:val="bullet"/>
      <w:start w:val="1"/>
    </w:lvl>
  </w:abstractNum>
  <w:abstractNum w:abstractNumId="86">
    <w:nsid w:val="3C5991AA"/>
    <w:multiLevelType w:val="hybridMultilevel"/>
    <w:lvl w:ilvl="0">
      <w:lvlJc w:val="left"/>
      <w:lvlText w:val="6"/>
      <w:numFmt w:val="bullet"/>
      <w:start w:val="1"/>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1"/>
      <w:numFmt w:val="bullet"/>
      <w:start w:val="1"/>
    </w:lvl>
  </w:abstractNum>
  <w:abstractNum w:abstractNumId="89">
    <w:nsid w:val="39B7AAA2"/>
    <w:multiLevelType w:val="hybridMultilevel"/>
    <w:lvl w:ilvl="0">
      <w:lvlJc w:val="left"/>
      <w:lvlText w:val="2"/>
      <w:numFmt w:val="bullet"/>
      <w:start w:val="1"/>
    </w:lvl>
  </w:abstractNum>
  <w:abstractNum w:abstractNumId="90">
    <w:nsid w:val="2B0D8DBE"/>
    <w:multiLevelType w:val="hybridMultilevel"/>
    <w:lvl w:ilvl="0">
      <w:lvlJc w:val="left"/>
      <w:lvlText w:val="3"/>
      <w:numFmt w:val="bullet"/>
      <w:start w:val="1"/>
    </w:lvl>
  </w:abstractNum>
  <w:abstractNum w:abstractNumId="91">
    <w:nsid w:val="6C80EC70"/>
    <w:multiLevelType w:val="hybridMultilevel"/>
    <w:lvl w:ilvl="0">
      <w:lvlJc w:val="left"/>
      <w:lvlText w:val="4"/>
      <w:numFmt w:val="bullet"/>
      <w:start w:val="1"/>
    </w:lvl>
  </w:abstractNum>
  <w:abstractNum w:abstractNumId="92">
    <w:nsid w:val="379E21B5"/>
    <w:multiLevelType w:val="hybridMultilevel"/>
    <w:lvl w:ilvl="0">
      <w:lvlJc w:val="left"/>
      <w:lvlText w:val="5"/>
      <w:numFmt w:val="bullet"/>
      <w:start w:val="1"/>
    </w:lvl>
  </w:abstractNum>
  <w:abstractNum w:abstractNumId="93">
    <w:nsid w:val="69E373"/>
    <w:multiLevelType w:val="hybridMultilevel"/>
    <w:lvl w:ilvl="0">
      <w:lvlJc w:val="left"/>
      <w:lvlText w:val="1"/>
      <w:numFmt w:val="bullet"/>
      <w:start w:val="1"/>
    </w:lvl>
  </w:abstractNum>
  <w:abstractNum w:abstractNumId="94">
    <w:nsid w:val="2C27173B"/>
    <w:multiLevelType w:val="hybridMultilevel"/>
    <w:lvl w:ilvl="0">
      <w:lvlJc w:val="left"/>
      <w:lvlText w:val="2"/>
      <w:numFmt w:val="bullet"/>
      <w:start w:val="1"/>
    </w:lvl>
  </w:abstractNum>
  <w:abstractNum w:abstractNumId="95">
    <w:nsid w:val="4C9B0904"/>
    <w:multiLevelType w:val="hybridMultilevel"/>
    <w:lvl w:ilvl="0">
      <w:lvlJc w:val="left"/>
      <w:lvlText w:val="3"/>
      <w:numFmt w:val="bullet"/>
      <w:start w:val="1"/>
    </w:lvl>
  </w:abstractNum>
  <w:abstractNum w:abstractNumId="96">
    <w:nsid w:val="6AA7B75C"/>
    <w:multiLevelType w:val="hybridMultilevel"/>
    <w:lvl w:ilvl="0">
      <w:lvlJc w:val="left"/>
      <w:lvlText w:val="4"/>
      <w:numFmt w:val="bullet"/>
      <w:start w:val="1"/>
    </w:lvl>
  </w:abstractNum>
  <w:abstractNum w:abstractNumId="97">
    <w:nsid w:val="1DF029D3"/>
    <w:multiLevelType w:val="hybridMultilevel"/>
    <w:lvl w:ilvl="0">
      <w:lvlJc w:val="left"/>
      <w:lvlText w:val="•"/>
      <w:numFmt w:val="bullet"/>
      <w:start w:val="1"/>
    </w:lvl>
  </w:abstractNum>
  <w:abstractNum w:abstractNumId="98">
    <w:nsid w:val="5675FF36"/>
    <w:multiLevelType w:val="hybridMultilevel"/>
    <w:lvl w:ilvl="0">
      <w:lvlJc w:val="left"/>
      <w:lvlText w:val="%1:"/>
      <w:numFmt w:val="upperLetter"/>
      <w:start w:val="1"/>
    </w:lvl>
  </w:abstractNum>
  <w:abstractNum w:abstractNumId="99">
    <w:nsid w:val="3DD15094"/>
    <w:multiLevelType w:val="hybridMultilevel"/>
    <w:lvl w:ilvl="0">
      <w:lvlJc w:val="left"/>
      <w:lvlText w:val="%1:"/>
      <w:numFmt w:val="upperLetter"/>
      <w:start w:val="1"/>
    </w:lvl>
  </w:abstractNum>
  <w:abstractNum w:abstractNumId="100">
    <w:nsid w:val="3DB012B3"/>
    <w:multiLevelType w:val="hybridMultilevel"/>
    <w:lvl w:ilvl="0">
      <w:lvlJc w:val="left"/>
      <w:lvlText w:val="%1:"/>
      <w:numFmt w:val="upperLetter"/>
      <w:start w:val="1"/>
    </w:lvl>
  </w:abstractNum>
  <w:abstractNum w:abstractNumId="101">
    <w:nsid w:val="2708C9AF"/>
    <w:multiLevelType w:val="hybridMultilevel"/>
    <w:lvl w:ilvl="0">
      <w:lvlJc w:val="left"/>
      <w:lvlText w:val="%1:"/>
      <w:numFmt w:val="upperLetter"/>
      <w:start w:val="17"/>
    </w:lvl>
  </w:abstractNum>
  <w:abstractNum w:abstractNumId="102">
    <w:nsid w:val="5B25ACE2"/>
    <w:multiLevelType w:val="hybridMultilevel"/>
    <w:lvl w:ilvl="0">
      <w:lvlJc w:val="left"/>
      <w:lvlText w:val="%1:"/>
      <w:numFmt w:val="upperLetter"/>
      <w:start w:val="1"/>
    </w:lvl>
  </w:abstractNum>
  <w:abstractNum w:abstractNumId="103">
    <w:nsid w:val="175DFCF0"/>
    <w:multiLevelType w:val="hybridMultilevel"/>
    <w:lvl w:ilvl="0">
      <w:lvlJc w:val="left"/>
      <w:lvlText w:val="%1:"/>
      <w:numFmt w:val="upperLetter"/>
      <w:start w:val="1"/>
    </w:lvl>
  </w:abstractNum>
  <w:abstractNum w:abstractNumId="104">
    <w:nsid w:val="4F97E3E4"/>
    <w:multiLevelType w:val="hybridMultilevel"/>
    <w:lvl w:ilvl="0">
      <w:lvlJc w:val="left"/>
      <w:lvlText w:val="%1:"/>
      <w:numFmt w:val="upperLetter"/>
      <w:start w:val="1"/>
    </w:lvl>
  </w:abstractNum>
  <w:abstractNum w:abstractNumId="105">
    <w:nsid w:val="53B0A9E"/>
    <w:multiLevelType w:val="hybridMultilevel"/>
    <w:lvl w:ilvl="0">
      <w:lvlJc w:val="left"/>
      <w:lvlText w:val="%1:"/>
      <w:numFmt w:val="upperLetter"/>
      <w:start w:val="1"/>
    </w:lvl>
  </w:abstractNum>
  <w:abstractNum w:abstractNumId="106">
    <w:nsid w:val="34FD6B4F"/>
    <w:multiLevelType w:val="hybridMultilevel"/>
    <w:lvl w:ilvl="0">
      <w:lvlJc w:val="left"/>
      <w:lvlText w:val="%1:"/>
      <w:numFmt w:val="upperLetter"/>
      <w:start w:val="1"/>
    </w:lvl>
  </w:abstractNum>
  <w:abstractNum w:abstractNumId="107">
    <w:nsid w:val="5915FF32"/>
    <w:multiLevelType w:val="hybridMultilevel"/>
    <w:lvl w:ilvl="0">
      <w:lvlJc w:val="left"/>
      <w:lvlText w:val="%1:"/>
      <w:numFmt w:val="upperLetter"/>
      <w:start w:val="17"/>
    </w:lvl>
  </w:abstractNum>
  <w:abstractNum w:abstractNumId="108">
    <w:nsid w:val="56438D15"/>
    <w:multiLevelType w:val="hybridMultilevel"/>
    <w:lvl w:ilvl="0">
      <w:lvlJc w:val="left"/>
      <w:lvlText w:val="%1:"/>
      <w:numFmt w:val="upperLetter"/>
      <w:start w:val="1"/>
    </w:lvl>
  </w:abstractNum>
  <w:abstractNum w:abstractNumId="109">
    <w:nsid w:val="519E3149"/>
    <w:multiLevelType w:val="hybridMultilevel"/>
    <w:lvl w:ilvl="0">
      <w:lvlJc w:val="left"/>
      <w:lvlText w:val="%1:"/>
      <w:numFmt w:val="upperLetter"/>
      <w:start w:val="1"/>
    </w:lvl>
  </w:abstractNum>
  <w:abstractNum w:abstractNumId="110">
    <w:nsid w:val="2C6E4AFD"/>
    <w:multiLevelType w:val="hybridMultilevel"/>
    <w:lvl w:ilvl="0">
      <w:lvlJc w:val="left"/>
      <w:lvlText w:val="%1:"/>
      <w:numFmt w:val="upperLetter"/>
      <w:start w:val="1"/>
    </w:lvl>
    <w:lvl w:ilvl="1">
      <w:lvlJc w:val="left"/>
      <w:lvlText w:val="•"/>
      <w:numFmt w:val="bullet"/>
      <w:start w:val="1"/>
    </w:lvl>
  </w:abstractNum>
  <w:abstractNum w:abstractNumId="111">
    <w:nsid w:val="17A1B582"/>
    <w:multiLevelType w:val="hybridMultilevel"/>
    <w:lvl w:ilvl="0">
      <w:lvlJc w:val="left"/>
      <w:lvlText w:val="%1:"/>
      <w:numFmt w:val="upperLetter"/>
      <w:start w:val="17"/>
    </w:lvl>
  </w:abstractNum>
  <w:abstractNum w:abstractNumId="112">
    <w:nsid w:val="4DF72E4E"/>
    <w:multiLevelType w:val="hybridMultilevel"/>
    <w:lvl w:ilvl="0">
      <w:lvlJc w:val="left"/>
      <w:lvlText w:val="%1:"/>
      <w:numFmt w:val="upperLetter"/>
      <w:start w:val="1"/>
    </w:lvl>
    <w:lvl w:ilvl="1">
      <w:lvlJc w:val="left"/>
      <w:lvlText w:val="•"/>
      <w:numFmt w:val="bullet"/>
      <w:start w:val="1"/>
    </w:lvl>
  </w:abstractNum>
  <w:abstractNum w:abstractNumId="113">
    <w:nsid w:val="5046B5A9"/>
    <w:multiLevelType w:val="hybridMultilevel"/>
    <w:lvl w:ilvl="0">
      <w:lvlJc w:val="left"/>
      <w:lvlText w:val="%1:"/>
      <w:numFmt w:val="upperLetter"/>
      <w:start w:val="17"/>
    </w:lvl>
  </w:abstractNum>
  <w:abstractNum w:abstractNumId="114">
    <w:nsid w:val="5D888A08"/>
    <w:multiLevelType w:val="hybridMultilevel"/>
    <w:lvl w:ilvl="0">
      <w:lvlJc w:val="left"/>
      <w:lvlText w:val="%1:"/>
      <w:numFmt w:val="upperLetter"/>
      <w:start w:val="1"/>
    </w:lvl>
    <w:lvl w:ilvl="1">
      <w:lvlJc w:val="left"/>
      <w:lvlText w:val="•"/>
      <w:numFmt w:val="bullet"/>
      <w:start w:val="1"/>
    </w:lvl>
  </w:abstractNum>
  <w:abstractNum w:abstractNumId="115">
    <w:nsid w:val="2A082C70"/>
    <w:multiLevelType w:val="hybridMultilevel"/>
    <w:lvl w:ilvl="0">
      <w:lvlJc w:val="left"/>
      <w:lvlText w:val="%1:"/>
      <w:numFmt w:val="upperLetter"/>
      <w:start w:val="17"/>
    </w:lvl>
  </w:abstractNum>
  <w:abstractNum w:abstractNumId="116">
    <w:nsid w:val="5EC6AFD4"/>
    <w:multiLevelType w:val="hybridMultilevel"/>
    <w:lvl w:ilvl="0">
      <w:lvlJc w:val="left"/>
      <w:lvlText w:val="%1:"/>
      <w:numFmt w:val="upperLetter"/>
      <w:start w:val="1"/>
    </w:lvl>
    <w:lvl w:ilvl="1">
      <w:lvlJc w:val="left"/>
      <w:lvlText w:val="•"/>
      <w:numFmt w:val="bullet"/>
      <w:start w:val="1"/>
    </w:lvl>
  </w:abstractNum>
  <w:abstractNum w:abstractNumId="117">
    <w:nsid w:val="19E21BB2"/>
    <w:multiLevelType w:val="hybridMultilevel"/>
    <w:lvl w:ilvl="0">
      <w:lvlJc w:val="left"/>
      <w:lvlText w:val="%1:"/>
      <w:numFmt w:val="upperLetter"/>
      <w:start w:val="17"/>
    </w:lvl>
  </w:abstractNum>
  <w:abstractNum w:abstractNumId="118">
    <w:nsid w:val="75E0858A"/>
    <w:multiLevelType w:val="hybridMultilevel"/>
    <w:lvl w:ilvl="0">
      <w:lvlJc w:val="left"/>
      <w:lvlText w:val="%1:"/>
      <w:numFmt w:val="upperLetter"/>
      <w:start w:val="1"/>
    </w:lvl>
    <w:lvl w:ilvl="1">
      <w:lvlJc w:val="left"/>
      <w:lvlText w:val="•"/>
      <w:numFmt w:val="bullet"/>
      <w:start w:val="1"/>
    </w:lvl>
  </w:abstractNum>
  <w:abstractNum w:abstractNumId="119">
    <w:nsid w:val="57A61A29"/>
    <w:multiLevelType w:val="hybridMultilevel"/>
    <w:lvl w:ilvl="0">
      <w:lvlJc w:val="left"/>
      <w:lvlText w:val="%1:"/>
      <w:numFmt w:val="upperLetter"/>
      <w:start w:val="1"/>
    </w:lvl>
    <w:lvl w:ilvl="1">
      <w:lvlJc w:val="left"/>
      <w:lvlText w:val="•"/>
      <w:numFmt w:val="bullet"/>
      <w:start w:val="1"/>
    </w:lvl>
  </w:abstractNum>
  <w:abstractNum w:abstractNumId="120">
    <w:nsid w:val="5399C654"/>
    <w:multiLevelType w:val="hybridMultilevel"/>
    <w:lvl w:ilvl="0">
      <w:lvlJc w:val="left"/>
      <w:lvlText w:val="%1:"/>
      <w:numFmt w:val="upperLetter"/>
      <w:start w:val="1"/>
    </w:lvl>
    <w:lvl w:ilvl="1">
      <w:lvlJc w:val="left"/>
      <w:lvlText w:val="•"/>
      <w:numFmt w:val="bullet"/>
      <w:start w:val="1"/>
    </w:lvl>
  </w:abstractNum>
  <w:abstractNum w:abstractNumId="121">
    <w:nsid w:val="20EE1348"/>
    <w:multiLevelType w:val="hybridMultilevel"/>
    <w:lvl w:ilvl="0">
      <w:lvlJc w:val="left"/>
      <w:lvlText w:val="%1:"/>
      <w:numFmt w:val="upperLetter"/>
      <w:start w:val="17"/>
    </w:lvl>
  </w:abstractNum>
  <w:abstractNum w:abstractNumId="122">
    <w:nsid w:val="4427069A"/>
    <w:multiLevelType w:val="hybridMultilevel"/>
    <w:lvl w:ilvl="0">
      <w:lvlJc w:val="left"/>
      <w:lvlText w:val="%1:"/>
      <w:numFmt w:val="upperLetter"/>
      <w:start w:val="1"/>
    </w:lvl>
  </w:abstractNum>
  <w:abstractNum w:abstractNumId="123">
    <w:nsid w:val="B37E80A"/>
    <w:multiLevelType w:val="hybridMultilevel"/>
    <w:lvl w:ilvl="0">
      <w:lvlJc w:val="left"/>
      <w:lvlText w:val="%1:"/>
      <w:numFmt w:val="upperLetter"/>
      <w:start w:val="1"/>
    </w:lvl>
  </w:abstractNum>
  <w:abstractNum w:abstractNumId="124">
    <w:nsid w:val="2157F6BC"/>
    <w:multiLevelType w:val="hybridMultilevel"/>
    <w:lvl w:ilvl="0">
      <w:lvlJc w:val="left"/>
      <w:lvlText w:val="%1:"/>
      <w:numFmt w:val="upperLetter"/>
      <w:start w:val="1"/>
    </w:lvl>
  </w:abstractNum>
  <w:abstractNum w:abstractNumId="125">
    <w:nsid w:val="704E1DD5"/>
    <w:multiLevelType w:val="hybridMultilevel"/>
    <w:lvl w:ilvl="0">
      <w:lvlJc w:val="left"/>
      <w:lvlText w:val="%1:"/>
      <w:numFmt w:val="upperLetter"/>
      <w:start w:val="1"/>
    </w:lvl>
  </w:abstractNum>
  <w:abstractNum w:abstractNumId="126">
    <w:nsid w:val="57D2F10E"/>
    <w:multiLevelType w:val="hybridMultilevel"/>
    <w:lvl w:ilvl="0">
      <w:lvlJc w:val="left"/>
      <w:lvlText w:val="%1:"/>
      <w:numFmt w:val="upperLetter"/>
      <w:start w:val="1"/>
    </w:lvl>
  </w:abstractNum>
  <w:abstractNum w:abstractNumId="127">
    <w:nsid w:val="BFFAE18"/>
    <w:multiLevelType w:val="hybridMultilevel"/>
    <w:lvl w:ilvl="0">
      <w:lvlJc w:val="left"/>
      <w:lvlText w:val="%1:"/>
      <w:numFmt w:val="upperLetter"/>
      <w:start w:val="17"/>
    </w:lvl>
  </w:abstractNum>
  <w:abstractNum w:abstractNumId="128">
    <w:nsid w:val="E3E47A8"/>
    <w:multiLevelType w:val="hybridMultilevel"/>
    <w:lvl w:ilvl="0">
      <w:lvlJc w:val="left"/>
      <w:lvlText w:val="%1:"/>
      <w:numFmt w:val="upperLetter"/>
      <w:start w:val="1"/>
    </w:lvl>
    <w:lvl w:ilvl="1">
      <w:lvlJc w:val="left"/>
      <w:lvlText w:val="•"/>
      <w:numFmt w:val="bullet"/>
      <w:start w:val="1"/>
    </w:lvl>
  </w:abstractNum>
  <w:abstractNum w:abstractNumId="129">
    <w:nsid w:val="2E48F044"/>
    <w:multiLevelType w:val="hybridMultilevel"/>
    <w:lvl w:ilvl="0">
      <w:lvlJc w:val="left"/>
      <w:lvlText w:val="%1:"/>
      <w:numFmt w:val="upperLetter"/>
      <w:start w:val="1"/>
    </w:lvl>
  </w:abstractNum>
  <w:abstractNum w:abstractNumId="130">
    <w:nsid w:val="49D0FEAC"/>
    <w:multiLevelType w:val="hybridMultilevel"/>
    <w:lvl w:ilvl="0">
      <w:lvlJc w:val="left"/>
      <w:lvlText w:val="%1:"/>
      <w:numFmt w:val="upperLetter"/>
      <w:start w:val="1"/>
    </w:lvl>
  </w:abstractNum>
  <w:abstractNum w:abstractNumId="131">
    <w:nsid w:val="4BEE5A5B"/>
    <w:multiLevelType w:val="hybridMultilevel"/>
    <w:lvl w:ilvl="0">
      <w:lvlJc w:val="left"/>
      <w:lvlText w:val="%1:"/>
      <w:numFmt w:val="upperLetter"/>
      <w:start w:val="1"/>
    </w:lvl>
  </w:abstractNum>
  <w:abstractNum w:abstractNumId="132">
    <w:nsid w:val="5551B9F3"/>
    <w:multiLevelType w:val="hybridMultilevel"/>
    <w:lvl w:ilvl="0">
      <w:lvlJc w:val="left"/>
      <w:lvlText w:val="%1:"/>
      <w:numFmt w:val="upperLetter"/>
      <w:start w:val="1"/>
    </w:lvl>
    <w:lvl w:ilvl="1">
      <w:lvlJc w:val="left"/>
      <w:lvlText w:val="•"/>
      <w:numFmt w:val="bullet"/>
      <w:start w:val="1"/>
    </w:lvl>
  </w:abstractNum>
  <w:abstractNum w:abstractNumId="133">
    <w:nsid w:val="24F6AB8E"/>
    <w:multiLevelType w:val="hybridMultilevel"/>
    <w:lvl w:ilvl="0">
      <w:lvlJc w:val="left"/>
      <w:lvlText w:val="%1:"/>
      <w:numFmt w:val="upperLetter"/>
      <w:start w:val="16"/>
    </w:lvl>
    <w:lvl w:ilvl="1">
      <w:lvlJc w:val="left"/>
      <w:lvlText w:val="•"/>
      <w:numFmt w:val="bullet"/>
      <w:start w:val="1"/>
    </w:lvl>
  </w:abstractNum>
  <w:abstractNum w:abstractNumId="134">
    <w:nsid w:val="634C574C"/>
    <w:multiLevelType w:val="hybridMultilevel"/>
    <w:lvl w:ilvl="0">
      <w:lvlJc w:val="left"/>
      <w:lvlText w:val="%1:"/>
      <w:numFmt w:val="upperLetter"/>
      <w:start w:val="1"/>
    </w:lvl>
  </w:abstractNum>
  <w:abstractNum w:abstractNumId="135">
    <w:nsid w:val="24E99DD7"/>
    <w:multiLevelType w:val="hybridMultilevel"/>
    <w:lvl w:ilvl="0">
      <w:lvlJc w:val="left"/>
      <w:lvlText w:val="%1:"/>
      <w:numFmt w:val="upperLetter"/>
      <w:start w:val="1"/>
    </w:lvl>
  </w:abstractNum>
  <w:abstractNum w:abstractNumId="136">
    <w:nsid w:val="2A31B62D"/>
    <w:multiLevelType w:val="hybridMultilevel"/>
    <w:lvl w:ilvl="0">
      <w:lvlJc w:val="left"/>
      <w:lvlText w:val="%1:"/>
      <w:numFmt w:val="upperLetter"/>
      <w:start w:val="1"/>
    </w:lvl>
  </w:abstractNum>
  <w:abstractNum w:abstractNumId="137">
    <w:nsid w:val="1849C29B"/>
    <w:multiLevelType w:val="hybridMultilevel"/>
    <w:lvl w:ilvl="0">
      <w:lvlJc w:val="left"/>
      <w:lvlText w:val="%1:"/>
      <w:numFmt w:val="upperLetter"/>
      <w:start w:val="17"/>
    </w:lvl>
  </w:abstractNum>
  <w:abstractNum w:abstractNumId="138">
    <w:nsid w:val="7DFF9D09"/>
    <w:multiLevelType w:val="hybridMultilevel"/>
    <w:lvl w:ilvl="0">
      <w:lvlJc w:val="left"/>
      <w:lvlText w:val="%1:"/>
      <w:numFmt w:val="upperLetter"/>
      <w:start w:val="1"/>
    </w:lvl>
  </w:abstractNum>
  <w:abstractNum w:abstractNumId="139">
    <w:nsid w:val="754342"/>
    <w:multiLevelType w:val="hybridMultilevel"/>
    <w:lvl w:ilvl="0">
      <w:lvlJc w:val="left"/>
      <w:lvlText w:val="%1:"/>
      <w:numFmt w:val="upperLetter"/>
      <w:start w:val="1"/>
    </w:lvl>
  </w:abstractNum>
  <w:abstractNum w:abstractNumId="140">
    <w:nsid w:val="69E7F3E5"/>
    <w:multiLevelType w:val="hybridMultilevel"/>
    <w:lvl w:ilvl="0">
      <w:lvlJc w:val="left"/>
      <w:lvlText w:val="•"/>
      <w:numFmt w:val="bullet"/>
      <w:start w:val="1"/>
    </w:lvl>
  </w:abstractNum>
  <w:abstractNum w:abstractNumId="141">
    <w:nsid w:val="2A6DE80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2025-04-02T07:38:55Z</dcterms:created>
  <dcterms:modified xsi:type="dcterms:W3CDTF">2025-04-02T07:38:55Z</dcterms:modified>
</cp:coreProperties>
</file>