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500" w:right="37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2960"/>
        <w:spacing w:after="0"/>
        <w:tabs>
          <w:tab w:leader="none" w:pos="6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Commission file number 001-39095</w:t>
      </w:r>
    </w:p>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43"/>
          <w:szCs w:val="43"/>
          <w:b w:val="1"/>
          <w:bCs w:val="1"/>
          <w:u w:val="single" w:color="auto"/>
          <w:color w:val="auto"/>
        </w:rPr>
        <w:t>UNITED COMMUNITY BANKS, INC.</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06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Georgia</w:t>
            </w:r>
          </w:p>
        </w:tc>
        <w:tc>
          <w:tcPr>
            <w:tcW w:w="5660" w:type="dxa"/>
            <w:vAlign w:val="bottom"/>
            <w:gridSpan w:val="4"/>
          </w:tcPr>
          <w:p>
            <w:pPr>
              <w:jc w:val="right"/>
              <w:ind w:right="1790"/>
              <w:spacing w:after="0"/>
              <w:rPr>
                <w:sz w:val="20"/>
                <w:szCs w:val="20"/>
                <w:color w:val="auto"/>
              </w:rPr>
            </w:pPr>
            <w:r>
              <w:rPr>
                <w:rFonts w:ascii="Arial" w:cs="Arial" w:eastAsia="Arial" w:hAnsi="Arial"/>
                <w:sz w:val="18"/>
                <w:szCs w:val="18"/>
                <w:b w:val="1"/>
                <w:bCs w:val="1"/>
                <w:color w:val="auto"/>
              </w:rPr>
              <w:t>58-1807304</w:t>
            </w:r>
          </w:p>
        </w:tc>
      </w:tr>
      <w:tr>
        <w:trPr>
          <w:trHeight w:val="228"/>
        </w:trPr>
        <w:tc>
          <w:tcPr>
            <w:tcW w:w="4060" w:type="dxa"/>
            <w:vAlign w:val="bottom"/>
            <w:tcBorders>
              <w:top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1"/>
              </w:rPr>
              <w:t>(State of Incorporation)</w:t>
            </w:r>
          </w:p>
        </w:tc>
        <w:tc>
          <w:tcPr>
            <w:tcW w:w="5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60" w:type="dxa"/>
            <w:vAlign w:val="bottom"/>
            <w:tcBorders>
              <w:top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09"/>
        </w:trPr>
        <w:tc>
          <w:tcPr>
            <w:tcW w:w="4060" w:type="dxa"/>
            <w:vAlign w:val="bottom"/>
          </w:tcPr>
          <w:p>
            <w:pPr>
              <w:jc w:val="center"/>
              <w:ind w:left="430"/>
              <w:spacing w:after="0"/>
              <w:rPr>
                <w:sz w:val="20"/>
                <w:szCs w:val="20"/>
                <w:color w:val="auto"/>
              </w:rPr>
            </w:pPr>
            <w:r>
              <w:rPr>
                <w:rFonts w:ascii="Arial" w:cs="Arial" w:eastAsia="Arial" w:hAnsi="Arial"/>
                <w:sz w:val="18"/>
                <w:szCs w:val="18"/>
                <w:b w:val="1"/>
                <w:bCs w:val="1"/>
                <w:color w:val="auto"/>
                <w:w w:val="90"/>
              </w:rPr>
              <w:t>125 Highway 515 East</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34"/>
        </w:trPr>
        <w:tc>
          <w:tcPr>
            <w:tcW w:w="4060" w:type="dxa"/>
            <w:vAlign w:val="bottom"/>
          </w:tcPr>
          <w:p>
            <w:pPr>
              <w:jc w:val="center"/>
              <w:ind w:left="450"/>
              <w:spacing w:after="0"/>
              <w:rPr>
                <w:sz w:val="20"/>
                <w:szCs w:val="20"/>
                <w:color w:val="auto"/>
              </w:rPr>
            </w:pPr>
            <w:r>
              <w:rPr>
                <w:rFonts w:ascii="Arial" w:cs="Arial" w:eastAsia="Arial" w:hAnsi="Arial"/>
                <w:sz w:val="18"/>
                <w:szCs w:val="18"/>
                <w:b w:val="1"/>
                <w:bCs w:val="1"/>
                <w:color w:val="auto"/>
                <w:w w:val="90"/>
              </w:rPr>
              <w:t>Blairsville, Georgia</w:t>
            </w:r>
          </w:p>
        </w:tc>
        <w:tc>
          <w:tcPr>
            <w:tcW w:w="5660" w:type="dxa"/>
            <w:vAlign w:val="bottom"/>
            <w:gridSpan w:val="4"/>
          </w:tcPr>
          <w:p>
            <w:pPr>
              <w:jc w:val="right"/>
              <w:ind w:right="2010"/>
              <w:spacing w:after="0"/>
              <w:rPr>
                <w:sz w:val="20"/>
                <w:szCs w:val="20"/>
                <w:color w:val="auto"/>
              </w:rPr>
            </w:pPr>
            <w:r>
              <w:rPr>
                <w:rFonts w:ascii="Arial" w:cs="Arial" w:eastAsia="Arial" w:hAnsi="Arial"/>
                <w:sz w:val="18"/>
                <w:szCs w:val="18"/>
                <w:b w:val="1"/>
                <w:bCs w:val="1"/>
                <w:color w:val="auto"/>
              </w:rPr>
              <w:t>30512</w:t>
            </w:r>
          </w:p>
        </w:tc>
      </w:tr>
      <w:tr>
        <w:trPr>
          <w:trHeight w:val="228"/>
        </w:trPr>
        <w:tc>
          <w:tcPr>
            <w:tcW w:w="4060" w:type="dxa"/>
            <w:vAlign w:val="bottom"/>
            <w:tcBorders>
              <w:top w:val="single" w:sz="8" w:color="auto"/>
            </w:tcBorders>
          </w:tcPr>
          <w:p>
            <w:pPr>
              <w:jc w:val="center"/>
              <w:ind w:left="45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5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60" w:type="dxa"/>
            <w:vAlign w:val="bottom"/>
            <w:tcBorders>
              <w:top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4"/>
              </w:rPr>
              <w:t>(Zip Code)</w:t>
            </w:r>
          </w:p>
        </w:tc>
      </w:tr>
      <w:tr>
        <w:trPr>
          <w:trHeight w:val="400"/>
        </w:trPr>
        <w:tc>
          <w:tcPr>
            <w:tcW w:w="4060" w:type="dxa"/>
            <w:vAlign w:val="bottom"/>
          </w:tcPr>
          <w:p>
            <w:pPr>
              <w:spacing w:after="0"/>
              <w:rPr>
                <w:sz w:val="24"/>
                <w:szCs w:val="24"/>
                <w:color w:val="auto"/>
              </w:rPr>
            </w:pPr>
          </w:p>
        </w:tc>
        <w:tc>
          <w:tcPr>
            <w:tcW w:w="16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(706) 781-2265</w:t>
            </w:r>
          </w:p>
        </w:tc>
        <w:tc>
          <w:tcPr>
            <w:tcW w:w="4060" w:type="dxa"/>
            <w:vAlign w:val="bottom"/>
          </w:tcPr>
          <w:p>
            <w:pPr>
              <w:spacing w:after="0"/>
              <w:rPr>
                <w:sz w:val="24"/>
                <w:szCs w:val="24"/>
                <w:color w:val="auto"/>
              </w:rPr>
            </w:pPr>
          </w:p>
        </w:tc>
      </w:tr>
      <w:tr>
        <w:trPr>
          <w:trHeight w:val="228"/>
        </w:trPr>
        <w:tc>
          <w:tcPr>
            <w:tcW w:w="4060" w:type="dxa"/>
            <w:vAlign w:val="bottom"/>
          </w:tcPr>
          <w:p>
            <w:pPr>
              <w:spacing w:after="0"/>
              <w:rPr>
                <w:sz w:val="19"/>
                <w:szCs w:val="19"/>
                <w:color w:val="auto"/>
              </w:rPr>
            </w:pPr>
          </w:p>
        </w:tc>
        <w:tc>
          <w:tcPr>
            <w:tcW w:w="16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(Telephone Number)</w:t>
            </w:r>
          </w:p>
        </w:tc>
        <w:tc>
          <w:tcPr>
            <w:tcW w:w="4060" w:type="dxa"/>
            <w:vAlign w:val="bottom"/>
          </w:tcPr>
          <w:p>
            <w:pPr>
              <w:spacing w:after="0"/>
              <w:rPr>
                <w:sz w:val="19"/>
                <w:szCs w:val="19"/>
                <w:color w:val="auto"/>
              </w:rPr>
            </w:pPr>
          </w:p>
        </w:tc>
      </w:tr>
    </w:tbl>
    <w:p>
      <w:pPr>
        <w:spacing w:after="0" w:line="139" w:lineRule="exact"/>
        <w:rPr>
          <w:sz w:val="20"/>
          <w:szCs w:val="20"/>
          <w:color w:val="auto"/>
        </w:rPr>
      </w:pPr>
    </w:p>
    <w:p>
      <w:pPr>
        <w:jc w:val="both"/>
        <w:ind w:left="340" w:right="179"/>
        <w:spacing w:after="0" w:line="229" w:lineRule="exact"/>
        <w:rPr>
          <w:sz w:val="20"/>
          <w:szCs w:val="20"/>
          <w:color w:val="auto"/>
        </w:rPr>
      </w:pPr>
      <w:r>
        <w:rPr>
          <w:rFonts w:ascii="Arial" w:cs="Arial" w:eastAsia="Arial" w:hAnsi="Arial"/>
          <w:sz w:val="17"/>
          <w:szCs w:val="17"/>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 xml:space="preserve"> NO </w:t>
      </w:r>
      <w:r>
        <w:rPr>
          <w:rFonts w:ascii="Arial" w:cs="Arial" w:eastAsia="Arial" w:hAnsi="Arial"/>
          <w:sz w:val="17"/>
          <w:szCs w:val="17"/>
          <w:color w:val="auto"/>
        </w:rPr>
        <w:t>o</w:t>
      </w:r>
    </w:p>
    <w:p>
      <w:pPr>
        <w:spacing w:after="0" w:line="140" w:lineRule="exact"/>
        <w:rPr>
          <w:sz w:val="20"/>
          <w:szCs w:val="20"/>
          <w:color w:val="auto"/>
        </w:rPr>
      </w:pPr>
    </w:p>
    <w:p>
      <w:pPr>
        <w:jc w:val="both"/>
        <w:ind w:left="340" w:right="159"/>
        <w:spacing w:after="0" w:line="226" w:lineRule="exact"/>
        <w:rPr>
          <w:sz w:val="20"/>
          <w:szCs w:val="20"/>
          <w:color w:val="auto"/>
        </w:rPr>
      </w:pPr>
      <w:r>
        <w:rPr>
          <w:rFonts w:ascii="Arial" w:cs="Arial" w:eastAsia="Arial" w:hAnsi="Arial"/>
          <w:sz w:val="18"/>
          <w:szCs w:val="18"/>
          <w:b w:val="1"/>
          <w:bCs w:val="1"/>
          <w:color w:val="auto"/>
        </w:rPr>
        <w:t xml:space="preserve">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Arial" w:cs="Arial" w:eastAsia="Arial" w:hAnsi="Arial"/>
          <w:sz w:val="18"/>
          <w:szCs w:val="18"/>
          <w:color w:val="auto"/>
        </w:rPr>
        <w:t>o</w:t>
      </w:r>
    </w:p>
    <w:p>
      <w:pPr>
        <w:spacing w:after="0" w:line="153" w:lineRule="exact"/>
        <w:rPr>
          <w:sz w:val="20"/>
          <w:szCs w:val="20"/>
          <w:color w:val="auto"/>
        </w:rPr>
      </w:pPr>
    </w:p>
    <w:p>
      <w:pPr>
        <w:jc w:val="both"/>
        <w:ind w:left="340" w:right="159"/>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or a non-accelerated filer or a smaller reporting company. See definitions of “large accelerated filer”, “accelerated filer” and “smaller reporting company” in Rule 12b-2 of the Exchange Act.</w:t>
      </w:r>
    </w:p>
    <w:p>
      <w:pPr>
        <w:sectPr>
          <w:pgSz w:w="11900" w:h="16838" w:orient="portrait"/>
          <w:cols w:equalWidth="0" w:num="1">
            <w:col w:w="10219"/>
          </w:cols>
          <w:pgMar w:left="240" w:top="122" w:right="1440" w:bottom="1440" w:gutter="0" w:footer="0" w:header="0"/>
        </w:sectPr>
      </w:pP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Large accelerated filer </w:t>
      </w:r>
      <w:r>
        <w:rPr>
          <w:rFonts w:ascii="Arial" w:cs="Arial" w:eastAsia="Arial" w:hAnsi="Arial"/>
          <w:sz w:val="16"/>
          <w:szCs w:val="16"/>
          <w:color w:val="auto"/>
        </w:rPr>
        <w:t>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Non-accelerated filer </w:t>
      </w:r>
      <w:r>
        <w:rPr>
          <w:rFonts w:ascii="Arial" w:cs="Arial" w:eastAsia="Arial" w:hAnsi="Arial"/>
          <w:sz w:val="18"/>
          <w:szCs w:val="18"/>
          <w:color w:val="auto"/>
        </w:rPr>
        <w: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Smaller Reporting Company </w:t>
      </w:r>
      <w:r>
        <w:rPr>
          <w:rFonts w:ascii="Arial" w:cs="Arial" w:eastAsia="Arial" w:hAnsi="Arial"/>
          <w:sz w:val="16"/>
          <w:szCs w:val="16"/>
          <w:color w:val="auto"/>
        </w:rPr>
        <w:t>o</w:t>
      </w:r>
    </w:p>
    <w:p>
      <w:pPr>
        <w:spacing w:after="0" w:line="395" w:lineRule="exact"/>
        <w:rPr>
          <w:sz w:val="20"/>
          <w:szCs w:val="20"/>
          <w:color w:val="auto"/>
        </w:rPr>
      </w:pPr>
    </w:p>
    <w:p>
      <w:pPr>
        <w:sectPr>
          <w:pgSz w:w="11900" w:h="16838" w:orient="portrait"/>
          <w:cols w:equalWidth="0" w:num="4">
            <w:col w:w="2200" w:space="200"/>
            <w:col w:w="1480" w:space="160"/>
            <w:col w:w="3540" w:space="120"/>
            <w:col w:w="2519"/>
          </w:cols>
          <w:pgMar w:left="240" w:top="122" w:right="1440" w:bottom="1440" w:gutter="0" w:footer="0" w:header="0"/>
          <w:type w:val="continuous"/>
        </w:sectPr>
      </w:pPr>
    </w:p>
    <w:p>
      <w:pPr>
        <w:ind w:left="340"/>
        <w:spacing w:after="0" w:line="184" w:lineRule="exact"/>
        <w:rPr>
          <w:sz w:val="20"/>
          <w:szCs w:val="20"/>
          <w:color w:val="auto"/>
        </w:rPr>
      </w:pPr>
      <w:r>
        <w:rPr>
          <w:rFonts w:ascii="Arial" w:cs="Arial" w:eastAsia="Arial" w:hAnsi="Arial"/>
          <w:sz w:val="16"/>
          <w:szCs w:val="16"/>
          <w:b w:val="1"/>
          <w:bCs w:val="1"/>
          <w:color w:val="auto"/>
        </w:rPr>
        <w:t xml:space="preserve">Indicate by check mark whether the registrant is a shell company (as defined in Rule 12b-2 of the Act). YES o NO </w:t>
      </w:r>
      <w:r>
        <w:rPr>
          <w:rFonts w:ascii="MS PGothic" w:cs="MS PGothic" w:eastAsia="MS PGothic" w:hAnsi="MS PGothic"/>
          <w:sz w:val="16"/>
          <w:szCs w:val="16"/>
          <w:color w:val="auto"/>
        </w:rPr>
        <w:t>☑</w:t>
      </w:r>
    </w:p>
    <w:p>
      <w:pPr>
        <w:spacing w:after="0" w:line="236"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auto"/>
        </w:rPr>
        <w:t>Common stock, par value $1 per share 41,568,707 shares voting and 15,914,209 shares non-voting outstanding as of</w:t>
      </w:r>
    </w:p>
    <w:p>
      <w:pPr>
        <w:spacing w:after="0" w:line="62"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July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134620</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151765</wp:posOffset>
            </wp:positionV>
            <wp:extent cx="61747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809625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840" w:type="dxa"/>
            <w:vAlign w:val="bottom"/>
            <w:gridSpan w:val="27"/>
          </w:tcPr>
          <w:p>
            <w:pPr>
              <w:spacing w:after="0"/>
              <w:rPr>
                <w:sz w:val="20"/>
                <w:szCs w:val="20"/>
                <w:color w:val="auto"/>
              </w:rPr>
            </w:pPr>
            <w:r>
              <w:rPr>
                <w:rFonts w:ascii="Arial" w:cs="Arial" w:eastAsia="Arial" w:hAnsi="Arial"/>
                <w:sz w:val="18"/>
                <w:szCs w:val="18"/>
                <w:b w:val="1"/>
                <w:bCs w:val="1"/>
                <w:color w:val="auto"/>
              </w:rPr>
              <w:t>INDEX</w:t>
            </w:r>
          </w:p>
        </w:tc>
        <w:tc>
          <w:tcPr>
            <w:tcW w:w="780" w:type="dxa"/>
            <w:vAlign w:val="bottom"/>
          </w:tcPr>
          <w:p>
            <w:pPr>
              <w:spacing w:after="0"/>
              <w:rPr>
                <w:sz w:val="20"/>
                <w:szCs w:val="20"/>
                <w:color w:val="auto"/>
              </w:rPr>
            </w:pPr>
          </w:p>
        </w:tc>
      </w:tr>
      <w:tr>
        <w:trPr>
          <w:trHeight w:val="392"/>
        </w:trPr>
        <w:tc>
          <w:tcPr>
            <w:tcW w:w="2560" w:type="dxa"/>
            <w:vAlign w:val="bottom"/>
            <w:tcBorders>
              <w:bottom w:val="single" w:sz="8" w:color="0000EE"/>
            </w:tcBorders>
            <w:gridSpan w:val="15"/>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 — Financial Information</w:t>
              </w:r>
            </w:hyperlink>
          </w:p>
        </w:tc>
        <w:tc>
          <w:tcPr>
            <w:tcW w:w="628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Borders>
              <w:bottom w:val="single" w:sz="8" w:color="0000EE"/>
            </w:tcBorders>
            <w:gridSpan w:val="12"/>
          </w:tcPr>
          <w:p>
            <w:pPr>
              <w:spacing w:after="0"/>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Item 1. Financial Statements</w:t>
              </w:r>
            </w:hyperlink>
          </w:p>
        </w:tc>
        <w:tc>
          <w:tcPr>
            <w:tcW w:w="644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20" w:type="dxa"/>
            <w:vAlign w:val="bottom"/>
            <w:tcBorders>
              <w:bottom w:val="single" w:sz="8" w:color="0000EE"/>
            </w:tcBorders>
            <w:gridSpan w:val="23"/>
          </w:tcPr>
          <w:p>
            <w:pPr>
              <w:spacing w:after="0"/>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Consolidated Statement of Operations (unaudited) for the Three and Six Months Ended June 30, 2011</w:t>
              </w:r>
            </w:hyperlink>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and 2010</w:t>
              </w:r>
            </w:hyperlink>
          </w:p>
        </w:tc>
        <w:tc>
          <w:tcPr>
            <w:tcW w:w="754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60" w:type="dxa"/>
            <w:vAlign w:val="bottom"/>
            <w:tcBorders>
              <w:bottom w:val="single" w:sz="8" w:color="0000EE"/>
            </w:tcBorders>
            <w:gridSpan w:val="21"/>
          </w:tcPr>
          <w:p>
            <w:pPr>
              <w:spacing w:after="0"/>
              <w:rPr>
                <w:rFonts w:ascii="Arial" w:cs="Arial" w:eastAsia="Arial" w:hAnsi="Arial"/>
                <w:sz w:val="18"/>
                <w:szCs w:val="18"/>
                <w:b w:val="1"/>
                <w:bCs w:val="1"/>
                <w:color w:val="0000EE"/>
                <w:w w:val="89"/>
              </w:rPr>
            </w:pPr>
            <w:hyperlink w:anchor="page6">
              <w:r>
                <w:rPr>
                  <w:rFonts w:ascii="Arial" w:cs="Arial" w:eastAsia="Arial" w:hAnsi="Arial"/>
                  <w:sz w:val="18"/>
                  <w:szCs w:val="18"/>
                  <w:b w:val="1"/>
                  <w:bCs w:val="1"/>
                  <w:color w:val="0000EE"/>
                  <w:w w:val="89"/>
                </w:rPr>
                <w:t>Consolidated Balance Sheet at June 30, 2011 (unaudited), December 31, 2010 (audited) and June 30,</w:t>
              </w:r>
            </w:hyperlink>
          </w:p>
        </w:tc>
        <w:tc>
          <w:tcPr>
            <w:tcW w:w="78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40" w:type="dxa"/>
            <w:vAlign w:val="bottom"/>
            <w:gridSpan w:val="23"/>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2010 (unaudited)</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40" w:type="dxa"/>
            <w:vAlign w:val="bottom"/>
            <w:gridSpan w:val="24"/>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Consolidated Statement of Changes in Shareholders’ Equity (unaudited) for the Six Months Ended</w:t>
              </w:r>
            </w:hyperlink>
          </w:p>
        </w:tc>
        <w:tc>
          <w:tcPr>
            <w:tcW w:w="78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June 30, 2011 and 2010</w:t>
              </w:r>
            </w:hyperlink>
          </w:p>
        </w:tc>
        <w:tc>
          <w:tcPr>
            <w:tcW w:w="5600" w:type="dxa"/>
            <w:vAlign w:val="bottom"/>
            <w:tcBorders>
              <w:top w:val="single" w:sz="8" w:color="0000EE"/>
            </w:tcBorders>
            <w:gridSpan w:val="10"/>
          </w:tcPr>
          <w:p>
            <w:pPr>
              <w:spacing w:after="0"/>
              <w:rPr>
                <w:sz w:val="17"/>
                <w:szCs w:val="17"/>
                <w:color w:val="auto"/>
              </w:rPr>
            </w:pPr>
          </w:p>
        </w:tc>
        <w:tc>
          <w:tcPr>
            <w:tcW w:w="86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40" w:type="dxa"/>
            <w:vAlign w:val="bottom"/>
            <w:gridSpan w:val="24"/>
          </w:tcPr>
          <w:p>
            <w:pPr>
              <w:spacing w:after="0"/>
              <w:rPr>
                <w:rFonts w:ascii="Arial" w:cs="Arial" w:eastAsia="Arial" w:hAnsi="Arial"/>
                <w:sz w:val="18"/>
                <w:szCs w:val="18"/>
                <w:b w:val="1"/>
                <w:bCs w:val="1"/>
                <w:color w:val="0000EE"/>
                <w:w w:val="97"/>
              </w:rPr>
            </w:pPr>
            <w:hyperlink w:anchor="page8">
              <w:r>
                <w:rPr>
                  <w:rFonts w:ascii="Arial" w:cs="Arial" w:eastAsia="Arial" w:hAnsi="Arial"/>
                  <w:sz w:val="18"/>
                  <w:szCs w:val="18"/>
                  <w:b w:val="1"/>
                  <w:bCs w:val="1"/>
                  <w:color w:val="0000EE"/>
                  <w:w w:val="97"/>
                </w:rPr>
                <w:t>Consolidated Statement of Cash Flows (unaudited) for the Six Months Ended June 30, 2011 and 2010</w:t>
              </w:r>
            </w:hyperlink>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Borders>
              <w:top w:val="single" w:sz="8" w:color="0000EE"/>
              <w:bottom w:val="single" w:sz="8" w:color="0000EE"/>
            </w:tcBorders>
            <w:gridSpan w:val="16"/>
          </w:tcPr>
          <w:p>
            <w:pPr>
              <w:spacing w:after="0"/>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Notes to Consolidated Financial Statements</w:t>
              </w:r>
            </w:hyperlink>
          </w:p>
        </w:tc>
        <w:tc>
          <w:tcPr>
            <w:tcW w:w="4400" w:type="dxa"/>
            <w:vAlign w:val="bottom"/>
            <w:tcBorders>
              <w:top w:val="single" w:sz="8" w:color="0000EE"/>
            </w:tcBorders>
            <w:gridSpan w:val="6"/>
          </w:tcPr>
          <w:p>
            <w:pPr>
              <w:spacing w:after="0"/>
              <w:rPr>
                <w:sz w:val="24"/>
                <w:szCs w:val="24"/>
                <w:color w:val="auto"/>
              </w:rPr>
            </w:pPr>
          </w:p>
        </w:tc>
        <w:tc>
          <w:tcPr>
            <w:tcW w:w="700" w:type="dxa"/>
            <w:vAlign w:val="bottom"/>
            <w:gridSpan w:val="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20" w:type="dxa"/>
            <w:vAlign w:val="bottom"/>
            <w:tcBorders>
              <w:bottom w:val="single" w:sz="8" w:color="0000EE"/>
            </w:tcBorders>
            <w:gridSpan w:val="20"/>
          </w:tcPr>
          <w:p>
            <w:pPr>
              <w:spacing w:after="0"/>
              <w:rPr>
                <w:rFonts w:ascii="Arial" w:cs="Arial" w:eastAsia="Arial" w:hAnsi="Arial"/>
                <w:sz w:val="18"/>
                <w:szCs w:val="18"/>
                <w:b w:val="1"/>
                <w:bCs w:val="1"/>
                <w:color w:val="0000EE"/>
                <w:w w:val="89"/>
              </w:rPr>
            </w:pPr>
            <w:hyperlink w:anchor="page31">
              <w:r>
                <w:rPr>
                  <w:rFonts w:ascii="Arial" w:cs="Arial" w:eastAsia="Arial" w:hAnsi="Arial"/>
                  <w:sz w:val="18"/>
                  <w:szCs w:val="18"/>
                  <w:b w:val="1"/>
                  <w:bCs w:val="1"/>
                  <w:color w:val="0000EE"/>
                  <w:w w:val="89"/>
                </w:rPr>
                <w:t>Item 2. Management’s Discussion and Analysis of Financial Condition and Results of Operations</w:t>
              </w:r>
            </w:hyperlink>
          </w:p>
        </w:tc>
        <w:tc>
          <w:tcPr>
            <w:tcW w:w="122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40" w:type="dxa"/>
            <w:vAlign w:val="bottom"/>
            <w:gridSpan w:val="25"/>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Item 3. 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40" w:type="dxa"/>
            <w:vAlign w:val="bottom"/>
            <w:tcBorders>
              <w:top w:val="single" w:sz="8" w:color="0000EE"/>
            </w:tcBorders>
            <w:gridSpan w:val="19"/>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Item 4. Controls and Procedures</w:t>
              </w:r>
            </w:hyperlink>
          </w:p>
        </w:tc>
        <w:tc>
          <w:tcPr>
            <w:tcW w:w="3400" w:type="dxa"/>
            <w:vAlign w:val="bottom"/>
            <w:gridSpan w:val="6"/>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840" w:type="dxa"/>
            <w:vAlign w:val="bottom"/>
            <w:gridSpan w:val="27"/>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PART II — Other Information</w:t>
              </w:r>
            </w:hyperlink>
          </w:p>
        </w:tc>
        <w:tc>
          <w:tcPr>
            <w:tcW w:w="780" w:type="dxa"/>
            <w:vAlign w:val="bottom"/>
          </w:tcPr>
          <w:p>
            <w:pPr>
              <w:spacing w:after="0"/>
              <w:rPr>
                <w:sz w:val="24"/>
                <w:szCs w:val="24"/>
                <w:color w:val="auto"/>
              </w:rPr>
            </w:pP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160" w:type="dxa"/>
            <w:vAlign w:val="bottom"/>
            <w:tcBorders>
              <w:top w:val="single" w:sz="8" w:color="0000EE"/>
            </w:tcBorders>
            <w:gridSpan w:val="10"/>
          </w:tcPr>
          <w:p>
            <w:pPr>
              <w:spacing w:after="0"/>
              <w:rPr>
                <w:rFonts w:ascii="Arial" w:cs="Arial" w:eastAsia="Arial" w:hAnsi="Arial"/>
                <w:sz w:val="18"/>
                <w:szCs w:val="18"/>
                <w:b w:val="1"/>
                <w:bCs w:val="1"/>
                <w:color w:val="0000EE"/>
                <w:w w:val="96"/>
              </w:rPr>
            </w:pPr>
            <w:hyperlink w:anchor="page63">
              <w:r>
                <w:rPr>
                  <w:rFonts w:ascii="Arial" w:cs="Arial" w:eastAsia="Arial" w:hAnsi="Arial"/>
                  <w:sz w:val="18"/>
                  <w:szCs w:val="18"/>
                  <w:b w:val="1"/>
                  <w:bCs w:val="1"/>
                  <w:color w:val="0000EE"/>
                  <w:w w:val="96"/>
                </w:rPr>
                <w:t>Item 1. Legal Proceedings</w:t>
              </w:r>
            </w:hyperlink>
          </w:p>
        </w:tc>
        <w:tc>
          <w:tcPr>
            <w:tcW w:w="648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Item 1A. Risk Factors</w:t>
              </w:r>
            </w:hyperlink>
          </w:p>
        </w:tc>
        <w:tc>
          <w:tcPr>
            <w:tcW w:w="6660" w:type="dxa"/>
            <w:vAlign w:val="bottom"/>
            <w:gridSpan w:val="17"/>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40" w:type="dxa"/>
            <w:vAlign w:val="bottom"/>
            <w:gridSpan w:val="25"/>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Item 2. 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40" w:type="dxa"/>
            <w:vAlign w:val="bottom"/>
            <w:tcBorders>
              <w:top w:val="single" w:sz="8" w:color="0000EE"/>
            </w:tcBorders>
            <w:gridSpan w:val="18"/>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Item 3. Defaults Upon Senior Securities</w:t>
              </w:r>
            </w:hyperlink>
          </w:p>
        </w:tc>
        <w:tc>
          <w:tcPr>
            <w:tcW w:w="3500" w:type="dxa"/>
            <w:vAlign w:val="bottom"/>
            <w:gridSpan w:val="7"/>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tcBorders>
              <w:top w:val="single" w:sz="8" w:color="0000EE"/>
            </w:tcBorders>
            <w:gridSpan w:val="16"/>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Item 4. (Removed and Reserved)</w:t>
              </w:r>
            </w:hyperlink>
          </w:p>
        </w:tc>
        <w:tc>
          <w:tcPr>
            <w:tcW w:w="5620" w:type="dxa"/>
            <w:vAlign w:val="bottom"/>
            <w:gridSpan w:val="9"/>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Borders>
              <w:top w:val="single" w:sz="8" w:color="0000EE"/>
            </w:tcBorders>
            <w:gridSpan w:val="15"/>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Item 5. Other Information</w:t>
              </w:r>
            </w:hyperlink>
          </w:p>
        </w:tc>
        <w:tc>
          <w:tcPr>
            <w:tcW w:w="614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90"/>
              </w:rPr>
            </w:pPr>
            <w:hyperlink w:anchor="page65">
              <w:r>
                <w:rPr>
                  <w:rFonts w:ascii="Arial" w:cs="Arial" w:eastAsia="Arial" w:hAnsi="Arial"/>
                  <w:sz w:val="18"/>
                  <w:szCs w:val="18"/>
                  <w:b w:val="1"/>
                  <w:bCs w:val="1"/>
                  <w:color w:val="0000EE"/>
                  <w:w w:val="90"/>
                </w:rPr>
                <w:t>Item 6. Exhibits</w:t>
              </w:r>
            </w:hyperlink>
          </w:p>
        </w:tc>
        <w:tc>
          <w:tcPr>
            <w:tcW w:w="800" w:type="dxa"/>
            <w:vAlign w:val="bottom"/>
            <w:tcBorders>
              <w:top w:val="single" w:sz="8" w:color="0000EE"/>
            </w:tcBorders>
            <w:gridSpan w:val="3"/>
          </w:tcPr>
          <w:p>
            <w:pPr>
              <w:spacing w:after="0"/>
              <w:rPr>
                <w:sz w:val="24"/>
                <w:szCs w:val="24"/>
                <w:color w:val="auto"/>
              </w:rPr>
            </w:pPr>
          </w:p>
        </w:tc>
        <w:tc>
          <w:tcPr>
            <w:tcW w:w="662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412"/>
        </w:trPr>
        <w:tc>
          <w:tcPr>
            <w:tcW w:w="40" w:type="dxa"/>
            <w:vAlign w:val="bottom"/>
          </w:tcPr>
          <w:p>
            <w:pPr>
              <w:spacing w:after="0"/>
              <w:rPr>
                <w:sz w:val="24"/>
                <w:szCs w:val="24"/>
                <w:color w:val="auto"/>
              </w:rPr>
            </w:pPr>
          </w:p>
        </w:tc>
        <w:tc>
          <w:tcPr>
            <w:tcW w:w="7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Exhibit 3.1</w:t>
            </w:r>
          </w:p>
        </w:tc>
        <w:tc>
          <w:tcPr>
            <w:tcW w:w="8020" w:type="dxa"/>
            <w:vAlign w:val="bottom"/>
            <w:gridSpan w:val="22"/>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8800" w:type="dxa"/>
            <w:vAlign w:val="bottom"/>
            <w:gridSpan w:val="26"/>
          </w:tcPr>
          <w:p>
            <w:pPr>
              <w:spacing w:after="0" w:line="196" w:lineRule="exact"/>
              <w:rPr>
                <w:sz w:val="20"/>
                <w:szCs w:val="20"/>
                <w:color w:val="auto"/>
              </w:rPr>
            </w:pPr>
            <w:r>
              <w:rPr>
                <w:rFonts w:ascii="Arial" w:cs="Arial" w:eastAsia="Arial" w:hAnsi="Arial"/>
                <w:sz w:val="18"/>
                <w:szCs w:val="18"/>
                <w:color w:val="0000EE"/>
              </w:rPr>
              <w:t>Exhibit 31.1</w:t>
            </w:r>
          </w:p>
        </w:tc>
        <w:tc>
          <w:tcPr>
            <w:tcW w:w="7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auto"/>
                <w:w w:val="99"/>
              </w:rPr>
              <w:t>Item 1</w:t>
            </w:r>
          </w:p>
        </w:tc>
        <w:tc>
          <w:tcPr>
            <w:tcW w:w="3740" w:type="dxa"/>
            <w:vAlign w:val="bottom"/>
            <w:gridSpan w:val="2"/>
          </w:tcPr>
          <w:p>
            <w:pPr>
              <w:ind w:left="220"/>
              <w:spacing w:after="0"/>
              <w:rPr>
                <w:sz w:val="20"/>
                <w:szCs w:val="20"/>
                <w:color w:val="auto"/>
              </w:rPr>
            </w:pPr>
            <w:r>
              <w:rPr>
                <w:rFonts w:ascii="Arial" w:cs="Arial" w:eastAsia="Arial" w:hAnsi="Arial"/>
                <w:sz w:val="18"/>
                <w:szCs w:val="18"/>
                <w:b w:val="1"/>
                <w:bCs w:val="1"/>
                <w:color w:val="auto"/>
              </w:rPr>
              <w:t>— Financial Statements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UNITED COMMUNITY BANKS, INC.</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280" w:type="dxa"/>
            <w:vAlign w:val="bottom"/>
            <w:gridSpan w:val="3"/>
          </w:tcPr>
          <w:p>
            <w:pPr>
              <w:spacing w:after="0"/>
              <w:rPr>
                <w:sz w:val="20"/>
                <w:szCs w:val="20"/>
                <w:color w:val="auto"/>
              </w:rPr>
            </w:pPr>
            <w:r>
              <w:rPr>
                <w:rFonts w:ascii="Arial" w:cs="Arial" w:eastAsia="Arial" w:hAnsi="Arial"/>
                <w:sz w:val="18"/>
                <w:szCs w:val="18"/>
                <w:b w:val="1"/>
                <w:bCs w:val="1"/>
                <w:color w:val="auto"/>
                <w:w w:val="99"/>
              </w:rPr>
              <w:t xml:space="preserve">Consolidated Statement of Operations </w:t>
            </w:r>
            <w:r>
              <w:rPr>
                <w:rFonts w:ascii="Arial" w:cs="Arial" w:eastAsia="Arial" w:hAnsi="Arial"/>
                <w:sz w:val="18"/>
                <w:szCs w:val="18"/>
                <w:i w:val="1"/>
                <w:iCs w:val="1"/>
                <w:color w:val="auto"/>
                <w:w w:val="99"/>
              </w:rPr>
              <w:t>(Unaudited)</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24"/>
                <w:szCs w:val="24"/>
                <w:color w:val="auto"/>
              </w:rPr>
            </w:pPr>
          </w:p>
        </w:tc>
        <w:tc>
          <w:tcPr>
            <w:tcW w:w="22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28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tcBorders>
              <w:bottom w:val="single" w:sz="8" w:color="auto"/>
            </w:tcBorders>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Interest revenue: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tcPr>
          <w:p>
            <w:pPr>
              <w:ind w:left="200"/>
              <w:spacing w:after="0"/>
              <w:rPr>
                <w:sz w:val="20"/>
                <w:szCs w:val="20"/>
                <w:color w:val="auto"/>
              </w:rPr>
            </w:pPr>
            <w:r>
              <w:rPr>
                <w:rFonts w:ascii="Arial" w:cs="Arial" w:eastAsia="Arial" w:hAnsi="Arial"/>
                <w:sz w:val="18"/>
                <w:szCs w:val="18"/>
                <w:color w:val="auto"/>
              </w:rPr>
              <w:t>Loans, including fees</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60,958</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70,611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122,065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142,826</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28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Investment securities, including tax exempt of $251,</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$295, $510 and $606</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14,792</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15,829</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28,396</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32,032</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28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5"/>
              </w:rPr>
              <w:t>Federal funds sold, commercial paper and deposits in</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3"/>
          </w:tcPr>
          <w:p>
            <w:pPr>
              <w:ind w:left="400"/>
              <w:spacing w:after="0"/>
              <w:rPr>
                <w:sz w:val="20"/>
                <w:szCs w:val="20"/>
                <w:color w:val="auto"/>
              </w:rPr>
            </w:pPr>
            <w:r>
              <w:rPr>
                <w:rFonts w:ascii="Arial" w:cs="Arial" w:eastAsia="Arial" w:hAnsi="Arial"/>
                <w:sz w:val="18"/>
                <w:szCs w:val="18"/>
                <w:color w:val="auto"/>
              </w:rPr>
              <w:t>banks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759</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1,571</w:t>
            </w:r>
          </w:p>
        </w:tc>
        <w:tc>
          <w:tcPr>
            <w:tcW w:w="2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Total interest revenue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87,199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152,032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176,555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tcPr>
          <w:p>
            <w:pPr>
              <w:ind w:left="400"/>
              <w:spacing w:after="0"/>
              <w:rPr>
                <w:sz w:val="20"/>
                <w:szCs w:val="20"/>
                <w:color w:val="auto"/>
              </w:rPr>
            </w:pPr>
            <w:r>
              <w:rPr>
                <w:rFonts w:ascii="Arial" w:cs="Arial" w:eastAsia="Arial" w:hAnsi="Arial"/>
                <w:sz w:val="18"/>
                <w:szCs w:val="18"/>
                <w:color w:val="auto"/>
              </w:rPr>
              <w:t>NOW</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1,745</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2,360</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Money market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3,527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tcPr>
          <w:p>
            <w:pPr>
              <w:ind w:left="400"/>
              <w:spacing w:after="0"/>
              <w:rPr>
                <w:sz w:val="20"/>
                <w:szCs w:val="20"/>
                <w:color w:val="auto"/>
              </w:rPr>
            </w:pPr>
            <w:r>
              <w:rPr>
                <w:rFonts w:ascii="Arial" w:cs="Arial" w:eastAsia="Arial" w:hAnsi="Arial"/>
                <w:sz w:val="18"/>
                <w:szCs w:val="18"/>
                <w:color w:val="auto"/>
              </w:rPr>
              <w:t>Savings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Time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10,995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17,718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22,727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37,916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740" w:type="dxa"/>
            <w:vAlign w:val="bottom"/>
            <w:gridSpan w:val="2"/>
          </w:tcPr>
          <w:p>
            <w:pPr>
              <w:ind w:left="60"/>
              <w:spacing w:after="0"/>
              <w:rPr>
                <w:sz w:val="20"/>
                <w:szCs w:val="20"/>
                <w:color w:val="auto"/>
              </w:rPr>
            </w:pPr>
            <w:r>
              <w:rPr>
                <w:rFonts w:ascii="Arial" w:cs="Arial" w:eastAsia="Arial" w:hAnsi="Arial"/>
                <w:sz w:val="18"/>
                <w:szCs w:val="18"/>
                <w:color w:val="auto"/>
              </w:rPr>
              <w:t>Total deposit interest expense</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13,594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21,375</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28,755</w:t>
            </w: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28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Federal funds purchased, repurchase agreements and</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other short-term borrowings</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1,074</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1,056</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2,116</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tcPr>
          <w:p>
            <w:pPr>
              <w:ind w:left="200"/>
              <w:spacing w:after="0"/>
              <w:rPr>
                <w:sz w:val="20"/>
                <w:szCs w:val="20"/>
                <w:color w:val="auto"/>
              </w:rPr>
            </w:pPr>
            <w:r>
              <w:rPr>
                <w:rFonts w:ascii="Arial" w:cs="Arial" w:eastAsia="Arial" w:hAnsi="Arial"/>
                <w:sz w:val="18"/>
                <w:szCs w:val="18"/>
                <w:color w:val="auto"/>
              </w:rPr>
              <w:t>Federal Home Loan Bank advances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570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974</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1,160</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2,667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5,527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3"/>
          </w:tcPr>
          <w:p>
            <w:pPr>
              <w:ind w:left="400"/>
              <w:spacing w:after="0"/>
              <w:rPr>
                <w:sz w:val="20"/>
                <w:szCs w:val="20"/>
                <w:color w:val="auto"/>
              </w:rPr>
            </w:pPr>
            <w:r>
              <w:rPr>
                <w:rFonts w:ascii="Arial" w:cs="Arial" w:eastAsia="Arial" w:hAnsi="Arial"/>
                <w:sz w:val="18"/>
                <w:szCs w:val="18"/>
                <w:color w:val="auto"/>
              </w:rPr>
              <w:t>Total interest expense</w:t>
            </w: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26,072</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37,558</w:t>
            </w:r>
          </w:p>
        </w:tc>
        <w:tc>
          <w:tcPr>
            <w:tcW w:w="3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Net interest revenue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58,517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61,127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114,474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tcPr>
          <w:p>
            <w:pPr>
              <w:ind w:left="200"/>
              <w:spacing w:after="0"/>
              <w:rPr>
                <w:sz w:val="20"/>
                <w:szCs w:val="20"/>
                <w:color w:val="auto"/>
              </w:rPr>
            </w:pPr>
            <w:r>
              <w:rPr>
                <w:rFonts w:ascii="Arial" w:cs="Arial" w:eastAsia="Arial" w:hAnsi="Arial"/>
                <w:sz w:val="18"/>
                <w:szCs w:val="18"/>
                <w:color w:val="auto"/>
              </w:rPr>
              <w:t>Provision for loan losses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61,500</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201,000</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136,500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6"/>
              </w:rPr>
              <w:t>Net interest revenue after provision for loan losses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(86,526)</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(14,587)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Fee revenue:</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Service charges and fees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7,993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14,328</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tcPr>
          <w:p>
            <w:pPr>
              <w:ind w:left="200"/>
              <w:spacing w:after="0"/>
              <w:rPr>
                <w:sz w:val="20"/>
                <w:szCs w:val="20"/>
                <w:color w:val="auto"/>
              </w:rPr>
            </w:pPr>
            <w:r>
              <w:rPr>
                <w:rFonts w:ascii="Arial" w:cs="Arial" w:eastAsia="Arial" w:hAnsi="Arial"/>
                <w:sz w:val="18"/>
                <w:szCs w:val="18"/>
                <w:color w:val="auto"/>
              </w:rPr>
              <w:t>Mortgage loan and other related fees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952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1,601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2,446</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Brokerage fees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1,368</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tcPr>
          <w:p>
            <w:pPr>
              <w:ind w:left="200"/>
              <w:spacing w:after="0"/>
              <w:rPr>
                <w:sz w:val="20"/>
                <w:szCs w:val="20"/>
                <w:color w:val="auto"/>
              </w:rPr>
            </w:pPr>
            <w:r>
              <w:rPr>
                <w:rFonts w:ascii="Arial" w:cs="Arial" w:eastAsia="Arial" w:hAnsi="Arial"/>
                <w:sz w:val="18"/>
                <w:szCs w:val="18"/>
                <w:color w:val="auto"/>
              </w:rPr>
              <w:t>Securities gains,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783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838</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Loss from prepayment of debt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1,399</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7,554</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Total fee revenue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11,579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25,743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23,245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3"/>
          </w:tcPr>
          <w:p>
            <w:pPr>
              <w:ind w:left="40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61,422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11,206</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(60,783)</w:t>
            </w:r>
          </w:p>
        </w:tc>
        <w:tc>
          <w:tcPr>
            <w:tcW w:w="3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tcPr>
          <w:p>
            <w:pPr>
              <w:ind w:left="200"/>
              <w:spacing w:after="0"/>
              <w:rPr>
                <w:sz w:val="20"/>
                <w:szCs w:val="20"/>
                <w:color w:val="auto"/>
              </w:rPr>
            </w:pPr>
            <w:r>
              <w:rPr>
                <w:rFonts w:ascii="Arial" w:cs="Arial" w:eastAsia="Arial" w:hAnsi="Arial"/>
                <w:sz w:val="18"/>
                <w:szCs w:val="18"/>
                <w:color w:val="auto"/>
              </w:rPr>
              <w:t>Salaries and employee benefits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26,436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23,590</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51,360</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47,950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Communications and equipment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3,511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6,722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tcPr>
          <w:p>
            <w:pPr>
              <w:ind w:left="20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3,836</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7,879</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Advertising and public relations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tcPr>
          <w:p>
            <w:pPr>
              <w:ind w:left="200"/>
              <w:spacing w:after="0"/>
              <w:rPr>
                <w:sz w:val="20"/>
                <w:szCs w:val="20"/>
                <w:color w:val="auto"/>
              </w:rPr>
            </w:pPr>
            <w:r>
              <w:rPr>
                <w:rFonts w:ascii="Arial" w:cs="Arial" w:eastAsia="Arial" w:hAnsi="Arial"/>
                <w:sz w:val="18"/>
                <w:szCs w:val="18"/>
                <w:color w:val="auto"/>
              </w:rPr>
              <w:t>Postage, printing and supplies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765</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2,203</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2,178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5,680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tcPr>
          <w:p>
            <w:pPr>
              <w:ind w:left="200"/>
              <w:spacing w:after="0"/>
              <w:rPr>
                <w:sz w:val="20"/>
                <w:szCs w:val="20"/>
                <w:color w:val="auto"/>
              </w:rPr>
            </w:pPr>
            <w:r>
              <w:rPr>
                <w:rFonts w:ascii="Arial" w:cs="Arial" w:eastAsia="Arial" w:hAnsi="Arial"/>
                <w:sz w:val="18"/>
                <w:szCs w:val="18"/>
                <w:color w:val="auto"/>
              </w:rPr>
              <w:t>Foreclosed property</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14,540</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66,790</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25,353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FDIC assessments and other regulatory charges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3,566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9,057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tcPr>
          <w:p>
            <w:pPr>
              <w:ind w:left="20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760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794</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1,522</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4,176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10,491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tcPr>
          <w:p>
            <w:pPr>
              <w:ind w:left="200"/>
              <w:spacing w:after="0"/>
              <w:rPr>
                <w:sz w:val="20"/>
                <w:szCs w:val="20"/>
                <w:color w:val="auto"/>
              </w:rPr>
            </w:pPr>
            <w:r>
              <w:rPr>
                <w:rFonts w:ascii="Arial" w:cs="Arial" w:eastAsia="Arial" w:hAnsi="Arial"/>
                <w:sz w:val="18"/>
                <w:szCs w:val="18"/>
                <w:color w:val="auto"/>
              </w:rPr>
              <w:t>Loss on sale of nonperforming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45,349</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45,349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103,657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163,999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158,477</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280" w:type="dxa"/>
            <w:vAlign w:val="bottom"/>
            <w:gridSpan w:val="3"/>
          </w:tcPr>
          <w:p>
            <w:pPr>
              <w:ind w:left="200"/>
              <w:spacing w:after="0"/>
              <w:rPr>
                <w:sz w:val="20"/>
                <w:szCs w:val="20"/>
                <w:color w:val="auto"/>
              </w:rPr>
            </w:pPr>
            <w:r>
              <w:rPr>
                <w:rFonts w:ascii="Arial" w:cs="Arial" w:eastAsia="Arial" w:hAnsi="Arial"/>
                <w:sz w:val="18"/>
                <w:szCs w:val="18"/>
                <w:color w:val="auto"/>
                <w:w w:val="91"/>
              </w:rPr>
              <w:t>Income (loss) from continuing operations before income</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3"/>
          </w:tcPr>
          <w:p>
            <w:pPr>
              <w:ind w:left="400"/>
              <w:spacing w:after="0"/>
              <w:rPr>
                <w:sz w:val="20"/>
                <w:szCs w:val="20"/>
                <w:color w:val="auto"/>
              </w:rPr>
            </w:pPr>
            <w:r>
              <w:rPr>
                <w:rFonts w:ascii="Arial" w:cs="Arial" w:eastAsia="Arial" w:hAnsi="Arial"/>
                <w:sz w:val="18"/>
                <w:szCs w:val="18"/>
                <w:color w:val="auto"/>
              </w:rPr>
              <w:t>taxes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12,694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(92,451)</w:t>
            </w: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(224,782)</w:t>
            </w:r>
          </w:p>
        </w:tc>
        <w:tc>
          <w:tcPr>
            <w:tcW w:w="2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(149,819)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Income tax expense (benefit)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(32,919)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(89,913)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(55,829)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80" w:type="dxa"/>
            <w:vAlign w:val="bottom"/>
            <w:gridSpan w:val="3"/>
          </w:tcPr>
          <w:p>
            <w:pPr>
              <w:ind w:left="400"/>
              <w:spacing w:after="0"/>
              <w:rPr>
                <w:sz w:val="20"/>
                <w:szCs w:val="20"/>
                <w:color w:val="auto"/>
              </w:rPr>
            </w:pPr>
            <w:r>
              <w:rPr>
                <w:rFonts w:ascii="Arial" w:cs="Arial" w:eastAsia="Arial" w:hAnsi="Arial"/>
                <w:sz w:val="18"/>
                <w:szCs w:val="18"/>
                <w:b w:val="1"/>
                <w:bCs w:val="1"/>
                <w:color w:val="auto"/>
                <w:w w:val="99"/>
              </w:rPr>
              <w:t>Net income (loss) from continuing operations</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(59,532)</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(134,869)</w:t>
            </w: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2"/>
              </w:rPr>
              <w:t>Loss from discontinued operations, net of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28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5"/>
              </w:rPr>
              <w:t>Gain from sale of subsidiary, net of income taxes and</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3"/>
          </w:tcPr>
          <w:p>
            <w:pPr>
              <w:ind w:left="400"/>
              <w:spacing w:after="0"/>
              <w:rPr>
                <w:sz w:val="20"/>
                <w:szCs w:val="20"/>
                <w:color w:val="auto"/>
              </w:rPr>
            </w:pPr>
            <w:r>
              <w:rPr>
                <w:rFonts w:ascii="Arial" w:cs="Arial" w:eastAsia="Arial" w:hAnsi="Arial"/>
                <w:sz w:val="18"/>
                <w:szCs w:val="18"/>
                <w:color w:val="auto"/>
              </w:rPr>
              <w:t>selling costs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gridSpan w:val="3"/>
            <w:shd w:val="clear" w:color="auto" w:fill="CCEEFF"/>
          </w:tcPr>
          <w:p>
            <w:pPr>
              <w:ind w:left="40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(59,532)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(134,869)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(92,825)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80" w:type="dxa"/>
            <w:vAlign w:val="bottom"/>
            <w:gridSpan w:val="3"/>
          </w:tcPr>
          <w:p>
            <w:pPr>
              <w:ind w:left="200"/>
              <w:spacing w:after="0"/>
              <w:rPr>
                <w:sz w:val="20"/>
                <w:szCs w:val="20"/>
                <w:color w:val="auto"/>
              </w:rPr>
            </w:pPr>
            <w:r>
              <w:rPr>
                <w:rFonts w:ascii="Arial" w:cs="Arial" w:eastAsia="Arial" w:hAnsi="Arial"/>
                <w:sz w:val="18"/>
                <w:szCs w:val="18"/>
                <w:color w:val="auto"/>
              </w:rPr>
              <w:t>Preferred stock dividends and discount accretion</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3,016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2,577</w:t>
            </w:r>
          </w:p>
        </w:tc>
        <w:tc>
          <w:tcPr>
            <w:tcW w:w="2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5,794</w:t>
            </w:r>
          </w:p>
        </w:tc>
        <w:tc>
          <w:tcPr>
            <w:tcW w:w="2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280" w:type="dxa"/>
            <w:vAlign w:val="bottom"/>
            <w:gridSpan w:val="3"/>
            <w:shd w:val="clear" w:color="auto" w:fill="CCEEFF"/>
          </w:tcPr>
          <w:p>
            <w:pPr>
              <w:ind w:left="400"/>
              <w:spacing w:after="0" w:line="198" w:lineRule="exact"/>
              <w:rPr>
                <w:sz w:val="20"/>
                <w:szCs w:val="20"/>
                <w:color w:val="auto"/>
              </w:rPr>
            </w:pPr>
            <w:r>
              <w:rPr>
                <w:rFonts w:ascii="Arial" w:cs="Arial" w:eastAsia="Arial" w:hAnsi="Arial"/>
                <w:sz w:val="18"/>
                <w:szCs w:val="18"/>
                <w:b w:val="1"/>
                <w:bCs w:val="1"/>
                <w:color w:val="auto"/>
              </w:rPr>
              <w:t>Net income (loss) available to common</w:t>
            </w:r>
          </w:p>
        </w:tc>
        <w:tc>
          <w:tcPr>
            <w:tcW w:w="3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7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shareholders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4,601</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(62,109)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(140,663)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(97,974)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80" w:type="dxa"/>
            <w:vAlign w:val="bottom"/>
            <w:gridSpan w:val="3"/>
            <w:vMerge w:val="restart"/>
          </w:tcPr>
          <w:p>
            <w:pPr>
              <w:spacing w:after="0"/>
              <w:rPr>
                <w:sz w:val="20"/>
                <w:szCs w:val="20"/>
                <w:color w:val="auto"/>
              </w:rPr>
            </w:pPr>
            <w:r>
              <w:rPr>
                <w:rFonts w:ascii="Arial" w:cs="Arial" w:eastAsia="Arial" w:hAnsi="Arial"/>
                <w:sz w:val="18"/>
                <w:szCs w:val="18"/>
                <w:color w:val="auto"/>
                <w:w w:val="96"/>
              </w:rPr>
              <w:t>Earnings (loss) from continuing operations per common</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2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3"/>
          </w:tcPr>
          <w:p>
            <w:pPr>
              <w:ind w:left="200"/>
              <w:spacing w:after="0"/>
              <w:rPr>
                <w:sz w:val="20"/>
                <w:szCs w:val="20"/>
                <w:color w:val="auto"/>
              </w:rPr>
            </w:pPr>
            <w:r>
              <w:rPr>
                <w:rFonts w:ascii="Arial" w:cs="Arial" w:eastAsia="Arial" w:hAnsi="Arial"/>
                <w:sz w:val="18"/>
                <w:szCs w:val="18"/>
                <w:color w:val="auto"/>
              </w:rPr>
              <w:t>share — Basic</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(3.29)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(6.40)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2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6"/>
              </w:rPr>
              <w:t>Earnings (loss) from continuing operations per common</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share — Diluted</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(6.40)</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Earnings (loss) per common share — Basic</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(6.40)</w:t>
            </w:r>
          </w:p>
        </w:tc>
        <w:tc>
          <w:tcPr>
            <w:tcW w:w="2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bl>
    <w:p>
      <w:pPr>
        <w:sectPr>
          <w:pgSz w:w="11900" w:h="16925" w:orient="portrait"/>
          <w:cols w:equalWidth="0" w:num="1">
            <w:col w:w="10219"/>
          </w:cols>
          <w:pgMar w:left="240" w:top="405"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 — Diluted</w:t>
            </w:r>
          </w:p>
        </w:tc>
        <w:tc>
          <w:tcPr>
            <w:tcW w:w="14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.08</w:t>
            </w:r>
          </w:p>
        </w:tc>
        <w:tc>
          <w:tcPr>
            <w:tcW w:w="14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(3.29)</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(6.40)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25,427</w:t>
            </w: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18,905</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21,965</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18,891</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 average common shares outstanding — Diluted</w:t>
            </w:r>
          </w:p>
        </w:tc>
        <w:tc>
          <w:tcPr>
            <w:tcW w:w="14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57,543</w:t>
            </w:r>
          </w:p>
        </w:tc>
        <w:tc>
          <w:tcPr>
            <w:tcW w:w="14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18,905</w:t>
            </w:r>
          </w:p>
        </w:tc>
        <w:tc>
          <w:tcPr>
            <w:tcW w:w="13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21,965</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18,891</w:t>
            </w:r>
          </w:p>
        </w:tc>
      </w:tr>
    </w:tbl>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40"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Pr>
          <w:p>
            <w:pPr>
              <w:spacing w:after="0"/>
              <w:rPr>
                <w:sz w:val="24"/>
                <w:szCs w:val="24"/>
                <w:color w:val="auto"/>
              </w:rPr>
            </w:pP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UNITED COMMUNITY BANKS, INC.</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580" w:type="dxa"/>
            <w:vAlign w:val="bottom"/>
            <w:gridSpan w:val="4"/>
          </w:tcPr>
          <w:p>
            <w:pPr>
              <w:ind w:left="16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2011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(unaudited)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i w:val="1"/>
                <w:iCs w:val="1"/>
                <w:color w:val="auto"/>
                <w:w w:val="98"/>
              </w:rPr>
              <w:t>(audited)</w:t>
            </w:r>
          </w:p>
        </w:tc>
        <w:tc>
          <w:tcPr>
            <w:tcW w:w="38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163,331</w:t>
            </w:r>
          </w:p>
        </w:tc>
        <w:tc>
          <w:tcPr>
            <w:tcW w:w="20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95,994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115,088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Interest-bearing deposits in banks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111,901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Federal funds sold, commercial paper and short-term investments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174,996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441,562</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148,227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380,190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649,457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368,498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Securities available for sale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1,816,613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1,224,417</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1,165,776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Securities held to maturity (fair value $379,231, 267,988 and $327,497)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371,578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265,807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322,148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Mortgage loans held for sale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19,406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35,908</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22,705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Loans, net of unearned income</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4,163,447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4,604,126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4,873,030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Less allowance for loan losses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127,638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174,695</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174,111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Loans, net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4,035,809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4,429,431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4,698,919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Assets covered by loss sharing agreements with the FDIC</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95,726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131,887</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156,611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 net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178,208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178,239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Accrued interest receivable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21,291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24,299</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29,650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 and other intangible assets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11,446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223,600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Foreclosed property</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47,584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142,208</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123,910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deferred tax asset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261,268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166,937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111,485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172,074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183,160</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249,057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7,409,669</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7,443,196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7,652,484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6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Deposits: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Demand</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899,017</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793,414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779,934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NOW</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1,306,109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1,424,781</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1,326,861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Money market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989,600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891,252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756,370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Savings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197,927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183,894</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185,176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Time:</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600"/>
              <w:spacing w:after="0"/>
              <w:rPr>
                <w:sz w:val="20"/>
                <w:szCs w:val="20"/>
                <w:color w:val="auto"/>
              </w:rPr>
            </w:pPr>
            <w:r>
              <w:rPr>
                <w:rFonts w:ascii="Arial" w:cs="Arial" w:eastAsia="Arial" w:hAnsi="Arial"/>
                <w:sz w:val="18"/>
                <w:szCs w:val="18"/>
                <w:color w:val="auto"/>
              </w:rPr>
              <w:t>Less than $100,000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1,508,444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1,496,700</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1,575,211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Greater than $100,000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981,154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1,002,359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1,093,975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600"/>
              <w:spacing w:after="0"/>
              <w:rPr>
                <w:sz w:val="20"/>
                <w:szCs w:val="20"/>
                <w:color w:val="auto"/>
              </w:rPr>
            </w:pPr>
            <w:r>
              <w:rPr>
                <w:rFonts w:ascii="Arial" w:cs="Arial" w:eastAsia="Arial" w:hAnsi="Arial"/>
                <w:sz w:val="18"/>
                <w:szCs w:val="18"/>
                <w:color w:val="auto"/>
              </w:rPr>
              <w:t>Brokered</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300,964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676,772</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611,985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Total deposits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6,183,215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6,469,172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6,329,512</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6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4"/>
              </w:rPr>
              <w:t>Federal funds purchased, repurchase agreements, and other short-term</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borrowings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103,666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101,067</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104,127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Federal Home Loan Bank advances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55,125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150,186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150,146</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150,106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Unsettled securities purchases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36,368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32,171</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39,243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6,549,694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6,807,681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6,748,067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Preferred stock, $1 par value; 10,000,000 shares authorized;</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w w:val="99"/>
              </w:rPr>
              <w:t>Series A; $10 stated value; 21,700 shares issued and outstanding</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2"/>
              </w:rPr>
              <w:t>Series B; $1,000 stated value; 180,000 shares issued and outstanding</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176,392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175,711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w w:val="94"/>
              </w:rPr>
              <w:t>Series D; $1,000 stated value; 16,613 shares issued and outstanding</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16,613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6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Common stock, $1 par value; 100,000,000 shares authorized; 41,554,874,</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18,937,001 and 18,856,185 shares issued and outstanding</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41,555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18,937</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18,856</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62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3"/>
              </w:rPr>
              <w:t>Common stock, non-voting, $1 par value; 30,000,000 shares authorized;</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15,914,209 shares issued and outstanding</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15,914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 issuable; 83,575, 67,287 and 56,954 shares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3,894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Capital surplus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1,051,607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741,244</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739,261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(476,230)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(335,567)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31,079</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44,725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shareholders’ equity</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859,975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635,515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904,417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liabilities and shareholders’ equity</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7,409,669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7,443,196</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7,652,484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219"/>
          </w:cols>
          <w:pgMar w:left="240" w:top="405" w:right="1440" w:bottom="1084"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084"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8"/>
            <w:vMerge w:val="restart"/>
          </w:tcPr>
          <w:p>
            <w:pPr>
              <w:jc w:val="right"/>
              <w:ind w:right="36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(Accumulated</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8"/>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gridSpan w:val="7"/>
          </w:tcPr>
          <w:p>
            <w:pPr>
              <w:jc w:val="right"/>
              <w:ind w:right="100"/>
              <w:spacing w:after="0" w:line="158" w:lineRule="exact"/>
              <w:rPr>
                <w:sz w:val="20"/>
                <w:szCs w:val="20"/>
                <w:color w:val="auto"/>
              </w:rPr>
            </w:pPr>
            <w:r>
              <w:rPr>
                <w:rFonts w:ascii="Arial" w:cs="Arial" w:eastAsia="Arial" w:hAnsi="Arial"/>
                <w:sz w:val="14"/>
                <w:szCs w:val="14"/>
                <w:b w:val="1"/>
                <w:bCs w:val="1"/>
                <w:color w:val="auto"/>
                <w:w w:val="97"/>
              </w:rPr>
              <w:t>Non-Voting Common</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Series</w:t>
            </w:r>
          </w:p>
        </w:tc>
        <w:tc>
          <w:tcPr>
            <w:tcW w:w="64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Series</w:t>
            </w:r>
          </w:p>
        </w:tc>
        <w:tc>
          <w:tcPr>
            <w:tcW w:w="56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Series</w:t>
            </w:r>
          </w:p>
        </w:tc>
        <w:tc>
          <w:tcPr>
            <w:tcW w:w="80" w:type="dxa"/>
            <w:vAlign w:val="bottom"/>
          </w:tcPr>
          <w:p>
            <w:pPr>
              <w:spacing w:after="0"/>
              <w:rPr>
                <w:sz w:val="10"/>
                <w:szCs w:val="10"/>
                <w:color w:val="auto"/>
              </w:rPr>
            </w:pPr>
          </w:p>
        </w:tc>
        <w:tc>
          <w:tcPr>
            <w:tcW w:w="60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7"/>
              </w:rPr>
              <w:t>Series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49"/>
              <w:spacing w:after="0" w:line="119" w:lineRule="exact"/>
              <w:rPr>
                <w:sz w:val="20"/>
                <w:szCs w:val="20"/>
                <w:color w:val="auto"/>
              </w:rPr>
            </w:pPr>
            <w:r>
              <w:rPr>
                <w:rFonts w:ascii="Arial" w:cs="Arial" w:eastAsia="Arial" w:hAnsi="Arial"/>
                <w:sz w:val="13"/>
                <w:szCs w:val="13"/>
                <w:b w:val="1"/>
                <w:bCs w:val="1"/>
                <w:color w:val="auto"/>
                <w:w w:val="97"/>
              </w:rPr>
              <w:t>Series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Common</w:t>
            </w:r>
          </w:p>
        </w:tc>
        <w:tc>
          <w:tcPr>
            <w:tcW w:w="40" w:type="dxa"/>
            <w:vAlign w:val="bottom"/>
          </w:tcPr>
          <w:p>
            <w:pPr>
              <w:spacing w:after="0"/>
              <w:rPr>
                <w:sz w:val="10"/>
                <w:szCs w:val="10"/>
                <w:color w:val="auto"/>
              </w:rPr>
            </w:pPr>
          </w:p>
        </w:tc>
        <w:tc>
          <w:tcPr>
            <w:tcW w:w="78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Common</w:t>
            </w:r>
          </w:p>
        </w:tc>
        <w:tc>
          <w:tcPr>
            <w:tcW w:w="80" w:type="dxa"/>
            <w:vAlign w:val="bottom"/>
          </w:tcPr>
          <w:p>
            <w:pPr>
              <w:spacing w:after="0"/>
              <w:rPr>
                <w:sz w:val="10"/>
                <w:szCs w:val="10"/>
                <w:color w:val="auto"/>
              </w:rPr>
            </w:pPr>
          </w:p>
        </w:tc>
        <w:tc>
          <w:tcPr>
            <w:tcW w:w="58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w w:val="95"/>
              </w:rPr>
              <w:t>Stock</w:t>
            </w:r>
          </w:p>
        </w:tc>
        <w:tc>
          <w:tcPr>
            <w:tcW w:w="80" w:type="dxa"/>
            <w:vAlign w:val="bottom"/>
          </w:tcPr>
          <w:p>
            <w:pPr>
              <w:spacing w:after="0"/>
              <w:rPr>
                <w:sz w:val="10"/>
                <w:szCs w:val="10"/>
                <w:color w:val="auto"/>
              </w:rPr>
            </w:pPr>
          </w:p>
        </w:tc>
        <w:tc>
          <w:tcPr>
            <w:tcW w:w="6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Retained</w:t>
            </w:r>
          </w:p>
        </w:tc>
        <w:tc>
          <w:tcPr>
            <w:tcW w:w="10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00" w:type="dxa"/>
            <w:vAlign w:val="bottom"/>
            <w:gridSpan w:val="3"/>
          </w:tcPr>
          <w:p>
            <w:pPr>
              <w:spacing w:after="0"/>
              <w:rPr>
                <w:sz w:val="20"/>
                <w:szCs w:val="20"/>
                <w:color w:val="auto"/>
              </w:rPr>
            </w:pPr>
            <w:r>
              <w:rPr>
                <w:rFonts w:ascii="Arial" w:cs="Arial" w:eastAsia="Arial" w:hAnsi="Arial"/>
                <w:sz w:val="14"/>
                <w:szCs w:val="14"/>
                <w:i w:val="1"/>
                <w:iCs w:val="1"/>
                <w:color w:val="auto"/>
                <w:w w:val="93"/>
              </w:rPr>
              <w:t>(in thousands, except share and per share data)</w:t>
            </w:r>
          </w:p>
        </w:tc>
        <w:tc>
          <w:tcPr>
            <w:tcW w:w="10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rPr>
              <w:t>A</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B</w:t>
            </w:r>
          </w:p>
        </w:tc>
        <w:tc>
          <w:tcPr>
            <w:tcW w:w="80" w:type="dxa"/>
            <w:vAlign w:val="bottom"/>
          </w:tcPr>
          <w:p>
            <w:pPr>
              <w:spacing w:after="0"/>
              <w:rPr>
                <w:sz w:val="14"/>
                <w:szCs w:val="14"/>
                <w:color w:val="auto"/>
              </w:rPr>
            </w:pPr>
          </w:p>
        </w:tc>
        <w:tc>
          <w:tcPr>
            <w:tcW w:w="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w:t>
            </w:r>
          </w:p>
        </w:tc>
        <w:tc>
          <w:tcPr>
            <w:tcW w:w="80" w:type="dxa"/>
            <w:vAlign w:val="bottom"/>
          </w:tcPr>
          <w:p>
            <w:pPr>
              <w:spacing w:after="0"/>
              <w:rPr>
                <w:sz w:val="14"/>
                <w:szCs w:val="14"/>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Stock</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2"/>
              </w:rPr>
              <w:t>Issuable</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Surplus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217</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3"/>
              </w:rPr>
              <w:t>$ 174,408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18,809</w:t>
            </w:r>
          </w:p>
        </w:tc>
        <w:tc>
          <w:tcPr>
            <w:tcW w:w="16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3,597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697,271</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20,384</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47,635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962,321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Comprehensive income: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(92,825)</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(92,825)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Other comprehensive loss: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Unrealized holding gains on available</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for sale securities, net of deferred</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tax expense and reclassification</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adjustment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2,750</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tcPr>
          <w:p>
            <w:pPr>
              <w:ind w:left="400"/>
              <w:spacing w:after="0" w:line="130" w:lineRule="exact"/>
              <w:rPr>
                <w:sz w:val="20"/>
                <w:szCs w:val="20"/>
                <w:color w:val="auto"/>
              </w:rPr>
            </w:pPr>
            <w:r>
              <w:rPr>
                <w:rFonts w:ascii="Arial" w:cs="Arial" w:eastAsia="Arial" w:hAnsi="Arial"/>
                <w:sz w:val="14"/>
                <w:szCs w:val="14"/>
                <w:color w:val="auto"/>
              </w:rPr>
              <w:t>Unrealized losses on derivative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financial instruments qualifying as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ind w:left="600"/>
              <w:spacing w:after="0" w:line="149" w:lineRule="exact"/>
              <w:rPr>
                <w:sz w:val="20"/>
                <w:szCs w:val="20"/>
                <w:color w:val="auto"/>
              </w:rPr>
            </w:pPr>
            <w:r>
              <w:rPr>
                <w:rFonts w:ascii="Arial" w:cs="Arial" w:eastAsia="Arial" w:hAnsi="Arial"/>
                <w:sz w:val="14"/>
                <w:szCs w:val="14"/>
                <w:color w:val="auto"/>
                <w:w w:val="94"/>
              </w:rPr>
              <w:t>cash flow hedges, net of deferred tax</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tcPr>
          <w:p>
            <w:pPr>
              <w:ind w:left="600"/>
              <w:spacing w:after="0"/>
              <w:rPr>
                <w:sz w:val="20"/>
                <w:szCs w:val="20"/>
                <w:color w:val="auto"/>
              </w:rPr>
            </w:pPr>
            <w:r>
              <w:rPr>
                <w:rFonts w:ascii="Arial" w:cs="Arial" w:eastAsia="Arial" w:hAnsi="Arial"/>
                <w:sz w:val="14"/>
                <w:szCs w:val="14"/>
                <w:color w:val="auto"/>
              </w:rPr>
              <w:t>benefit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(5,660)</w:t>
            </w: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(5,660)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Comprehensive loss</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(92,825)</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(2,910)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(95,735)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tcPr>
          <w:p>
            <w:pPr>
              <w:spacing w:after="0" w:line="130" w:lineRule="exact"/>
              <w:rPr>
                <w:sz w:val="20"/>
                <w:szCs w:val="20"/>
                <w:color w:val="auto"/>
              </w:rPr>
            </w:pPr>
            <w:r>
              <w:rPr>
                <w:rFonts w:ascii="Arial" w:cs="Arial" w:eastAsia="Arial" w:hAnsi="Arial"/>
                <w:sz w:val="14"/>
                <w:szCs w:val="14"/>
                <w:color w:val="auto"/>
                <w:w w:val="94"/>
              </w:rPr>
              <w:t>Issuance of equity instruments in private equity</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tcPr>
          <w:p>
            <w:pPr>
              <w:ind w:left="200"/>
              <w:spacing w:after="0"/>
              <w:rPr>
                <w:sz w:val="20"/>
                <w:szCs w:val="20"/>
                <w:color w:val="auto"/>
              </w:rPr>
            </w:pPr>
            <w:r>
              <w:rPr>
                <w:rFonts w:ascii="Arial" w:cs="Arial" w:eastAsia="Arial" w:hAnsi="Arial"/>
                <w:sz w:val="14"/>
                <w:szCs w:val="14"/>
                <w:color w:val="auto"/>
              </w:rPr>
              <w:t>transaction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39,813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39,813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to dividend</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Reinvestment plan and employee benefit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plans (41,818 shares)</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898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tcPr>
          <w:p>
            <w:pPr>
              <w:spacing w:after="0" w:line="130" w:lineRule="exact"/>
              <w:rPr>
                <w:sz w:val="20"/>
                <w:szCs w:val="20"/>
                <w:color w:val="auto"/>
              </w:rPr>
            </w:pPr>
            <w:r>
              <w:rPr>
                <w:rFonts w:ascii="Arial" w:cs="Arial" w:eastAsia="Arial" w:hAnsi="Arial"/>
                <w:sz w:val="14"/>
                <w:szCs w:val="14"/>
                <w:color w:val="auto"/>
              </w:rPr>
              <w:t>Amortization of stock option and restricted</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tcPr>
          <w:p>
            <w:pPr>
              <w:ind w:left="20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1,428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1,428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2"/>
              </w:rPr>
              <w:t>Vesting of restricted stock (2,112 shares issued,</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8,304 shares deferred)</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607</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tcPr>
          <w:p>
            <w:pPr>
              <w:spacing w:after="0" w:line="130" w:lineRule="exact"/>
              <w:rPr>
                <w:sz w:val="20"/>
                <w:szCs w:val="20"/>
                <w:color w:val="auto"/>
              </w:rPr>
            </w:pPr>
            <w:r>
              <w:rPr>
                <w:rFonts w:ascii="Arial" w:cs="Arial" w:eastAsia="Arial" w:hAnsi="Arial"/>
                <w:sz w:val="14"/>
                <w:szCs w:val="14"/>
                <w:color w:val="auto"/>
              </w:rPr>
              <w:t>Deferred compensation plan, net, including</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tcPr>
          <w:p>
            <w:pPr>
              <w:ind w:left="200"/>
              <w:spacing w:after="0"/>
              <w:rPr>
                <w:sz w:val="20"/>
                <w:szCs w:val="20"/>
                <w:color w:val="auto"/>
              </w:rPr>
            </w:pPr>
            <w:r>
              <w:rPr>
                <w:rFonts w:ascii="Arial" w:cs="Arial" w:eastAsia="Arial" w:hAnsi="Arial"/>
                <w:sz w:val="14"/>
                <w:szCs w:val="14"/>
                <w:color w:val="auto"/>
              </w:rPr>
              <w:t>dividend equivalents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162</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2"/>
              </w:rPr>
              <w:t>Shares issued from deferred compensation plan</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(3,134 shares)</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(468)</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Dividends on Series A preferred stock</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Dividends on Series B preferred stock</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642</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(5,142)</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156"/>
        </w:trPr>
        <w:tc>
          <w:tcPr>
            <w:tcW w:w="28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Balance, June 30, 2010</w:t>
            </w: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217</w:t>
            </w:r>
          </w:p>
        </w:tc>
        <w:tc>
          <w:tcPr>
            <w:tcW w:w="8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175,050</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18,856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3,898</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739,261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(77,590)</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44,725</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904,417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217</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3"/>
              </w:rPr>
              <w:t>$ 175,711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18,937</w:t>
            </w:r>
          </w:p>
        </w:tc>
        <w:tc>
          <w:tcPr>
            <w:tcW w:w="16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3,894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741,244</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(335,567)</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31,079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635,515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Comprehensive loss: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(134,869)</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(134,869)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Other comprehensive loss: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Unrealized holding gains on available</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for sale securities, net of deferred</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tax expense and reclassification</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adjustment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5,133</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5,133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tcPr>
          <w:p>
            <w:pPr>
              <w:ind w:left="400"/>
              <w:spacing w:after="0" w:line="130" w:lineRule="exact"/>
              <w:rPr>
                <w:sz w:val="20"/>
                <w:szCs w:val="20"/>
                <w:color w:val="auto"/>
              </w:rPr>
            </w:pPr>
            <w:r>
              <w:rPr>
                <w:rFonts w:ascii="Arial" w:cs="Arial" w:eastAsia="Arial" w:hAnsi="Arial"/>
                <w:sz w:val="14"/>
                <w:szCs w:val="14"/>
                <w:color w:val="auto"/>
              </w:rPr>
              <w:t>Unrealized losses on derivative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financial instruments qualifying as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ind w:left="600"/>
              <w:spacing w:after="0" w:line="149" w:lineRule="exact"/>
              <w:rPr>
                <w:sz w:val="20"/>
                <w:szCs w:val="20"/>
                <w:color w:val="auto"/>
              </w:rPr>
            </w:pPr>
            <w:r>
              <w:rPr>
                <w:rFonts w:ascii="Arial" w:cs="Arial" w:eastAsia="Arial" w:hAnsi="Arial"/>
                <w:sz w:val="14"/>
                <w:szCs w:val="14"/>
                <w:color w:val="auto"/>
                <w:w w:val="94"/>
              </w:rPr>
              <w:t>cash flow hedges, net of deferred tax</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tcPr>
          <w:p>
            <w:pPr>
              <w:ind w:left="600"/>
              <w:spacing w:after="0"/>
              <w:rPr>
                <w:sz w:val="20"/>
                <w:szCs w:val="20"/>
                <w:color w:val="auto"/>
              </w:rPr>
            </w:pPr>
            <w:r>
              <w:rPr>
                <w:rFonts w:ascii="Arial" w:cs="Arial" w:eastAsia="Arial" w:hAnsi="Arial"/>
                <w:sz w:val="14"/>
                <w:szCs w:val="14"/>
                <w:color w:val="auto"/>
              </w:rPr>
              <w:t>benefit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(5,879)</w:t>
            </w: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(5,879)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Comprehensive loss</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(134,869)</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(746)</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(135,615)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tcPr>
          <w:p>
            <w:pPr>
              <w:spacing w:after="0" w:line="130" w:lineRule="exact"/>
              <w:rPr>
                <w:sz w:val="20"/>
                <w:szCs w:val="20"/>
                <w:color w:val="auto"/>
              </w:rPr>
            </w:pPr>
            <w:r>
              <w:rPr>
                <w:rFonts w:ascii="Arial" w:cs="Arial" w:eastAsia="Arial" w:hAnsi="Arial"/>
                <w:sz w:val="14"/>
                <w:szCs w:val="14"/>
                <w:color w:val="auto"/>
                <w:w w:val="97"/>
              </w:rPr>
              <w:t>Penalty received on incomplete private equity</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tcPr>
          <w:p>
            <w:pPr>
              <w:ind w:left="200"/>
              <w:spacing w:after="0"/>
              <w:rPr>
                <w:sz w:val="20"/>
                <w:szCs w:val="20"/>
                <w:color w:val="auto"/>
              </w:rPr>
            </w:pPr>
            <w:r>
              <w:rPr>
                <w:rFonts w:ascii="Arial" w:cs="Arial" w:eastAsia="Arial" w:hAnsi="Arial"/>
                <w:sz w:val="14"/>
                <w:szCs w:val="14"/>
                <w:color w:val="auto"/>
              </w:rPr>
              <w:t>transaction, net of tax expense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2,375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2,375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5"/>
              </w:rPr>
              <w:t>Preferred for common equity exchange related</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to tax benefits preservation plan (1,551,126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8"/>
              </w:rPr>
              <w:t>16,613</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(1,551)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(15,062)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tcPr>
          <w:p>
            <w:pPr>
              <w:spacing w:after="0" w:line="130" w:lineRule="exact"/>
              <w:rPr>
                <w:sz w:val="20"/>
                <w:szCs w:val="20"/>
                <w:color w:val="auto"/>
              </w:rPr>
            </w:pPr>
            <w:r>
              <w:rPr>
                <w:rFonts w:ascii="Arial" w:cs="Arial" w:eastAsia="Arial" w:hAnsi="Arial"/>
                <w:sz w:val="14"/>
                <w:szCs w:val="14"/>
                <w:color w:val="auto"/>
                <w:w w:val="95"/>
              </w:rPr>
              <w:t>Conversion of Series F and Series G Preferred</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9"/>
              </w:rPr>
              <w:t>Stock (20,618,090 voting and 15,914,209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tcPr>
          <w:p>
            <w:pPr>
              <w:ind w:left="200"/>
              <w:spacing w:after="0"/>
              <w:rPr>
                <w:sz w:val="20"/>
                <w:szCs w:val="20"/>
                <w:color w:val="auto"/>
              </w:rPr>
            </w:pPr>
            <w:r>
              <w:rPr>
                <w:rFonts w:ascii="Arial" w:cs="Arial" w:eastAsia="Arial" w:hAnsi="Arial"/>
                <w:sz w:val="14"/>
                <w:szCs w:val="14"/>
                <w:color w:val="auto"/>
              </w:rPr>
              <w:t>non-voting common shares)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(195,872)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(151,185)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20,618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15,914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310,525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4"/>
              </w:rPr>
              <w:t>Common stock issued to dividend reinvestment</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plan and employee benefit plans (78,584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shares)</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tcPr>
          <w:p>
            <w:pPr>
              <w:spacing w:after="0" w:line="130" w:lineRule="exact"/>
              <w:rPr>
                <w:sz w:val="20"/>
                <w:szCs w:val="20"/>
                <w:color w:val="auto"/>
              </w:rPr>
            </w:pPr>
            <w:r>
              <w:rPr>
                <w:rFonts w:ascii="Arial" w:cs="Arial" w:eastAsia="Arial" w:hAnsi="Arial"/>
                <w:sz w:val="14"/>
                <w:szCs w:val="14"/>
                <w:color w:val="auto"/>
                <w:w w:val="93"/>
              </w:rPr>
              <w:t>Common and preferred stock issued (3,467,699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tcPr>
          <w:p>
            <w:pPr>
              <w:ind w:left="200"/>
              <w:spacing w:after="0"/>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195,872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151,185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3,468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11,035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361,560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Amortization of stock options and restricted</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stock awards</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758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tcPr>
          <w:p>
            <w:pPr>
              <w:spacing w:after="0" w:line="130" w:lineRule="exact"/>
              <w:rPr>
                <w:sz w:val="20"/>
                <w:szCs w:val="20"/>
                <w:color w:val="auto"/>
              </w:rPr>
            </w:pPr>
            <w:r>
              <w:rPr>
                <w:rFonts w:ascii="Arial" w:cs="Arial" w:eastAsia="Arial" w:hAnsi="Arial"/>
                <w:sz w:val="14"/>
                <w:szCs w:val="14"/>
                <w:color w:val="auto"/>
                <w:w w:val="92"/>
              </w:rPr>
              <w:t>Vesting of restricted stock (1,417 shares issued,</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tcPr>
          <w:p>
            <w:pPr>
              <w:ind w:left="200"/>
              <w:spacing w:after="0"/>
              <w:rPr>
                <w:sz w:val="20"/>
                <w:szCs w:val="20"/>
                <w:color w:val="auto"/>
              </w:rPr>
            </w:pPr>
            <w:r>
              <w:rPr>
                <w:rFonts w:ascii="Arial" w:cs="Arial" w:eastAsia="Arial" w:hAnsi="Arial"/>
                <w:sz w:val="14"/>
                <w:szCs w:val="14"/>
                <w:color w:val="auto"/>
              </w:rPr>
              <w:t>6,382 shares deferred)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(55)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Deferred compensation plan, net, including</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dividend equivalents</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tcPr>
          <w:p>
            <w:pPr>
              <w:spacing w:after="0" w:line="130" w:lineRule="exact"/>
              <w:rPr>
                <w:sz w:val="20"/>
                <w:szCs w:val="20"/>
                <w:color w:val="auto"/>
              </w:rPr>
            </w:pPr>
            <w:r>
              <w:rPr>
                <w:rFonts w:ascii="Arial" w:cs="Arial" w:eastAsia="Arial" w:hAnsi="Arial"/>
                <w:sz w:val="14"/>
                <w:szCs w:val="14"/>
                <w:color w:val="auto"/>
                <w:w w:val="92"/>
              </w:rPr>
              <w:t>Shares issued from deferred compensation plan</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tcPr>
          <w:p>
            <w:pPr>
              <w:ind w:left="200"/>
              <w:spacing w:after="0"/>
              <w:rPr>
                <w:sz w:val="20"/>
                <w:szCs w:val="20"/>
                <w:color w:val="auto"/>
              </w:rPr>
            </w:pPr>
            <w:r>
              <w:rPr>
                <w:rFonts w:ascii="Arial" w:cs="Arial" w:eastAsia="Arial" w:hAnsi="Arial"/>
                <w:sz w:val="14"/>
                <w:szCs w:val="14"/>
                <w:color w:val="auto"/>
              </w:rPr>
              <w:t>(3,209 shares)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(501)</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498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Tax on option exercise and restricted stock</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vesting</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Dividends on Series A preferred stock</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Dividends on Series B preferred stock</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681</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(5,200)</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gridSpan w:val="2"/>
          </w:tcPr>
          <w:p>
            <w:pPr>
              <w:spacing w:after="0" w:line="149" w:lineRule="exact"/>
              <w:rPr>
                <w:sz w:val="20"/>
                <w:szCs w:val="20"/>
                <w:color w:val="auto"/>
              </w:rPr>
            </w:pPr>
            <w:r>
              <w:rPr>
                <w:rFonts w:ascii="Arial" w:cs="Arial" w:eastAsia="Arial" w:hAnsi="Arial"/>
                <w:sz w:val="14"/>
                <w:szCs w:val="14"/>
                <w:color w:val="auto"/>
              </w:rPr>
              <w:t>Dividends on Series D preferred stock</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(587)</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June 30, 2011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176,392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8"/>
              </w:rPr>
              <w:t>16,613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41,555</w:t>
            </w:r>
          </w:p>
        </w:tc>
        <w:tc>
          <w:tcPr>
            <w:tcW w:w="160" w:type="dxa"/>
            <w:vAlign w:val="bottom"/>
            <w:gridSpan w:val="2"/>
            <w:shd w:val="clear" w:color="auto" w:fill="CCEEFF"/>
          </w:tcPr>
          <w:p>
            <w:pPr>
              <w:jc w:val="right"/>
              <w:ind w:right="1"/>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15,914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3,574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9"/>
              </w:rPr>
              <w:t>1,051,607</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(476,230)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30,333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859,975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(loss) for the second quarters of 2011 and 2010 was $10,454,000 and $(60,133,000), respectively.</w:t>
      </w:r>
    </w:p>
    <w:p>
      <w:pPr>
        <w:spacing w:after="0" w:line="18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UNITED COMMUNITY BANKS, INC.</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tcBorders>
              <w:bottom w:val="single" w:sz="8" w:color="auto"/>
            </w:tcBorders>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Net loss</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(134,869)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(92,825)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Depreciation, amortization and accretion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9,374</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Provision for loan losses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201,000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Stock based compensation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758</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Securities gains, net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(838)</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Losses and write downs on sales of other real estate owned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60,505</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19,289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Gain from sale of subsidiary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Loss on sale of nonperforming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45,349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Loss on prepayment of borrowings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Other assets and accrued interest receivable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(49,255)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60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1,078</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(6,888)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Mortgage loans held for sale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16,502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105,046</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Investment securities held to maturity:</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Proceeds from maturities and calls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34,742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Purchases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(141,862)</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(19,617)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 securities available for sale: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Proceeds from sales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106,603</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40,817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Proceeds from maturities and calls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220,018</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432,436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Purchases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(875,250)</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(398,877)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decrease in loans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64,778</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Proceeds from loan sales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99,298</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22,331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sales of premises and equipment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Purchases of premises and equipment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(5,276)</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cash received from sale of subsidiary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Net cash received from sale of nonperforming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20,618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sale of other real estate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60,310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80,898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(436,105)</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Net change in deposits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(285,957)</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(295,729)</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Net change in federal funds purchased, repurchase agreements, and other short-term</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borrowings</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2,599</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Repayments of FHLB advances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(15,291)</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Proceeds from issuance of common stock for dividend reinvestment and employee benefit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plans</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744</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Proceeds from issuance of common and preferred stock, net of offering costs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361,560</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penalty on incomplete private equity transaction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Cash dividends on preferred stock</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(5,113)</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61,792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(306,563)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(269,267)</w:t>
            </w:r>
          </w:p>
        </w:tc>
        <w:tc>
          <w:tcPr>
            <w:tcW w:w="22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649,457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376,367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2"/>
            <w:vMerge w:val="continue"/>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380,190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368,498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Cash paid during the period for: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36,703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1,527</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Unsettled securities purchases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35,634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20,941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219"/>
          </w:cols>
          <w:pgMar w:left="240" w:top="405" w:right="1440" w:bottom="287"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287"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 — Accounting Policies</w:t>
      </w:r>
    </w:p>
    <w:p>
      <w:pPr>
        <w:spacing w:after="0" w:line="189"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of America (“GAAP”) and general banking industry practices. The accompanying interim consolidated financial statements have not been audited. All material intercompany balances and transactions have been eliminated. A more detailed description of United’s accounting policies is included in the 2010 annual report filed on Form 10-K.</w:t>
      </w:r>
    </w:p>
    <w:p>
      <w:pPr>
        <w:spacing w:after="0" w:line="14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160"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fair value, less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 Financed sales of foreclosed property are accounted for in accordance with the Financial Accounting Standards Board’s (“FASB”) Accounting Standards Codification Topic 360, Subtopic 20, </w:t>
      </w:r>
      <w:r>
        <w:rPr>
          <w:rFonts w:ascii="Arial" w:cs="Arial" w:eastAsia="Arial" w:hAnsi="Arial"/>
          <w:sz w:val="18"/>
          <w:szCs w:val="18"/>
          <w:i w:val="1"/>
          <w:iCs w:val="1"/>
          <w:color w:val="auto"/>
        </w:rPr>
        <w:t>Real Estate Sales</w:t>
      </w:r>
      <w:r>
        <w:rPr>
          <w:rFonts w:ascii="Arial" w:cs="Arial" w:eastAsia="Arial" w:hAnsi="Arial"/>
          <w:sz w:val="18"/>
          <w:szCs w:val="18"/>
          <w:color w:val="auto"/>
        </w:rPr>
        <w:t xml:space="preserve"> (“ASC 360-20”)</w:t>
      </w:r>
      <w:r>
        <w:rPr>
          <w:rFonts w:ascii="Arial" w:cs="Arial" w:eastAsia="Arial" w:hAnsi="Arial"/>
          <w:sz w:val="18"/>
          <w:szCs w:val="18"/>
          <w:i w:val="1"/>
          <w:iCs w:val="1"/>
          <w:color w:val="auto"/>
        </w:rPr>
        <w:t>.</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2 — Accounting Standards Updates</w:t>
      </w:r>
    </w:p>
    <w:p>
      <w:pPr>
        <w:spacing w:after="0" w:line="189"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 xml:space="preserve">In May 2011, the FASB issued Accounting Standards Update No. 2011-04, </w:t>
      </w:r>
      <w:r>
        <w:rPr>
          <w:rFonts w:ascii="Arial" w:cs="Arial" w:eastAsia="Arial" w:hAnsi="Arial"/>
          <w:sz w:val="16"/>
          <w:szCs w:val="16"/>
          <w:i w:val="1"/>
          <w:iCs w:val="1"/>
          <w:color w:val="auto"/>
        </w:rPr>
        <w:t>Amendments to Achieve Common Fair Value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Disclosure Requirements in U.S. GAAP and IFRS </w:t>
      </w:r>
      <w:r>
        <w:rPr>
          <w:rFonts w:ascii="Arial" w:cs="Arial" w:eastAsia="Arial" w:hAnsi="Arial"/>
          <w:sz w:val="16"/>
          <w:szCs w:val="16"/>
          <w:color w:val="auto"/>
        </w:rPr>
        <w:t>(“ASU No. 2011-04”). ASU No. 2011-04 primarily represents clarification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guidance. It does change the concepts of the valuation premise and highest and best use, stating that they are only relevant for nonfinancial assets. The guidance also changes the application of premiums and discounts and includes new disclosures. ASU No. 2011-04 is effective for United in the first quarter of 2012. Although evaluation of the impact is not complete, it is not expected to have a material impact on United’s results of operations, financial position, or disclosures.</w:t>
      </w:r>
    </w:p>
    <w:p>
      <w:pPr>
        <w:spacing w:after="0" w:line="138"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 xml:space="preserve">In June 2011, the FASB issued Accounting Standards Update No. 2011-05, </w:t>
      </w:r>
      <w:r>
        <w:rPr>
          <w:rFonts w:ascii="Arial" w:cs="Arial" w:eastAsia="Arial" w:hAnsi="Arial"/>
          <w:sz w:val="17"/>
          <w:szCs w:val="17"/>
          <w:i w:val="1"/>
          <w:iCs w:val="1"/>
          <w:color w:val="auto"/>
        </w:rPr>
        <w:t>Presentation of Comprehensive Income</w:t>
      </w:r>
      <w:r>
        <w:rPr>
          <w:rFonts w:ascii="Arial" w:cs="Arial" w:eastAsia="Arial" w:hAnsi="Arial"/>
          <w:sz w:val="17"/>
          <w:szCs w:val="17"/>
          <w:color w:val="auto"/>
        </w:rPr>
        <w:t xml:space="preserve"> (“ASU No. 2011-05”). ASU No. 2011-05 requires entities to present net income and other comprehensive income in either a single continuous statement or in two separate, but consecutive statements of net income and other comprehensive income. The option to present items of other comprehensive income in the statement of changes in equity is eliminated. The guidance is effective for United for the first quarter of 2012, and will not have a material impact on United’s results of operations or financial position. It will result in a change of disclosure, as United currently presents other comprehensive income in the statement of changes in shareholders’ equity. United will apply these disclosure changes retrospectively as required by the standard.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3 — Mergers and Acquisitions</w:t>
      </w:r>
    </w:p>
    <w:p>
      <w:pPr>
        <w:spacing w:after="0" w:line="189"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On June 19, 2009, United Community Bank (“UCB” or the “Bank”) purchased substantially all the assets and assumed substantially all the liabilities of Southern Community Bank (“SCB”) from the Federal Deposit Insurance Corporation (“FDIC”), as Receiver of SCB. UCB and the FDIC entered loss sharing agreements regarding future losses incurred on loans and foreclosed loan collateral existing at June 19, 2009. Under the terms of the loss sharing agreements, the FDIC will absorb 80 percent of losses and share 80 percent of loss recoveries on the first $109 million of losses and, absorb 95 percent of losses and share in 95 percent of loss recoveries on losses exceeding $109 million. The term for loss sharing on 1-4 Family loans is ten years, while the term for loss sharing on all other loans is five years.</w:t>
      </w:r>
    </w:p>
    <w:p>
      <w:pPr>
        <w:spacing w:after="0" w:line="162"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 xml:space="preserve">Under the loss sharing agreement, the portion of the losses expected to be indemnified by FDIC is considered an indemnification asset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indemnification asset, referred to as “estimated loss reimbursement from the FDIC” is included in the balance of Assets covered by loss sharing agreements with the FDIC on the Consolidated Balance Sheet. The indemnification asset was recognized at fair value, which was estimated at the acquisition date based on the terms of the loss sharing agreement. The indemnification asset is expected to be collected over a four-year average life. No valuation allowance was required.</w:t>
      </w:r>
    </w:p>
    <w:p>
      <w:pPr>
        <w:spacing w:after="0" w:line="118"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Loans, foreclosed property and the estimated FDIC reimbursement resulting from the loss sharing agreements with the FDIC are reported as “assets covered by loss sharing agreements with the FDIC” in the consolidated balance sheet.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table below shows the components of covered assets at June 30, 2011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Purchased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Impaired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2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Loans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Loans</w:t>
            </w:r>
          </w:p>
        </w:tc>
        <w:tc>
          <w:tcPr>
            <w:tcW w:w="180" w:type="dxa"/>
            <w:vAlign w:val="bottom"/>
          </w:tcPr>
          <w:p>
            <w:pPr>
              <w:spacing w:after="0"/>
              <w:rPr>
                <w:sz w:val="20"/>
                <w:szCs w:val="20"/>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10"/>
        </w:trPr>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43,179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43,179</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3,133</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3,133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Construction and land development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13,505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Residential mortgage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8,913</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9,099</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r>
      <w:tr>
        <w:trPr>
          <w:trHeight w:val="223"/>
        </w:trPr>
        <w:tc>
          <w:tcPr>
            <w:tcW w:w="4280" w:type="dxa"/>
            <w:vAlign w:val="bottom"/>
          </w:tcPr>
          <w:p>
            <w:pPr>
              <w:ind w:left="200"/>
              <w:spacing w:after="0"/>
              <w:rPr>
                <w:sz w:val="20"/>
                <w:szCs w:val="20"/>
                <w:color w:val="auto"/>
              </w:rPr>
            </w:pPr>
            <w:r>
              <w:rPr>
                <w:rFonts w:ascii="Arial" w:cs="Arial" w:eastAsia="Arial" w:hAnsi="Arial"/>
                <w:sz w:val="18"/>
                <w:szCs w:val="18"/>
                <w:color w:val="auto"/>
              </w:rPr>
              <w:t>Total covered loans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68,918</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70,839</w:t>
            </w: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Covered forclosed property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8,270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8,270</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Estimated loss reimbursement from the FDIC</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16,617</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16,617</w:t>
            </w: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covered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68,918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24,887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95,726</w:t>
            </w: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4 — Securities</w:t>
      </w:r>
    </w:p>
    <w:p>
      <w:pPr>
        <w:spacing w:after="0" w:line="189"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During the second quarter of 2010, securities available for sale with a fair value of $315 million were transferred to held to maturity. The securities were transferred at their fair value on the date of transfer. The unrealized gain of $7.1 million on the transferred securities on the date of transfer is being amortized into interest revenue as an adjustment to the yield on those securities over the remaining life of the transferred securities. Securities are classified as held to maturity when management has the positive intent and ability to hold them until maturity. Securities held to maturity are carried at amortized cost.</w:t>
      </w:r>
    </w:p>
    <w:p>
      <w:pPr>
        <w:spacing w:after="0" w:line="146"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 xml:space="preserve">The amortized cost, gross unrealized gains and losses and fair value of securities held to maturity at June 30, 2011, December 31, 2010 and June 30, 2010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Amortized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Unrealized</w:t>
            </w: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Cost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Losses</w:t>
            </w:r>
          </w:p>
        </w:tc>
        <w:tc>
          <w:tcPr>
            <w:tcW w:w="18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As of June 30, 2011</w:t>
            </w:r>
          </w:p>
        </w:tc>
        <w:tc>
          <w:tcPr>
            <w:tcW w:w="10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50,653</w:t>
            </w: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317,456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6,184</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323,578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371,578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379,231</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As of December 31, 2010</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agencies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12,018</w:t>
            </w: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State and political subdivisions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47,007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1,005</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46,418</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206,861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209,552</w:t>
            </w:r>
          </w:p>
        </w:tc>
        <w:tc>
          <w:tcPr>
            <w:tcW w:w="0" w:type="dxa"/>
            <w:vAlign w:val="bottom"/>
          </w:tcPr>
          <w:p>
            <w:pPr>
              <w:spacing w:after="0"/>
              <w:rPr>
                <w:sz w:val="1"/>
                <w:szCs w:val="1"/>
                <w:color w:val="auto"/>
              </w:rPr>
            </w:pPr>
          </w:p>
        </w:tc>
      </w:tr>
      <w:tr>
        <w:trPr>
          <w:trHeight w:val="223"/>
        </w:trPr>
        <w:tc>
          <w:tcPr>
            <w:tcW w:w="3500" w:type="dxa"/>
            <w:vAlign w:val="bottom"/>
          </w:tcPr>
          <w:p>
            <w:pPr>
              <w:ind w:left="400"/>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265,807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3,195</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As of June 30, 2010</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70,284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1,076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71,360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26,491</w:t>
            </w: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225,618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4,046</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229,646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322,148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327,497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5"/>
          <w:szCs w:val="15"/>
          <w:color w:val="auto"/>
        </w:rPr>
      </w:pPr>
      <w:r>
        <w:rPr>
          <w:rFonts w:ascii="Arial" w:cs="Arial" w:eastAsia="Arial" w:hAnsi="Arial"/>
          <w:sz w:val="18"/>
          <w:szCs w:val="18"/>
          <w:color w:val="auto"/>
        </w:rPr>
        <w:t>All are residential type mortgage-backed securities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left="340" w:right="1380"/>
        <w:spacing w:after="0" w:line="277" w:lineRule="auto"/>
        <w:rPr>
          <w:sz w:val="20"/>
          <w:szCs w:val="20"/>
          <w:color w:val="auto"/>
        </w:rPr>
      </w:pPr>
      <w:r>
        <w:rPr>
          <w:rFonts w:ascii="Arial" w:cs="Arial" w:eastAsia="Arial" w:hAnsi="Arial"/>
          <w:sz w:val="18"/>
          <w:szCs w:val="18"/>
          <w:color w:val="auto"/>
        </w:rPr>
        <w:t xml:space="preserve">The cost basis, unrealized gains and losses, and fair value of securities available for sale at June 30, 2011, December 31, 2010 and June 30, 2010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Amortized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Unrealized</w:t>
            </w: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Fair</w:t>
            </w:r>
          </w:p>
        </w:tc>
      </w:tr>
      <w:tr>
        <w:trPr>
          <w:trHeight w:val="230"/>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Cost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Losses</w:t>
            </w:r>
          </w:p>
        </w:tc>
        <w:tc>
          <w:tcPr>
            <w:tcW w:w="16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Value</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As of June 30, 2011</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77,930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77,477</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25,569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26,772</w:t>
            </w: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1,556,910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35,991</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1,592,618</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121,473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119,746</w:t>
            </w:r>
          </w:p>
        </w:tc>
      </w:tr>
      <w:tr>
        <w:trPr>
          <w:trHeight w:val="223"/>
        </w:trPr>
        <w:tc>
          <w:tcPr>
            <w:tcW w:w="4580" w:type="dxa"/>
            <w:vAlign w:val="bottom"/>
          </w:tcPr>
          <w:p>
            <w:pPr>
              <w:ind w:left="4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1,781,882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37,359</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1,816,613</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99,969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1,556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98,480</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28,442</w:t>
            </w: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963,475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29,204</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1,671</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991,008</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107,811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106,487</w:t>
            </w:r>
          </w:p>
        </w:tc>
      </w:tr>
      <w:tr>
        <w:trPr>
          <w:trHeight w:val="223"/>
        </w:trPr>
        <w:tc>
          <w:tcPr>
            <w:tcW w:w="4580" w:type="dxa"/>
            <w:vAlign w:val="bottom"/>
          </w:tcPr>
          <w:p>
            <w:pPr>
              <w:ind w:left="4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1,198,855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30,341</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1,224,417</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As of June 30, 2010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U.S. Government agencies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216,759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217,695</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political subdivisions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33,985</w:t>
            </w: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864,141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37,730</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1,103</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900,768</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13,328</w:t>
            </w:r>
          </w:p>
        </w:tc>
      </w:tr>
      <w:tr>
        <w:trPr>
          <w:trHeight w:val="223"/>
        </w:trPr>
        <w:tc>
          <w:tcPr>
            <w:tcW w:w="4580" w:type="dxa"/>
            <w:vAlign w:val="bottom"/>
          </w:tcPr>
          <w:p>
            <w:pPr>
              <w:ind w:left="4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1,127,058</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39,835</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1,165,776</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3" w:lineRule="exact"/>
        <w:rPr>
          <w:sz w:val="20"/>
          <w:szCs w:val="20"/>
          <w:color w:val="auto"/>
        </w:rPr>
      </w:pPr>
    </w:p>
    <w:p>
      <w:pPr>
        <w:ind w:left="720" w:hanging="388"/>
        <w:spacing w:after="0"/>
        <w:tabs>
          <w:tab w:leader="none" w:pos="720" w:val="left"/>
        </w:tabs>
        <w:numPr>
          <w:ilvl w:val="0"/>
          <w:numId w:val="4"/>
        </w:numPr>
        <w:rPr>
          <w:rFonts w:ascii="Arial" w:cs="Arial" w:eastAsia="Arial" w:hAnsi="Arial"/>
          <w:sz w:val="15"/>
          <w:szCs w:val="15"/>
          <w:color w:val="auto"/>
        </w:rPr>
      </w:pPr>
      <w:r>
        <w:rPr>
          <w:rFonts w:ascii="Arial" w:cs="Arial" w:eastAsia="Arial" w:hAnsi="Arial"/>
          <w:sz w:val="18"/>
          <w:szCs w:val="18"/>
          <w:color w:val="auto"/>
        </w:rPr>
        <w:t>All are residential type mortgage-backed securities</w:t>
      </w:r>
    </w:p>
    <w:p>
      <w:pPr>
        <w:spacing w:after="0" w:line="185" w:lineRule="exact"/>
        <w:rPr>
          <w:sz w:val="20"/>
          <w:szCs w:val="20"/>
          <w:color w:val="auto"/>
        </w:rPr>
      </w:pPr>
    </w:p>
    <w:p>
      <w:pPr>
        <w:ind w:left="340" w:right="1380"/>
        <w:spacing w:after="0" w:line="277" w:lineRule="auto"/>
        <w:rPr>
          <w:sz w:val="20"/>
          <w:szCs w:val="20"/>
          <w:color w:val="auto"/>
        </w:rPr>
      </w:pPr>
      <w:r>
        <w:rPr>
          <w:rFonts w:ascii="Arial" w:cs="Arial" w:eastAsia="Arial" w:hAnsi="Arial"/>
          <w:sz w:val="18"/>
          <w:szCs w:val="18"/>
          <w:color w:val="auto"/>
        </w:rPr>
        <w:t xml:space="preserve">The following table summarizes held to maturity securities in an unrealized loss position as of June 30, 2011, December 31, 2010 and June 30, 2010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5"/>
          </w:tcPr>
          <w:p>
            <w:pPr>
              <w:jc w:val="right"/>
              <w:ind w:right="620"/>
              <w:spacing w:after="0"/>
              <w:rPr>
                <w:sz w:val="20"/>
                <w:szCs w:val="20"/>
                <w:color w:val="auto"/>
              </w:rPr>
            </w:pPr>
            <w:r>
              <w:rPr>
                <w:rFonts w:ascii="Arial" w:cs="Arial" w:eastAsia="Arial" w:hAnsi="Arial"/>
                <w:sz w:val="18"/>
                <w:szCs w:val="18"/>
                <w:color w:val="auto"/>
                <w:w w:val="93"/>
              </w:rPr>
              <w:t>Less than 12 Months</w:t>
            </w:r>
          </w:p>
        </w:tc>
        <w:tc>
          <w:tcPr>
            <w:tcW w:w="180" w:type="dxa"/>
            <w:vAlign w:val="bottom"/>
          </w:tcPr>
          <w:p>
            <w:pPr>
              <w:spacing w:after="0"/>
              <w:rPr>
                <w:sz w:val="20"/>
                <w:szCs w:val="20"/>
                <w:color w:val="auto"/>
              </w:rPr>
            </w:pPr>
          </w:p>
        </w:tc>
        <w:tc>
          <w:tcPr>
            <w:tcW w:w="1560" w:type="dxa"/>
            <w:vAlign w:val="bottom"/>
            <w:gridSpan w:val="4"/>
          </w:tcPr>
          <w:p>
            <w:pPr>
              <w:ind w:left="80"/>
              <w:spacing w:after="0"/>
              <w:rPr>
                <w:sz w:val="20"/>
                <w:szCs w:val="20"/>
                <w:color w:val="auto"/>
              </w:rPr>
            </w:pPr>
            <w:r>
              <w:rPr>
                <w:rFonts w:ascii="Arial" w:cs="Arial" w:eastAsia="Arial" w:hAnsi="Arial"/>
                <w:sz w:val="18"/>
                <w:szCs w:val="18"/>
                <w:color w:val="auto"/>
                <w:w w:val="96"/>
              </w:rPr>
              <w:t>12 Months or More</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8"/>
              </w:rPr>
              <w:t>Unrealized</w:t>
            </w:r>
          </w:p>
        </w:tc>
        <w:tc>
          <w:tcPr>
            <w:tcW w:w="3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ind w:left="180"/>
              <w:spacing w:after="0" w:line="195" w:lineRule="exact"/>
              <w:rPr>
                <w:sz w:val="20"/>
                <w:szCs w:val="20"/>
                <w:color w:val="auto"/>
              </w:rPr>
            </w:pPr>
            <w:r>
              <w:rPr>
                <w:rFonts w:ascii="Arial" w:cs="Arial" w:eastAsia="Arial" w:hAnsi="Arial"/>
                <w:sz w:val="18"/>
                <w:szCs w:val="18"/>
                <w:color w:val="auto"/>
                <w:w w:val="90"/>
              </w:rPr>
              <w:t>Unrealized</w:t>
            </w:r>
          </w:p>
        </w:tc>
        <w:tc>
          <w:tcPr>
            <w:tcW w:w="3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3"/>
          </w:tcPr>
          <w:p>
            <w:pPr>
              <w:ind w:left="380"/>
              <w:spacing w:after="0" w:line="195" w:lineRule="exact"/>
              <w:rPr>
                <w:sz w:val="20"/>
                <w:szCs w:val="20"/>
                <w:color w:val="auto"/>
              </w:rPr>
            </w:pPr>
            <w:r>
              <w:rPr>
                <w:rFonts w:ascii="Arial" w:cs="Arial" w:eastAsia="Arial" w:hAnsi="Arial"/>
                <w:sz w:val="18"/>
                <w:szCs w:val="18"/>
                <w:color w:val="auto"/>
                <w:w w:val="88"/>
              </w:rPr>
              <w:t>Unrealized</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Loss</w:t>
            </w:r>
          </w:p>
        </w:tc>
        <w:tc>
          <w:tcPr>
            <w:tcW w:w="96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0"/>
                <w:szCs w:val="20"/>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w w:val="89"/>
              </w:rPr>
              <w:t>Loss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w w:val="90"/>
              </w:rPr>
              <w:t>Fair Value</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Loss</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As of June 30, 2011</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10,160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10,160</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25,160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1,937</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Total unrealized loss position</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35,320</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37,257</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28,949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1,005</w:t>
            </w: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28,949</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1,005</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1,951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Total unrealized loss position</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30,900</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30,900</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As of June 30, 2010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1,145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1,145</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1,963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Total unrealized loss position</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3,108</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3,108</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 xml:space="preserve">The following table summarizes available for sale securities in an unrealized loss position as of June 30, 2011, December 31, 2010 and June 30, 2010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gridSpan w:val="6"/>
          </w:tcPr>
          <w:p>
            <w:pPr>
              <w:jc w:val="right"/>
              <w:ind w:right="620"/>
              <w:spacing w:after="0"/>
              <w:rPr>
                <w:sz w:val="20"/>
                <w:szCs w:val="20"/>
                <w:color w:val="auto"/>
              </w:rPr>
            </w:pPr>
            <w:r>
              <w:rPr>
                <w:rFonts w:ascii="Arial" w:cs="Arial" w:eastAsia="Arial" w:hAnsi="Arial"/>
                <w:sz w:val="18"/>
                <w:szCs w:val="18"/>
                <w:color w:val="auto"/>
                <w:w w:val="94"/>
              </w:rPr>
              <w:t>Less than 12 Months</w:t>
            </w:r>
          </w:p>
        </w:tc>
        <w:tc>
          <w:tcPr>
            <w:tcW w:w="180" w:type="dxa"/>
            <w:vAlign w:val="bottom"/>
          </w:tcPr>
          <w:p>
            <w:pPr>
              <w:spacing w:after="0"/>
              <w:rPr>
                <w:sz w:val="20"/>
                <w:szCs w:val="20"/>
                <w:color w:val="auto"/>
              </w:rPr>
            </w:pPr>
          </w:p>
        </w:tc>
        <w:tc>
          <w:tcPr>
            <w:tcW w:w="2140" w:type="dxa"/>
            <w:vAlign w:val="bottom"/>
            <w:gridSpan w:val="6"/>
          </w:tcPr>
          <w:p>
            <w:pPr>
              <w:ind w:left="80"/>
              <w:spacing w:after="0"/>
              <w:rPr>
                <w:sz w:val="20"/>
                <w:szCs w:val="20"/>
                <w:color w:val="auto"/>
              </w:rPr>
            </w:pPr>
            <w:r>
              <w:rPr>
                <w:rFonts w:ascii="Arial" w:cs="Arial" w:eastAsia="Arial" w:hAnsi="Arial"/>
                <w:sz w:val="18"/>
                <w:szCs w:val="18"/>
                <w:color w:val="auto"/>
              </w:rPr>
              <w:t>12 Months or More</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30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8"/>
              </w:rPr>
              <w:t>Unrealized</w:t>
            </w:r>
          </w:p>
        </w:tc>
        <w:tc>
          <w:tcPr>
            <w:tcW w:w="3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ind w:left="180"/>
              <w:spacing w:after="0" w:line="195" w:lineRule="exact"/>
              <w:rPr>
                <w:sz w:val="20"/>
                <w:szCs w:val="20"/>
                <w:color w:val="auto"/>
              </w:rPr>
            </w:pPr>
            <w:r>
              <w:rPr>
                <w:rFonts w:ascii="Arial" w:cs="Arial" w:eastAsia="Arial" w:hAnsi="Arial"/>
                <w:sz w:val="18"/>
                <w:szCs w:val="18"/>
                <w:color w:val="auto"/>
                <w:w w:val="90"/>
              </w:rPr>
              <w:t>Unrealized</w:t>
            </w:r>
          </w:p>
        </w:tc>
        <w:tc>
          <w:tcPr>
            <w:tcW w:w="3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3"/>
          </w:tcPr>
          <w:p>
            <w:pPr>
              <w:ind w:left="380"/>
              <w:spacing w:after="0" w:line="195" w:lineRule="exact"/>
              <w:rPr>
                <w:sz w:val="20"/>
                <w:szCs w:val="20"/>
                <w:color w:val="auto"/>
              </w:rPr>
            </w:pPr>
            <w:r>
              <w:rPr>
                <w:rFonts w:ascii="Arial" w:cs="Arial" w:eastAsia="Arial" w:hAnsi="Arial"/>
                <w:sz w:val="18"/>
                <w:szCs w:val="18"/>
                <w:color w:val="auto"/>
                <w:w w:val="88"/>
              </w:rPr>
              <w:t>Unrealized</w:t>
            </w:r>
          </w:p>
        </w:tc>
        <w:tc>
          <w:tcPr>
            <w:tcW w:w="100" w:type="dxa"/>
            <w:vAlign w:val="bottom"/>
          </w:tcPr>
          <w:p>
            <w:pPr>
              <w:spacing w:after="0"/>
              <w:rPr>
                <w:sz w:val="16"/>
                <w:szCs w:val="16"/>
                <w:color w:val="auto"/>
              </w:rPr>
            </w:pPr>
          </w:p>
        </w:tc>
      </w:tr>
      <w:tr>
        <w:trPr>
          <w:trHeight w:val="230"/>
        </w:trPr>
        <w:tc>
          <w:tcPr>
            <w:tcW w:w="3020" w:type="dxa"/>
            <w:vAlign w:val="bottom"/>
          </w:tcPr>
          <w:p>
            <w:pPr>
              <w:spacing w:after="0"/>
              <w:rPr>
                <w:sz w:val="20"/>
                <w:szCs w:val="20"/>
                <w:color w:val="auto"/>
              </w:rPr>
            </w:pPr>
          </w:p>
        </w:tc>
        <w:tc>
          <w:tcPr>
            <w:tcW w:w="1200" w:type="dxa"/>
            <w:vAlign w:val="bottom"/>
            <w:gridSpan w:val="4"/>
          </w:tcPr>
          <w:p>
            <w:pPr>
              <w:ind w:left="2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w w:val="99"/>
              </w:rPr>
              <w:t>Loss</w:t>
            </w:r>
          </w:p>
        </w:tc>
        <w:tc>
          <w:tcPr>
            <w:tcW w:w="96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Loss</w:t>
            </w:r>
          </w:p>
        </w:tc>
        <w:tc>
          <w:tcPr>
            <w:tcW w:w="760" w:type="dxa"/>
            <w:vAlign w:val="bottom"/>
            <w:gridSpan w:val="2"/>
          </w:tcPr>
          <w:p>
            <w:pPr>
              <w:spacing w:after="0"/>
              <w:rPr>
                <w:sz w:val="20"/>
                <w:szCs w:val="20"/>
                <w:color w:val="auto"/>
              </w:rPr>
            </w:pPr>
            <w:r>
              <w:rPr>
                <w:rFonts w:ascii="Arial" w:cs="Arial" w:eastAsia="Arial" w:hAnsi="Arial"/>
                <w:sz w:val="18"/>
                <w:szCs w:val="18"/>
                <w:color w:val="auto"/>
                <w:w w:val="90"/>
              </w:rPr>
              <w:t>Fair Value</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Loss</w:t>
            </w: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As of June 30, 2011</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54,482</w:t>
            </w:r>
          </w:p>
        </w:tc>
        <w:tc>
          <w:tcPr>
            <w:tcW w:w="3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514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54,482</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169,907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169,907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97,145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97,145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w:t>
            </w:r>
          </w:p>
        </w:tc>
      </w:tr>
      <w:tr>
        <w:trPr>
          <w:trHeight w:val="223"/>
        </w:trPr>
        <w:tc>
          <w:tcPr>
            <w:tcW w:w="3020" w:type="dxa"/>
            <w:vAlign w:val="bottom"/>
          </w:tcPr>
          <w:p>
            <w:pPr>
              <w:ind w:left="200"/>
              <w:spacing w:after="0"/>
              <w:rPr>
                <w:sz w:val="20"/>
                <w:szCs w:val="20"/>
                <w:color w:val="auto"/>
              </w:rPr>
            </w:pPr>
            <w:r>
              <w:rPr>
                <w:rFonts w:ascii="Arial" w:cs="Arial" w:eastAsia="Arial" w:hAnsi="Arial"/>
                <w:sz w:val="18"/>
                <w:szCs w:val="18"/>
                <w:color w:val="auto"/>
              </w:rPr>
              <w:t>Total unrealized loss position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321,835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2,624</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321,845</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w:t>
            </w:r>
          </w:p>
        </w:tc>
        <w:tc>
          <w:tcPr>
            <w:tcW w:w="10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68,412</w:t>
            </w:r>
          </w:p>
        </w:tc>
        <w:tc>
          <w:tcPr>
            <w:tcW w:w="3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1,556</w:t>
            </w:r>
          </w:p>
        </w:tc>
        <w:tc>
          <w:tcPr>
            <w:tcW w:w="3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68,412</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1,556</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59,505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2,799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62,304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1,671</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69,985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w:t>
            </w:r>
          </w:p>
        </w:tc>
      </w:tr>
      <w:tr>
        <w:trPr>
          <w:trHeight w:val="223"/>
        </w:trPr>
        <w:tc>
          <w:tcPr>
            <w:tcW w:w="3020" w:type="dxa"/>
            <w:vAlign w:val="bottom"/>
          </w:tcPr>
          <w:p>
            <w:pPr>
              <w:ind w:left="200"/>
              <w:spacing w:after="0"/>
              <w:rPr>
                <w:sz w:val="20"/>
                <w:szCs w:val="20"/>
                <w:color w:val="auto"/>
              </w:rPr>
            </w:pPr>
            <w:r>
              <w:rPr>
                <w:rFonts w:ascii="Arial" w:cs="Arial" w:eastAsia="Arial" w:hAnsi="Arial"/>
                <w:sz w:val="18"/>
                <w:szCs w:val="18"/>
                <w:color w:val="auto"/>
              </w:rPr>
              <w:t>Total unrealized loss position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198,984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4,732</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201,795</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10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As of June 30, 2010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3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401</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701</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19,499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w:t>
            </w:r>
          </w:p>
        </w:tc>
      </w:tr>
      <w:tr>
        <w:trPr>
          <w:trHeight w:val="223"/>
        </w:trPr>
        <w:tc>
          <w:tcPr>
            <w:tcW w:w="3020" w:type="dxa"/>
            <w:vAlign w:val="bottom"/>
          </w:tcPr>
          <w:p>
            <w:pPr>
              <w:ind w:left="200"/>
              <w:spacing w:after="0"/>
              <w:rPr>
                <w:sz w:val="20"/>
                <w:szCs w:val="20"/>
                <w:color w:val="auto"/>
              </w:rPr>
            </w:pPr>
            <w:r>
              <w:rPr>
                <w:rFonts w:ascii="Arial" w:cs="Arial" w:eastAsia="Arial" w:hAnsi="Arial"/>
                <w:sz w:val="18"/>
                <w:szCs w:val="18"/>
                <w:color w:val="auto"/>
              </w:rPr>
              <w:t>Total unrealized loss position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19,799</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26,040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45,839</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At June 30, 2011, there were 28 available for sale securities and 13 held to maturity securities that were in an unrealized loss position. United does not intend to sell nor believes it will be required to sell securities in an unrealized loss position prior to the recovery of their amortized cost basis. Unrealized losses at June 30, 2011 were primarily attributable to changes in interest rates.</w:t>
      </w:r>
    </w:p>
    <w:p>
      <w:pPr>
        <w:spacing w:after="0" w:line="125"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Management evaluates securities for other-than-temporary impairment at least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During the six months ended June 30, 2010, United recorded impairment losses of $950,000 on investments in financial institutions that showed evidence of other-than-temporary impairment. No impairment losses were identified in the first six months of 2011.</w:t>
      </w:r>
    </w:p>
    <w:p>
      <w:pPr>
        <w:spacing w:after="0" w:line="151" w:lineRule="exact"/>
        <w:rPr>
          <w:sz w:val="20"/>
          <w:szCs w:val="20"/>
          <w:color w:val="auto"/>
        </w:rPr>
      </w:pPr>
    </w:p>
    <w:p>
      <w:pPr>
        <w:jc w:val="both"/>
        <w:ind w:left="340" w:right="179"/>
        <w:spacing w:after="0" w:line="342" w:lineRule="auto"/>
        <w:rPr>
          <w:sz w:val="20"/>
          <w:szCs w:val="20"/>
          <w:color w:val="auto"/>
        </w:rPr>
      </w:pPr>
      <w:r>
        <w:rPr>
          <w:rFonts w:ascii="Arial" w:cs="Arial" w:eastAsia="Arial" w:hAnsi="Arial"/>
          <w:sz w:val="16"/>
          <w:szCs w:val="16"/>
          <w:color w:val="auto"/>
        </w:rPr>
        <w:t xml:space="preserve">Realized gains and losses are derived using the specific identification method for determining the cost of securities sold. The following table summarizes securities sales activity for the three and six month periods ended June 30, 2011 and 2010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2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June 30,</w:t>
            </w:r>
          </w:p>
        </w:tc>
        <w:tc>
          <w:tcPr>
            <w:tcW w:w="2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4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55,363</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106,603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40,817</w:t>
            </w: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580" w:type="dxa"/>
            <w:vAlign w:val="bottom"/>
          </w:tcPr>
          <w:p>
            <w:pPr>
              <w:spacing w:after="0"/>
              <w:rPr>
                <w:sz w:val="20"/>
                <w:szCs w:val="20"/>
                <w:color w:val="auto"/>
              </w:rPr>
            </w:pPr>
            <w:r>
              <w:rPr>
                <w:rFonts w:ascii="Arial" w:cs="Arial" w:eastAsia="Arial" w:hAnsi="Arial"/>
                <w:sz w:val="18"/>
                <w:szCs w:val="18"/>
                <w:color w:val="auto"/>
              </w:rPr>
              <w:t>Gross gains on sales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838</w:t>
            </w:r>
          </w:p>
        </w:tc>
        <w:tc>
          <w:tcPr>
            <w:tcW w:w="11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1,169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losses on sales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Impairment losses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r>
      <w:tr>
        <w:trPr>
          <w:trHeight w:val="223"/>
        </w:trPr>
        <w:tc>
          <w:tcPr>
            <w:tcW w:w="45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gains on sales of securities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580" w:type="dxa"/>
            <w:vAlign w:val="bottom"/>
          </w:tcPr>
          <w:p>
            <w:pPr>
              <w:spacing w:after="0"/>
              <w:rPr>
                <w:sz w:val="20"/>
                <w:szCs w:val="20"/>
                <w:color w:val="auto"/>
              </w:rPr>
            </w:pPr>
            <w:r>
              <w:rPr>
                <w:rFonts w:ascii="Arial" w:cs="Arial" w:eastAsia="Arial" w:hAnsi="Arial"/>
                <w:sz w:val="18"/>
                <w:szCs w:val="18"/>
                <w:color w:val="auto"/>
              </w:rPr>
              <w:t>Income tax expense attributable to sales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305</w:t>
            </w:r>
          </w:p>
        </w:tc>
        <w:tc>
          <w:tcPr>
            <w:tcW w:w="11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326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Securities with a carrying value of $2.11 billion, $1.43 billion, and $1.12 billion were pledged to secure public deposits, FHLB advances and other secured borrowings at June 30, 2011, December 31, 2010 and June 30, 2010.</w:t>
      </w:r>
    </w:p>
    <w:p>
      <w:pPr>
        <w:spacing w:after="0" w:line="130"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 xml:space="preserve">The amortized cost and fair value of held to maturity and available for sale securities at June 30, 2011,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gridSpan w:val="7"/>
          </w:tcPr>
          <w:p>
            <w:pPr>
              <w:jc w:val="right"/>
              <w:ind w:right="940"/>
              <w:spacing w:after="0"/>
              <w:rPr>
                <w:sz w:val="20"/>
                <w:szCs w:val="20"/>
                <w:color w:val="auto"/>
              </w:rPr>
            </w:pPr>
            <w:r>
              <w:rPr>
                <w:rFonts w:ascii="Arial" w:cs="Arial" w:eastAsia="Arial" w:hAnsi="Arial"/>
                <w:sz w:val="18"/>
                <w:szCs w:val="18"/>
                <w:color w:val="auto"/>
              </w:rPr>
              <w:t>Available for Sale</w:t>
            </w:r>
          </w:p>
        </w:tc>
        <w:tc>
          <w:tcPr>
            <w:tcW w:w="320" w:type="dxa"/>
            <w:vAlign w:val="bottom"/>
          </w:tcPr>
          <w:p>
            <w:pPr>
              <w:spacing w:after="0"/>
              <w:rPr>
                <w:sz w:val="20"/>
                <w:szCs w:val="20"/>
                <w:color w:val="auto"/>
              </w:rPr>
            </w:pPr>
          </w:p>
        </w:tc>
        <w:tc>
          <w:tcPr>
            <w:tcW w:w="2260" w:type="dxa"/>
            <w:vAlign w:val="bottom"/>
            <w:gridSpan w:val="5"/>
          </w:tcPr>
          <w:p>
            <w:pPr>
              <w:jc w:val="right"/>
              <w:ind w:right="720"/>
              <w:spacing w:after="0"/>
              <w:rPr>
                <w:sz w:val="20"/>
                <w:szCs w:val="20"/>
                <w:color w:val="auto"/>
              </w:rPr>
            </w:pPr>
            <w:r>
              <w:rPr>
                <w:rFonts w:ascii="Arial" w:cs="Arial" w:eastAsia="Arial" w:hAnsi="Arial"/>
                <w:sz w:val="18"/>
                <w:szCs w:val="18"/>
                <w:color w:val="auto"/>
              </w:rPr>
              <w:t>Held to Maturity</w:t>
            </w:r>
          </w:p>
        </w:tc>
      </w:tr>
      <w:tr>
        <w:trPr>
          <w:trHeight w:val="210"/>
        </w:trPr>
        <w:tc>
          <w:tcPr>
            <w:tcW w:w="4320" w:type="dxa"/>
            <w:vAlign w:val="bottom"/>
          </w:tcPr>
          <w:p>
            <w:pPr>
              <w:spacing w:after="0"/>
              <w:rPr>
                <w:sz w:val="18"/>
                <w:szCs w:val="18"/>
                <w:color w:val="auto"/>
              </w:rPr>
            </w:pPr>
          </w:p>
        </w:tc>
        <w:tc>
          <w:tcPr>
            <w:tcW w:w="13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Amortized Cost</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Fair Value</w:t>
            </w:r>
          </w:p>
        </w:tc>
        <w:tc>
          <w:tcPr>
            <w:tcW w:w="360" w:type="dxa"/>
            <w:vAlign w:val="bottom"/>
          </w:tcPr>
          <w:p>
            <w:pPr>
              <w:spacing w:after="0"/>
              <w:rPr>
                <w:sz w:val="18"/>
                <w:szCs w:val="18"/>
                <w:color w:val="auto"/>
              </w:rPr>
            </w:pPr>
          </w:p>
        </w:tc>
        <w:tc>
          <w:tcPr>
            <w:tcW w:w="15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Amortized Cost</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Fair Value</w:t>
            </w:r>
          </w:p>
        </w:tc>
        <w:tc>
          <w:tcPr>
            <w:tcW w:w="100" w:type="dxa"/>
            <w:vAlign w:val="bottom"/>
          </w:tcPr>
          <w:p>
            <w:pPr>
              <w:spacing w:after="0"/>
              <w:rPr>
                <w:sz w:val="18"/>
                <w:szCs w:val="18"/>
                <w:color w:val="auto"/>
              </w:rPr>
            </w:pPr>
          </w:p>
        </w:tc>
      </w:tr>
      <w:tr>
        <w:trPr>
          <w:trHeight w:val="210"/>
        </w:trPr>
        <w:tc>
          <w:tcPr>
            <w:tcW w:w="4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20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64,350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64,034</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More than 10 years</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13,580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13,443</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23"/>
        </w:trPr>
        <w:tc>
          <w:tcPr>
            <w:tcW w:w="4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77,477</w:t>
            </w:r>
          </w:p>
        </w:tc>
        <w:tc>
          <w:tcPr>
            <w:tcW w:w="3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r>
      <w:tr>
        <w:trPr>
          <w:trHeight w:val="223"/>
        </w:trPr>
        <w:tc>
          <w:tcPr>
            <w:tcW w:w="4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200"/>
              <w:spacing w:after="0"/>
              <w:rPr>
                <w:sz w:val="20"/>
                <w:szCs w:val="20"/>
                <w:color w:val="auto"/>
              </w:rPr>
            </w:pPr>
            <w:r>
              <w:rPr>
                <w:rFonts w:ascii="Arial" w:cs="Arial" w:eastAsia="Arial" w:hAnsi="Arial"/>
                <w:sz w:val="18"/>
                <w:szCs w:val="18"/>
                <w:color w:val="auto"/>
              </w:rPr>
              <w:t>Within 1 year</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4,715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4,781</w:t>
            </w:r>
          </w:p>
        </w:tc>
        <w:tc>
          <w:tcPr>
            <w:tcW w:w="3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 to 5 years</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14,682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15,485</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w:t>
            </w:r>
          </w:p>
        </w:tc>
      </w:tr>
      <w:tr>
        <w:trPr>
          <w:trHeight w:val="216"/>
        </w:trPr>
        <w:tc>
          <w:tcPr>
            <w:tcW w:w="4320" w:type="dxa"/>
            <w:vAlign w:val="bottom"/>
          </w:tcPr>
          <w:p>
            <w:pPr>
              <w:ind w:left="20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5,324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5,627</w:t>
            </w:r>
          </w:p>
        </w:tc>
        <w:tc>
          <w:tcPr>
            <w:tcW w:w="3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21,273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22,336</w:t>
            </w: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More than 10 years</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879</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25,824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26,239</w:t>
            </w:r>
          </w:p>
        </w:tc>
      </w:tr>
      <w:tr>
        <w:trPr>
          <w:trHeight w:val="223"/>
        </w:trPr>
        <w:tc>
          <w:tcPr>
            <w:tcW w:w="4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25,569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26,772</w:t>
            </w:r>
          </w:p>
        </w:tc>
        <w:tc>
          <w:tcPr>
            <w:tcW w:w="3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49,122</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50,653</w:t>
            </w:r>
          </w:p>
        </w:tc>
        <w:tc>
          <w:tcPr>
            <w:tcW w:w="100" w:type="dxa"/>
            <w:vAlign w:val="bottom"/>
          </w:tcPr>
          <w:p>
            <w:pPr>
              <w:spacing w:after="0"/>
              <w:rPr>
                <w:sz w:val="19"/>
                <w:szCs w:val="19"/>
                <w:color w:val="auto"/>
              </w:rPr>
            </w:pPr>
          </w:p>
        </w:tc>
      </w:tr>
      <w:tr>
        <w:trPr>
          <w:trHeight w:val="223"/>
        </w:trPr>
        <w:tc>
          <w:tcPr>
            <w:tcW w:w="4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200"/>
              <w:spacing w:after="0"/>
              <w:rPr>
                <w:sz w:val="20"/>
                <w:szCs w:val="20"/>
                <w:color w:val="auto"/>
              </w:rPr>
            </w:pPr>
            <w:r>
              <w:rPr>
                <w:rFonts w:ascii="Arial" w:cs="Arial" w:eastAsia="Arial" w:hAnsi="Arial"/>
                <w:sz w:val="18"/>
                <w:szCs w:val="18"/>
                <w:color w:val="auto"/>
              </w:rPr>
              <w:t>1 to 5 years</w:t>
            </w:r>
          </w:p>
        </w:tc>
        <w:tc>
          <w:tcPr>
            <w:tcW w:w="26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18,475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17,962</w:t>
            </w:r>
          </w:p>
        </w:tc>
        <w:tc>
          <w:tcPr>
            <w:tcW w:w="3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 to 10 years</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99,546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99,033</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ind w:left="200"/>
              <w:spacing w:after="0"/>
              <w:rPr>
                <w:sz w:val="20"/>
                <w:szCs w:val="20"/>
                <w:color w:val="auto"/>
              </w:rPr>
            </w:pPr>
            <w:r>
              <w:rPr>
                <w:rFonts w:ascii="Arial" w:cs="Arial" w:eastAsia="Arial" w:hAnsi="Arial"/>
                <w:sz w:val="18"/>
                <w:szCs w:val="18"/>
                <w:color w:val="auto"/>
              </w:rPr>
              <w:t>More than 10 years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2,751</w:t>
            </w:r>
          </w:p>
        </w:tc>
        <w:tc>
          <w:tcPr>
            <w:tcW w:w="3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119,746</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439"/>
        </w:trPr>
        <w:tc>
          <w:tcPr>
            <w:tcW w:w="4320" w:type="dxa"/>
            <w:vAlign w:val="bottom"/>
          </w:tcPr>
          <w:p>
            <w:pPr>
              <w:spacing w:after="0"/>
              <w:rPr>
                <w:sz w:val="20"/>
                <w:szCs w:val="20"/>
                <w:color w:val="auto"/>
              </w:rPr>
            </w:pPr>
            <w:r>
              <w:rPr>
                <w:rFonts w:ascii="Arial" w:cs="Arial" w:eastAsia="Arial" w:hAnsi="Arial"/>
                <w:sz w:val="18"/>
                <w:szCs w:val="18"/>
                <w:color w:val="auto"/>
                <w:w w:val="98"/>
              </w:rPr>
              <w:t>Total securities other than mortgage-backed securities:</w:t>
            </w: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Within 1 year</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4,781</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ind w:left="200"/>
              <w:spacing w:after="0"/>
              <w:rPr>
                <w:sz w:val="20"/>
                <w:szCs w:val="20"/>
                <w:color w:val="auto"/>
              </w:rPr>
            </w:pPr>
            <w:r>
              <w:rPr>
                <w:rFonts w:ascii="Arial" w:cs="Arial" w:eastAsia="Arial" w:hAnsi="Arial"/>
                <w:sz w:val="18"/>
                <w:szCs w:val="18"/>
                <w:color w:val="auto"/>
              </w:rPr>
              <w:t>1 to 5 years</w:t>
            </w:r>
          </w:p>
        </w:tc>
        <w:tc>
          <w:tcPr>
            <w:tcW w:w="26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33,157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33,447</w:t>
            </w:r>
          </w:p>
        </w:tc>
        <w:tc>
          <w:tcPr>
            <w:tcW w:w="3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2,078</w:t>
            </w: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 to 10 years</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169,220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168,694</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21,273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22,336</w:t>
            </w:r>
          </w:p>
        </w:tc>
      </w:tr>
      <w:tr>
        <w:trPr>
          <w:trHeight w:val="230"/>
        </w:trPr>
        <w:tc>
          <w:tcPr>
            <w:tcW w:w="4320" w:type="dxa"/>
            <w:vAlign w:val="bottom"/>
          </w:tcPr>
          <w:p>
            <w:pPr>
              <w:ind w:left="200"/>
              <w:spacing w:after="0"/>
              <w:rPr>
                <w:sz w:val="20"/>
                <w:szCs w:val="20"/>
                <w:color w:val="auto"/>
              </w:rPr>
            </w:pPr>
            <w:r>
              <w:rPr>
                <w:rFonts w:ascii="Arial" w:cs="Arial" w:eastAsia="Arial" w:hAnsi="Arial"/>
                <w:sz w:val="18"/>
                <w:szCs w:val="18"/>
                <w:color w:val="auto"/>
              </w:rPr>
              <w:t>More than 10 years</w:t>
            </w:r>
          </w:p>
        </w:tc>
        <w:tc>
          <w:tcPr>
            <w:tcW w:w="260" w:type="dxa"/>
            <w:vAlign w:val="bottom"/>
          </w:tcPr>
          <w:p>
            <w:pPr>
              <w:spacing w:after="0"/>
              <w:rPr>
                <w:sz w:val="20"/>
                <w:szCs w:val="20"/>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17,880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17,073</w:t>
            </w:r>
          </w:p>
        </w:tc>
        <w:tc>
          <w:tcPr>
            <w:tcW w:w="3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30,824</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31,239</w:t>
            </w:r>
          </w:p>
        </w:tc>
      </w:tr>
      <w:tr>
        <w:trPr>
          <w:trHeight w:val="202"/>
        </w:trPr>
        <w:tc>
          <w:tcPr>
            <w:tcW w:w="4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1,556,910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1,592,618</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317,456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323,578</w:t>
            </w:r>
          </w:p>
        </w:tc>
      </w:tr>
      <w:tr>
        <w:trPr>
          <w:trHeight w:val="20"/>
        </w:trPr>
        <w:tc>
          <w:tcPr>
            <w:tcW w:w="4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32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1,781,882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1,816,613</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371,578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379,231</w:t>
            </w:r>
          </w:p>
        </w:tc>
      </w:tr>
      <w:tr>
        <w:trPr>
          <w:trHeight w:val="20"/>
        </w:trPr>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 with or without call or prepayment penalties.</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Loans and Allowance for Loan Losses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Major classifications of loans as of June 30, 2011, December 31, 2010 and June 30, 2010,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June 30,</w:t>
            </w:r>
          </w:p>
        </w:tc>
        <w:tc>
          <w:tcPr>
            <w:tcW w:w="1780" w:type="dxa"/>
            <w:vAlign w:val="bottom"/>
            <w:gridSpan w:val="4"/>
          </w:tcPr>
          <w:p>
            <w:pPr>
              <w:ind w:left="36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June 30,</w:t>
            </w:r>
          </w:p>
        </w:tc>
      </w:tr>
      <w:tr>
        <w:trPr>
          <w:trHeight w:val="234"/>
        </w:trPr>
        <w:tc>
          <w:tcPr>
            <w:tcW w:w="5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1,741,754</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1,761,424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1,780,142</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195,190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296,582</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342,140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Commercial (commercial and industrial)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428,058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441,518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441,097</w:t>
            </w:r>
          </w:p>
        </w:tc>
      </w:tr>
      <w:tr>
        <w:trPr>
          <w:trHeight w:val="223"/>
        </w:trPr>
        <w:tc>
          <w:tcPr>
            <w:tcW w:w="5900" w:type="dxa"/>
            <w:vAlign w:val="bottom"/>
          </w:tcPr>
          <w:p>
            <w:pPr>
              <w:ind w:left="200"/>
              <w:spacing w:after="0"/>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2,365,002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2,499,524</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2,563,379</w:t>
            </w:r>
          </w:p>
        </w:tc>
        <w:tc>
          <w:tcPr>
            <w:tcW w:w="100" w:type="dxa"/>
            <w:vAlign w:val="bottom"/>
          </w:tcPr>
          <w:p>
            <w:pPr>
              <w:spacing w:after="0"/>
              <w:rPr>
                <w:sz w:val="19"/>
                <w:szCs w:val="19"/>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501,909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695,166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819,930</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1,177,226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1,278,780</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1,355,582</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119,310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130,656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134,139</w:t>
            </w:r>
          </w:p>
        </w:tc>
      </w:tr>
      <w:tr>
        <w:trPr>
          <w:trHeight w:val="223"/>
        </w:trPr>
        <w:tc>
          <w:tcPr>
            <w:tcW w:w="590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4,163,447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4,604,126</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4,873,030</w:t>
            </w:r>
          </w:p>
        </w:tc>
        <w:tc>
          <w:tcPr>
            <w:tcW w:w="100" w:type="dxa"/>
            <w:vAlign w:val="bottom"/>
          </w:tcPr>
          <w:p>
            <w:pPr>
              <w:spacing w:after="0"/>
              <w:rPr>
                <w:sz w:val="19"/>
                <w:szCs w:val="19"/>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127,638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174,695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174,111</w:t>
            </w:r>
          </w:p>
        </w:tc>
      </w:tr>
      <w:tr>
        <w:trPr>
          <w:trHeight w:val="223"/>
        </w:trPr>
        <w:tc>
          <w:tcPr>
            <w:tcW w:w="5900" w:type="dxa"/>
            <w:vAlign w:val="bottom"/>
          </w:tcPr>
          <w:p>
            <w:pPr>
              <w:ind w:left="200"/>
              <w:spacing w:after="0"/>
              <w:rPr>
                <w:sz w:val="20"/>
                <w:szCs w:val="20"/>
                <w:color w:val="auto"/>
              </w:rPr>
            </w:pPr>
            <w:r>
              <w:rPr>
                <w:rFonts w:ascii="Arial" w:cs="Arial" w:eastAsia="Arial" w:hAnsi="Arial"/>
                <w:sz w:val="18"/>
                <w:szCs w:val="18"/>
                <w:color w:val="auto"/>
              </w:rPr>
              <w:t>Loans,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4,035,809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4,429,431</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4,698,919</w:t>
            </w:r>
          </w:p>
        </w:tc>
        <w:tc>
          <w:tcPr>
            <w:tcW w:w="10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380"/>
        <w:spacing w:after="0" w:line="259" w:lineRule="auto"/>
        <w:rPr>
          <w:sz w:val="20"/>
          <w:szCs w:val="20"/>
          <w:color w:val="auto"/>
        </w:rPr>
      </w:pPr>
      <w:r>
        <w:rPr>
          <w:rFonts w:ascii="Arial" w:cs="Arial" w:eastAsia="Arial" w:hAnsi="Arial"/>
          <w:sz w:val="18"/>
          <w:szCs w:val="18"/>
          <w:color w:val="auto"/>
        </w:rPr>
        <w:t>The Bank makes loans and extensions of credit to individuals and a variety of firms and corporations located primarily in counties in north Georgia, the Atlanta, Georgia MSA, the Gainesville, Georgia MSA, coastal Georgia, western North Carolina and east Tennessee. Although the Bank has a diversified loan portfolio, a substantial portion of the loan portfolio is collateralized by improved and unimproved real estate and is dependent upon the real estate market.</w:t>
      </w:r>
    </w:p>
    <w:p>
      <w:pPr>
        <w:spacing w:after="0" w:line="160" w:lineRule="exact"/>
        <w:rPr>
          <w:sz w:val="20"/>
          <w:szCs w:val="20"/>
          <w:color w:val="auto"/>
        </w:rPr>
      </w:pPr>
    </w:p>
    <w:p>
      <w:pPr>
        <w:jc w:val="both"/>
        <w:ind w:left="340" w:right="1380"/>
        <w:spacing w:after="0" w:line="277" w:lineRule="auto"/>
        <w:rPr>
          <w:sz w:val="20"/>
          <w:szCs w:val="20"/>
          <w:color w:val="auto"/>
        </w:rPr>
      </w:pPr>
      <w:r>
        <w:rPr>
          <w:rFonts w:ascii="Arial" w:cs="Arial" w:eastAsia="Arial" w:hAnsi="Arial"/>
          <w:sz w:val="18"/>
          <w:szCs w:val="18"/>
          <w:color w:val="auto"/>
        </w:rPr>
        <w:t xml:space="preserve">Changes in the allowance for loan losses for the three and six months ended June 30, 2011 and 2010 are summarized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Six Months Ended</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133,121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173,934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174,695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155,602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61,500</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201,000</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136,500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Commercial (secured by real estate)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3,433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9,791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52,140</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12,727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construction</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50,695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3,671</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604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1,764</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4,966</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6,318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6,769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41,781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99,024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85,971</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4,667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6,752</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41,343</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11,392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 installment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2,546</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840" w:type="dxa"/>
            <w:vAlign w:val="bottom"/>
          </w:tcPr>
          <w:p>
            <w:pPr>
              <w:ind w:left="400"/>
              <w:spacing w:after="0"/>
              <w:rPr>
                <w:sz w:val="20"/>
                <w:szCs w:val="20"/>
                <w:color w:val="auto"/>
              </w:rPr>
            </w:pPr>
            <w:r>
              <w:rPr>
                <w:rFonts w:ascii="Arial" w:cs="Arial" w:eastAsia="Arial" w:hAnsi="Arial"/>
                <w:sz w:val="18"/>
                <w:szCs w:val="18"/>
                <w:color w:val="auto"/>
              </w:rPr>
              <w:t>Total loans charged-off</w:t>
            </w:r>
          </w:p>
        </w:tc>
        <w:tc>
          <w:tcPr>
            <w:tcW w:w="7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62,965</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250,147</w:t>
            </w:r>
          </w:p>
        </w:tc>
        <w:tc>
          <w:tcPr>
            <w:tcW w:w="3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122,625</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Commercial (secured by real estate)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construction</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897</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1,341</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 installment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840" w:type="dxa"/>
            <w:vAlign w:val="bottom"/>
          </w:tcPr>
          <w:p>
            <w:pPr>
              <w:ind w:left="400"/>
              <w:spacing w:after="0"/>
              <w:rPr>
                <w:sz w:val="20"/>
                <w:szCs w:val="20"/>
                <w:color w:val="auto"/>
              </w:rPr>
            </w:pPr>
            <w:r>
              <w:rPr>
                <w:rFonts w:ascii="Arial" w:cs="Arial" w:eastAsia="Arial" w:hAnsi="Arial"/>
                <w:sz w:val="18"/>
                <w:szCs w:val="18"/>
                <w:color w:val="auto"/>
              </w:rPr>
              <w:t>Total recoveries</w:t>
            </w:r>
          </w:p>
        </w:tc>
        <w:tc>
          <w:tcPr>
            <w:tcW w:w="7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2,090</w:t>
            </w:r>
          </w:p>
        </w:tc>
        <w:tc>
          <w:tcPr>
            <w:tcW w:w="3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charge-offs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61,323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248,057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117,991</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840" w:type="dxa"/>
            <w:vAlign w:val="bottom"/>
          </w:tcPr>
          <w:p>
            <w:pPr>
              <w:ind w:left="400"/>
              <w:spacing w:after="0"/>
              <w:rPr>
                <w:sz w:val="20"/>
                <w:szCs w:val="20"/>
                <w:color w:val="auto"/>
              </w:rPr>
            </w:pPr>
            <w:r>
              <w:rPr>
                <w:rFonts w:ascii="Arial" w:cs="Arial" w:eastAsia="Arial" w:hAnsi="Arial"/>
                <w:sz w:val="18"/>
                <w:szCs w:val="18"/>
                <w:color w:val="auto"/>
              </w:rPr>
              <w:t>Balance end of period</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127,638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174,111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127,638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174,111</w:t>
            </w:r>
          </w:p>
        </w:tc>
        <w:tc>
          <w:tcPr>
            <w:tcW w:w="136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530"/>
              <w:spacing w:after="0"/>
              <w:rPr>
                <w:sz w:val="20"/>
                <w:szCs w:val="20"/>
                <w:color w:val="auto"/>
              </w:rPr>
            </w:pPr>
            <w:r>
              <w:rPr>
                <w:rFonts w:ascii="Arial" w:cs="Arial" w:eastAsia="Arial" w:hAnsi="Arial"/>
                <w:sz w:val="18"/>
                <w:szCs w:val="18"/>
                <w:color w:val="auto"/>
                <w:w w:val="99"/>
              </w:rPr>
              <w:t>11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At June 30, 2011, December 31, 2010 and June 30, 2010, loans with a carrying value of $991 million, $1.02 billion and $1.50 billion were pledged as collateral to secure FHLB advances and other contingent funding sources.</w:t>
      </w:r>
    </w:p>
    <w:p>
      <w:pPr>
        <w:spacing w:after="0" w:line="130"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The following table presents the balance and activity in the allowance for loan losses by portfolio segment and the recorded investment in loans by portfolio segment based on impairment method as of June 30, 2011, December 31, 2010 and June 30, 2010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9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9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Commercial</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920" w:type="dxa"/>
            <w:vAlign w:val="bottom"/>
            <w:gridSpan w:val="5"/>
            <w:vMerge w:val="continue"/>
          </w:tcPr>
          <w:p>
            <w:pPr>
              <w:spacing w:after="0"/>
              <w:rPr>
                <w:sz w:val="12"/>
                <w:szCs w:val="12"/>
                <w:color w:val="auto"/>
              </w:rPr>
            </w:pPr>
          </w:p>
        </w:tc>
        <w:tc>
          <w:tcPr>
            <w:tcW w:w="9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4"/>
              </w:rPr>
              <w:t>Commercial</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(Commercial</w:t>
            </w: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Residential</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Residential</w:t>
            </w:r>
          </w:p>
        </w:tc>
        <w:tc>
          <w:tcPr>
            <w:tcW w:w="8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5"/>
              </w:rPr>
              <w:t>Consumer</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(Secured by</w:t>
            </w: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and</w:t>
            </w:r>
          </w:p>
        </w:tc>
        <w:tc>
          <w:tcPr>
            <w:tcW w:w="98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Unallocated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Real Estate)</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8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Industrial)</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Mortgage</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Installment</w:t>
            </w:r>
          </w:p>
        </w:tc>
        <w:tc>
          <w:tcPr>
            <w:tcW w:w="88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Six Months Ended June 30, 2011</w:t>
            </w:r>
          </w:p>
        </w:tc>
        <w:tc>
          <w:tcPr>
            <w:tcW w:w="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Allowance for loan losses: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balance</w:t>
            </w: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31,191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6,780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7,580</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92,571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22,305</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3,030</w:t>
            </w:r>
          </w:p>
        </w:tc>
        <w:tc>
          <w:tcPr>
            <w:tcW w:w="2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11,238</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174,695</w:t>
            </w:r>
          </w:p>
        </w:tc>
        <w:tc>
          <w:tcPr>
            <w:tcW w:w="0" w:type="dxa"/>
            <w:vAlign w:val="bottom"/>
          </w:tcPr>
          <w:p>
            <w:pPr>
              <w:spacing w:after="0"/>
              <w:rPr>
                <w:sz w:val="1"/>
                <w:szCs w:val="1"/>
                <w:color w:val="auto"/>
              </w:rPr>
            </w:pPr>
          </w:p>
        </w:tc>
      </w:tr>
      <w:tr>
        <w:trPr>
          <w:trHeight w:val="149"/>
        </w:trPr>
        <w:tc>
          <w:tcPr>
            <w:tcW w:w="2520" w:type="dxa"/>
            <w:vAlign w:val="bottom"/>
          </w:tcPr>
          <w:p>
            <w:pPr>
              <w:ind w:left="200"/>
              <w:spacing w:after="0" w:line="149" w:lineRule="exact"/>
              <w:rPr>
                <w:sz w:val="20"/>
                <w:szCs w:val="20"/>
                <w:color w:val="auto"/>
              </w:rPr>
            </w:pPr>
            <w:r>
              <w:rPr>
                <w:rFonts w:ascii="Arial" w:cs="Arial" w:eastAsia="Arial" w:hAnsi="Arial"/>
                <w:sz w:val="14"/>
                <w:szCs w:val="14"/>
                <w:color w:val="auto"/>
              </w:rPr>
              <w:t>Charge-offs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(52,140)</w:t>
            </w:r>
          </w:p>
        </w:tc>
        <w:tc>
          <w:tcPr>
            <w:tcW w:w="2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(50,695)</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(4,966)</w:t>
            </w:r>
          </w:p>
        </w:tc>
        <w:tc>
          <w:tcPr>
            <w:tcW w:w="2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(99,024)</w:t>
            </w: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(41,343)</w:t>
            </w: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(1,979)</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(250,147)</w:t>
            </w: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Recoveries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403</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371</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674</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2,090</w:t>
            </w:r>
          </w:p>
        </w:tc>
        <w:tc>
          <w:tcPr>
            <w:tcW w:w="0" w:type="dxa"/>
            <w:vAlign w:val="bottom"/>
          </w:tcPr>
          <w:p>
            <w:pPr>
              <w:spacing w:after="0"/>
              <w:rPr>
                <w:sz w:val="1"/>
                <w:szCs w:val="1"/>
                <w:color w:val="auto"/>
              </w:rPr>
            </w:pPr>
          </w:p>
        </w:tc>
      </w:tr>
      <w:tr>
        <w:trPr>
          <w:trHeight w:val="149"/>
        </w:trPr>
        <w:tc>
          <w:tcPr>
            <w:tcW w:w="2520" w:type="dxa"/>
            <w:vAlign w:val="bottom"/>
          </w:tcPr>
          <w:p>
            <w:pPr>
              <w:ind w:left="200"/>
              <w:spacing w:after="0" w:line="149" w:lineRule="exact"/>
              <w:rPr>
                <w:sz w:val="20"/>
                <w:szCs w:val="20"/>
                <w:color w:val="auto"/>
              </w:rPr>
            </w:pPr>
            <w:r>
              <w:rPr>
                <w:rFonts w:ascii="Arial" w:cs="Arial" w:eastAsia="Arial" w:hAnsi="Arial"/>
                <w:sz w:val="14"/>
                <w:szCs w:val="14"/>
                <w:color w:val="auto"/>
              </w:rPr>
              <w:t>Provision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42,671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51,256</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4,016</w:t>
            </w:r>
          </w:p>
        </w:tc>
        <w:tc>
          <w:tcPr>
            <w:tcW w:w="2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55,249</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49,063</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(1,753)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201,000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21,996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7,452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7,033</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49,053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30,396</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2,223</w:t>
            </w:r>
          </w:p>
        </w:tc>
        <w:tc>
          <w:tcPr>
            <w:tcW w:w="2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9,485</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127,638</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4"/>
                <w:szCs w:val="14"/>
                <w:color w:val="auto"/>
              </w:rPr>
              <w:t>Ending allowance attributable to loans: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Individually evaluated for impairment</w:t>
            </w: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639</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1,167</w:t>
            </w:r>
          </w:p>
        </w:tc>
        <w:tc>
          <w:tcPr>
            <w:tcW w:w="0" w:type="dxa"/>
            <w:vAlign w:val="bottom"/>
          </w:tcPr>
          <w:p>
            <w:pPr>
              <w:spacing w:after="0"/>
              <w:rPr>
                <w:sz w:val="1"/>
                <w:szCs w:val="1"/>
                <w:color w:val="auto"/>
              </w:rPr>
            </w:pPr>
          </w:p>
        </w:tc>
      </w:tr>
      <w:tr>
        <w:trPr>
          <w:trHeight w:val="149"/>
        </w:trPr>
        <w:tc>
          <w:tcPr>
            <w:tcW w:w="2520" w:type="dxa"/>
            <w:vAlign w:val="bottom"/>
          </w:tcPr>
          <w:p>
            <w:pPr>
              <w:ind w:left="200"/>
              <w:spacing w:after="0" w:line="149" w:lineRule="exact"/>
              <w:rPr>
                <w:sz w:val="20"/>
                <w:szCs w:val="20"/>
                <w:color w:val="auto"/>
              </w:rPr>
            </w:pPr>
            <w:r>
              <w:rPr>
                <w:rFonts w:ascii="Arial" w:cs="Arial" w:eastAsia="Arial" w:hAnsi="Arial"/>
                <w:sz w:val="14"/>
                <w:szCs w:val="14"/>
                <w:color w:val="auto"/>
              </w:rPr>
              <w:t>Collectively evaluated for impairment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21,918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7,002</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7,033</w:t>
            </w:r>
          </w:p>
        </w:tc>
        <w:tc>
          <w:tcPr>
            <w:tcW w:w="2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49,053</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29,757</w:t>
            </w: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2,223</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9,485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126,471</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5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ending allowance balance</w:t>
            </w: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21,996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7,452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7,033</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49,053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30,396</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2,223</w:t>
            </w:r>
          </w:p>
        </w:tc>
        <w:tc>
          <w:tcPr>
            <w:tcW w:w="2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9,485</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127,638</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4"/>
                <w:szCs w:val="14"/>
                <w:color w:val="auto"/>
              </w:rPr>
              <w:t>Loans: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Individually evaluated for impairment</w:t>
            </w: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14,780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1,015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12,611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7,247</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35,653</w:t>
            </w:r>
          </w:p>
        </w:tc>
        <w:tc>
          <w:tcPr>
            <w:tcW w:w="0" w:type="dxa"/>
            <w:vAlign w:val="bottom"/>
          </w:tcPr>
          <w:p>
            <w:pPr>
              <w:spacing w:after="0"/>
              <w:rPr>
                <w:sz w:val="1"/>
                <w:szCs w:val="1"/>
                <w:color w:val="auto"/>
              </w:rPr>
            </w:pPr>
          </w:p>
        </w:tc>
      </w:tr>
      <w:tr>
        <w:trPr>
          <w:trHeight w:val="149"/>
        </w:trPr>
        <w:tc>
          <w:tcPr>
            <w:tcW w:w="2520" w:type="dxa"/>
            <w:vAlign w:val="bottom"/>
          </w:tcPr>
          <w:p>
            <w:pPr>
              <w:ind w:left="200"/>
              <w:spacing w:after="0" w:line="149" w:lineRule="exact"/>
              <w:rPr>
                <w:sz w:val="20"/>
                <w:szCs w:val="20"/>
                <w:color w:val="auto"/>
              </w:rPr>
            </w:pPr>
            <w:r>
              <w:rPr>
                <w:rFonts w:ascii="Arial" w:cs="Arial" w:eastAsia="Arial" w:hAnsi="Arial"/>
                <w:sz w:val="14"/>
                <w:szCs w:val="14"/>
                <w:color w:val="auto"/>
              </w:rPr>
              <w:t>Collectively evaluated for impairment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1,726,974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194,175</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428,058</w:t>
            </w:r>
          </w:p>
        </w:tc>
        <w:tc>
          <w:tcPr>
            <w:tcW w:w="2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489,298</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1,169,979</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119,310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4,127,794</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5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1,741,754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195,190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428,058</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501,909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1,177,226</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119,310</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4,163,447</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2010</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Ending allowance attributable to loans: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Individually evaluated for impairment</w:t>
            </w: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137</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149"/>
        </w:trPr>
        <w:tc>
          <w:tcPr>
            <w:tcW w:w="2520" w:type="dxa"/>
            <w:vAlign w:val="bottom"/>
          </w:tcPr>
          <w:p>
            <w:pPr>
              <w:ind w:left="200"/>
              <w:spacing w:after="0" w:line="149" w:lineRule="exact"/>
              <w:rPr>
                <w:sz w:val="20"/>
                <w:szCs w:val="20"/>
                <w:color w:val="auto"/>
              </w:rPr>
            </w:pPr>
            <w:r>
              <w:rPr>
                <w:rFonts w:ascii="Arial" w:cs="Arial" w:eastAsia="Arial" w:hAnsi="Arial"/>
                <w:sz w:val="14"/>
                <w:szCs w:val="14"/>
                <w:color w:val="auto"/>
              </w:rPr>
              <w:t>Collectively evaluated for impairment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30,923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6,780</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7,580</w:t>
            </w:r>
          </w:p>
        </w:tc>
        <w:tc>
          <w:tcPr>
            <w:tcW w:w="2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91,927</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22,168</w:t>
            </w: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3,030</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11,238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173,646</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5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ending allowance balance</w:t>
            </w: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31,191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6,780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7,580</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92,571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22,305</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3,030</w:t>
            </w:r>
          </w:p>
        </w:tc>
        <w:tc>
          <w:tcPr>
            <w:tcW w:w="2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11,238</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174,695</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4"/>
                <w:szCs w:val="14"/>
                <w:color w:val="auto"/>
              </w:rPr>
              <w:t>Loans: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Individually evaluated for impairment</w:t>
            </w: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41,818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20,311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5,874</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39,505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15,468</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122,976</w:t>
            </w:r>
          </w:p>
        </w:tc>
        <w:tc>
          <w:tcPr>
            <w:tcW w:w="0" w:type="dxa"/>
            <w:vAlign w:val="bottom"/>
          </w:tcPr>
          <w:p>
            <w:pPr>
              <w:spacing w:after="0"/>
              <w:rPr>
                <w:sz w:val="1"/>
                <w:szCs w:val="1"/>
                <w:color w:val="auto"/>
              </w:rPr>
            </w:pPr>
          </w:p>
        </w:tc>
      </w:tr>
      <w:tr>
        <w:trPr>
          <w:trHeight w:val="149"/>
        </w:trPr>
        <w:tc>
          <w:tcPr>
            <w:tcW w:w="2520" w:type="dxa"/>
            <w:vAlign w:val="bottom"/>
          </w:tcPr>
          <w:p>
            <w:pPr>
              <w:ind w:left="200"/>
              <w:spacing w:after="0" w:line="149" w:lineRule="exact"/>
              <w:rPr>
                <w:sz w:val="20"/>
                <w:szCs w:val="20"/>
                <w:color w:val="auto"/>
              </w:rPr>
            </w:pPr>
            <w:r>
              <w:rPr>
                <w:rFonts w:ascii="Arial" w:cs="Arial" w:eastAsia="Arial" w:hAnsi="Arial"/>
                <w:sz w:val="14"/>
                <w:szCs w:val="14"/>
                <w:color w:val="auto"/>
              </w:rPr>
              <w:t>Collectively evaluated for impairment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1,719,606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276,271</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435,644</w:t>
            </w:r>
          </w:p>
        </w:tc>
        <w:tc>
          <w:tcPr>
            <w:tcW w:w="2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655,661</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1,263,312</w:t>
            </w: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130,656</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4,481,150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5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loans</w:t>
            </w: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1,761,424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296,582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441,518</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695,166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1,278,780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130,656</w:t>
            </w:r>
          </w:p>
        </w:tc>
        <w:tc>
          <w:tcPr>
            <w:tcW w:w="2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4,604,126</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rPr>
              <w:t>Six Months Ended June 30, 2010</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Beginning balance</w:t>
            </w:r>
          </w:p>
        </w:tc>
        <w:tc>
          <w:tcPr>
            <w:tcW w:w="1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19,208</w:t>
            </w:r>
          </w:p>
        </w:tc>
        <w:tc>
          <w:tcPr>
            <w:tcW w:w="14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5,861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6,892</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93,585</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17,266</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2,545</w:t>
            </w:r>
          </w:p>
        </w:tc>
        <w:tc>
          <w:tcPr>
            <w:tcW w:w="2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10,245</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155,602</w:t>
            </w: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Charge-offs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(12,727)</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(3,671)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(6,318)</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(85,971)</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(11,392)</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(2,546)</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(122,625)</w:t>
            </w:r>
          </w:p>
        </w:tc>
        <w:tc>
          <w:tcPr>
            <w:tcW w:w="0" w:type="dxa"/>
            <w:vAlign w:val="bottom"/>
          </w:tcPr>
          <w:p>
            <w:pPr>
              <w:spacing w:after="0"/>
              <w:rPr>
                <w:sz w:val="1"/>
                <w:szCs w:val="1"/>
                <w:color w:val="auto"/>
              </w:rPr>
            </w:pPr>
          </w:p>
        </w:tc>
      </w:tr>
      <w:tr>
        <w:trPr>
          <w:trHeight w:val="149"/>
        </w:trPr>
        <w:tc>
          <w:tcPr>
            <w:tcW w:w="2520" w:type="dxa"/>
            <w:vAlign w:val="bottom"/>
          </w:tcPr>
          <w:p>
            <w:pPr>
              <w:ind w:left="200"/>
              <w:spacing w:after="0" w:line="149" w:lineRule="exact"/>
              <w:rPr>
                <w:sz w:val="20"/>
                <w:szCs w:val="20"/>
                <w:color w:val="auto"/>
              </w:rPr>
            </w:pPr>
            <w:r>
              <w:rPr>
                <w:rFonts w:ascii="Arial" w:cs="Arial" w:eastAsia="Arial" w:hAnsi="Arial"/>
                <w:sz w:val="14"/>
                <w:szCs w:val="14"/>
                <w:color w:val="auto"/>
              </w:rPr>
              <w:t>Recoveries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1,341</w:t>
            </w:r>
          </w:p>
        </w:tc>
        <w:tc>
          <w:tcPr>
            <w:tcW w:w="2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1,356</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324</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602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4,634</w:t>
            </w: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Provision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11,726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6,209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7,365</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95,794</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13,005</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2,171</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136,500</w:t>
            </w:r>
          </w:p>
        </w:tc>
        <w:tc>
          <w:tcPr>
            <w:tcW w:w="0" w:type="dxa"/>
            <w:vAlign w:val="bottom"/>
          </w:tcPr>
          <w:p>
            <w:pPr>
              <w:spacing w:after="0"/>
              <w:rPr>
                <w:sz w:val="1"/>
                <w:szCs w:val="1"/>
                <w:color w:val="auto"/>
              </w:rPr>
            </w:pPr>
          </w:p>
        </w:tc>
      </w:tr>
      <w:tr>
        <w:trPr>
          <w:trHeight w:val="156"/>
        </w:trPr>
        <w:tc>
          <w:tcPr>
            <w:tcW w:w="2520" w:type="dxa"/>
            <w:vAlign w:val="bottom"/>
          </w:tcPr>
          <w:p>
            <w:pPr>
              <w:spacing w:after="0" w:line="155" w:lineRule="exact"/>
              <w:rPr>
                <w:sz w:val="20"/>
                <w:szCs w:val="20"/>
                <w:color w:val="auto"/>
              </w:rPr>
            </w:pPr>
            <w:r>
              <w:rPr>
                <w:rFonts w:ascii="Arial" w:cs="Arial" w:eastAsia="Arial" w:hAnsi="Arial"/>
                <w:sz w:val="14"/>
                <w:szCs w:val="14"/>
                <w:color w:val="auto"/>
              </w:rPr>
              <w:t>Ending balance</w:t>
            </w: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19,213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8,404</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9,280</w:t>
            </w:r>
          </w:p>
        </w:tc>
        <w:tc>
          <w:tcPr>
            <w:tcW w:w="1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104,764</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19,203</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2,772</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10,475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174,111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Ending allowance attributable to loans: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ind w:left="200"/>
              <w:spacing w:after="0" w:line="149" w:lineRule="exact"/>
              <w:rPr>
                <w:sz w:val="20"/>
                <w:szCs w:val="20"/>
                <w:color w:val="auto"/>
              </w:rPr>
            </w:pPr>
            <w:r>
              <w:rPr>
                <w:rFonts w:ascii="Arial" w:cs="Arial" w:eastAsia="Arial" w:hAnsi="Arial"/>
                <w:sz w:val="14"/>
                <w:szCs w:val="14"/>
                <w:color w:val="auto"/>
              </w:rPr>
              <w:t>Individually evaluated for impairment</w:t>
            </w:r>
          </w:p>
        </w:tc>
        <w:tc>
          <w:tcPr>
            <w:tcW w:w="1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685</w:t>
            </w:r>
          </w:p>
        </w:tc>
        <w:tc>
          <w:tcPr>
            <w:tcW w:w="1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222</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1,140</w:t>
            </w: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Collectively evaluated for impairment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19,213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8,201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9,250</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104,079</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18,981</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2,772</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10,475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172,971</w:t>
            </w:r>
          </w:p>
        </w:tc>
        <w:tc>
          <w:tcPr>
            <w:tcW w:w="0" w:type="dxa"/>
            <w:vAlign w:val="bottom"/>
          </w:tcPr>
          <w:p>
            <w:pPr>
              <w:spacing w:after="0"/>
              <w:rPr>
                <w:sz w:val="1"/>
                <w:szCs w:val="1"/>
                <w:color w:val="auto"/>
              </w:rPr>
            </w:pPr>
          </w:p>
        </w:tc>
      </w:tr>
      <w:tr>
        <w:trPr>
          <w:trHeight w:val="156"/>
        </w:trPr>
        <w:tc>
          <w:tcPr>
            <w:tcW w:w="2520" w:type="dxa"/>
            <w:vAlign w:val="bottom"/>
          </w:tcPr>
          <w:p>
            <w:pPr>
              <w:ind w:left="400"/>
              <w:spacing w:after="0" w:line="155" w:lineRule="exact"/>
              <w:rPr>
                <w:sz w:val="20"/>
                <w:szCs w:val="20"/>
                <w:color w:val="auto"/>
              </w:rPr>
            </w:pPr>
            <w:r>
              <w:rPr>
                <w:rFonts w:ascii="Arial" w:cs="Arial" w:eastAsia="Arial" w:hAnsi="Arial"/>
                <w:sz w:val="14"/>
                <w:szCs w:val="14"/>
                <w:color w:val="auto"/>
              </w:rPr>
              <w:t>Total ending allowance balance</w:t>
            </w: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19,213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8,404</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9,280</w:t>
            </w:r>
          </w:p>
        </w:tc>
        <w:tc>
          <w:tcPr>
            <w:tcW w:w="1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104,764</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19,203</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2,772</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10,475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174,111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Loans: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ind w:left="200"/>
              <w:spacing w:after="0" w:line="149" w:lineRule="exact"/>
              <w:rPr>
                <w:sz w:val="20"/>
                <w:szCs w:val="20"/>
                <w:color w:val="auto"/>
              </w:rPr>
            </w:pPr>
            <w:r>
              <w:rPr>
                <w:rFonts w:ascii="Arial" w:cs="Arial" w:eastAsia="Arial" w:hAnsi="Arial"/>
                <w:sz w:val="14"/>
                <w:szCs w:val="14"/>
                <w:color w:val="auto"/>
              </w:rPr>
              <w:t>Individually evaluated for impairment</w:t>
            </w:r>
          </w:p>
        </w:tc>
        <w:tc>
          <w:tcPr>
            <w:tcW w:w="1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48,018</w:t>
            </w:r>
          </w:p>
        </w:tc>
        <w:tc>
          <w:tcPr>
            <w:tcW w:w="14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16,917</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7,909</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65,622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24,106</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162,572</w:t>
            </w:r>
          </w:p>
        </w:tc>
        <w:tc>
          <w:tcPr>
            <w:tcW w:w="0" w:type="dxa"/>
            <w:vAlign w:val="bottom"/>
          </w:tcPr>
          <w:p>
            <w:pPr>
              <w:spacing w:after="0"/>
              <w:rPr>
                <w:sz w:val="1"/>
                <w:szCs w:val="1"/>
                <w:color w:val="auto"/>
              </w:rPr>
            </w:pPr>
          </w:p>
        </w:tc>
      </w:tr>
      <w:tr>
        <w:trPr>
          <w:trHeight w:val="149"/>
        </w:trPr>
        <w:tc>
          <w:tcPr>
            <w:tcW w:w="2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Collectively evaluated for impairment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1,732,124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325,223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433,188</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754,308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1,331,476</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134,139</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4,710,458</w:t>
            </w:r>
          </w:p>
        </w:tc>
        <w:tc>
          <w:tcPr>
            <w:tcW w:w="0" w:type="dxa"/>
            <w:vAlign w:val="bottom"/>
          </w:tcPr>
          <w:p>
            <w:pPr>
              <w:spacing w:after="0"/>
              <w:rPr>
                <w:sz w:val="1"/>
                <w:szCs w:val="1"/>
                <w:color w:val="auto"/>
              </w:rPr>
            </w:pPr>
          </w:p>
        </w:tc>
      </w:tr>
      <w:tr>
        <w:trPr>
          <w:trHeight w:val="156"/>
        </w:trPr>
        <w:tc>
          <w:tcPr>
            <w:tcW w:w="2520" w:type="dxa"/>
            <w:vAlign w:val="bottom"/>
          </w:tcPr>
          <w:p>
            <w:pPr>
              <w:ind w:left="400"/>
              <w:spacing w:after="0" w:line="155" w:lineRule="exact"/>
              <w:rPr>
                <w:sz w:val="20"/>
                <w:szCs w:val="20"/>
                <w:color w:val="auto"/>
              </w:rPr>
            </w:pPr>
            <w:r>
              <w:rPr>
                <w:rFonts w:ascii="Arial" w:cs="Arial" w:eastAsia="Arial" w:hAnsi="Arial"/>
                <w:sz w:val="14"/>
                <w:szCs w:val="14"/>
                <w:color w:val="auto"/>
              </w:rPr>
              <w:t>Total loans</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1,780,142</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342,140</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441,097</w:t>
            </w:r>
          </w:p>
        </w:tc>
        <w:tc>
          <w:tcPr>
            <w:tcW w:w="1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819,930</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1,355,582</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134,139</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4,873,030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United reviews all loans that are on nonaccrual with a balance of $500,000 or greater for impairment. A loan is considered impaired when, based on current events and circumstances, it is probable that all amounts due, according to the contractual terms of the loan, will not be collected. Impaired loans are measured based on the present value of expected future cash flows, discounted at the loan’s effective interest rate, at the loan’s observable market price, or the fair value of the collateral if the loan is collateral dependent. Interest payments received on impaired loans are applied as a reduction of the outstanding principal balance.</w:t>
      </w:r>
    </w:p>
    <w:p>
      <w:pPr>
        <w:spacing w:after="0" w:line="131"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 the first quarter 2011, United’s Board of Directors adopted an accelerated problem asset disposition plan which included the bulk sale of $267 million in classified loans. Those loans were classified as held for sale at the end of the first quarter and were written down to the expected proceeds from the sale. The charge-offs on the loans transferred to held for sale in anticipation of the bulk loan sale which closed on April 18, 2011, increased first quarter 2011 loan charge-offs by $186 million. The actual loss on the bulk loan sale at closing was less than the amount charged-off in the first quarter, resulting in a $7.27 million reduction of second quarter 2011 charge-offs.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recorded investments in individually evaluated impaired loans at June 30, 2011, December 31, 2010 and June 30, 2010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600" w:type="dxa"/>
            <w:vAlign w:val="bottom"/>
            <w:gridSpan w:val="4"/>
          </w:tcPr>
          <w:p>
            <w:pPr>
              <w:ind w:left="18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5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5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Period-end loans with no allocated allowance for loan losses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32,791</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115,338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150,083</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Period-end loans with allocated allowance for loan losses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2,862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7,638</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12,489</w:t>
            </w:r>
          </w:p>
        </w:tc>
      </w:tr>
      <w:tr>
        <w:trPr>
          <w:trHeight w:val="27"/>
        </w:trPr>
        <w:tc>
          <w:tcPr>
            <w:tcW w:w="5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35,653</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122,976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162,572</w:t>
            </w:r>
          </w:p>
        </w:tc>
      </w:tr>
      <w:tr>
        <w:trPr>
          <w:trHeight w:val="20"/>
        </w:trPr>
        <w:tc>
          <w:tcPr>
            <w:tcW w:w="5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120" w:type="dxa"/>
            <w:vAlign w:val="bottom"/>
          </w:tcPr>
          <w:p>
            <w:pPr>
              <w:spacing w:after="0"/>
              <w:rPr>
                <w:sz w:val="20"/>
                <w:szCs w:val="20"/>
                <w:color w:val="auto"/>
              </w:rPr>
            </w:pPr>
            <w:r>
              <w:rPr>
                <w:rFonts w:ascii="Arial" w:cs="Arial" w:eastAsia="Arial" w:hAnsi="Arial"/>
                <w:sz w:val="18"/>
                <w:szCs w:val="18"/>
                <w:color w:val="auto"/>
              </w:rPr>
              <w:t>Amount of allowance for loan losses allocated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1,167</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1,049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1,140</w:t>
            </w:r>
          </w:p>
        </w:tc>
      </w:tr>
    </w:tbl>
    <w:p>
      <w:pPr>
        <w:spacing w:after="0" w:line="161"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average balances of impaired loans and income recognized on impaired loans while they were considered impaired is presented below for the three and six months ended June 30, 2011 and 2010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Average balance of individually evaluated impaired loans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during period</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42,099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171,469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68,631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191,161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income recognized during impairment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Cash-basis interest income recognized</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 xml:space="preserve">The following table presents loans individually evaluated for impairment by class of loans as of June 30, 2011, December 31, 2010 and June 30, 2010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6"/>
              </w:rPr>
              <w:t>June 30, 2011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December 31, 2010</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June 30, 2010</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760" w:type="dxa"/>
            <w:vAlign w:val="bottom"/>
          </w:tcPr>
          <w:p>
            <w:pPr>
              <w:spacing w:after="0"/>
              <w:rPr>
                <w:sz w:val="10"/>
                <w:szCs w:val="10"/>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Unpaid</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3"/>
          </w:tcPr>
          <w:p>
            <w:pPr>
              <w:jc w:val="center"/>
              <w:ind w:left="10"/>
              <w:spacing w:after="0" w:line="119" w:lineRule="exact"/>
              <w:rPr>
                <w:sz w:val="20"/>
                <w:szCs w:val="20"/>
                <w:color w:val="auto"/>
              </w:rPr>
            </w:pPr>
            <w:r>
              <w:rPr>
                <w:rFonts w:ascii="Arial" w:cs="Arial" w:eastAsia="Arial" w:hAnsi="Arial"/>
                <w:sz w:val="13"/>
                <w:szCs w:val="13"/>
                <w:b w:val="1"/>
                <w:bCs w:val="1"/>
                <w:color w:val="auto"/>
                <w:w w:val="99"/>
              </w:rPr>
              <w:t>Allowance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Unpaid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Allowance</w:t>
            </w:r>
          </w:p>
        </w:tc>
        <w:tc>
          <w:tcPr>
            <w:tcW w:w="280" w:type="dxa"/>
            <w:vAlign w:val="bottom"/>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Unpaid</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Allowance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Recorded</w:t>
            </w:r>
          </w:p>
        </w:tc>
        <w:tc>
          <w:tcPr>
            <w:tcW w:w="8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for Loan</w:t>
            </w:r>
          </w:p>
        </w:tc>
        <w:tc>
          <w:tcPr>
            <w:tcW w:w="1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Recorded</w:t>
            </w:r>
          </w:p>
        </w:tc>
        <w:tc>
          <w:tcPr>
            <w:tcW w:w="9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for Loan</w:t>
            </w:r>
          </w:p>
        </w:tc>
        <w:tc>
          <w:tcPr>
            <w:tcW w:w="7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Recorded</w:t>
            </w: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for Loan</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2"/>
                <w:szCs w:val="12"/>
                <w:color w:val="auto"/>
              </w:rPr>
            </w:pP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Principal</w:t>
            </w:r>
          </w:p>
        </w:tc>
        <w:tc>
          <w:tcPr>
            <w:tcW w:w="2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Losses</w:t>
            </w: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Balance</w:t>
            </w:r>
          </w:p>
        </w:tc>
        <w:tc>
          <w:tcPr>
            <w:tcW w:w="1020" w:type="dxa"/>
            <w:vAlign w:val="bottom"/>
            <w:gridSpan w:val="4"/>
          </w:tcPr>
          <w:p>
            <w:pPr>
              <w:ind w:left="160"/>
              <w:spacing w:after="0"/>
              <w:rPr>
                <w:sz w:val="20"/>
                <w:szCs w:val="20"/>
                <w:color w:val="auto"/>
              </w:rPr>
            </w:pPr>
            <w:r>
              <w:rPr>
                <w:rFonts w:ascii="Arial" w:cs="Arial" w:eastAsia="Arial" w:hAnsi="Arial"/>
                <w:sz w:val="14"/>
                <w:szCs w:val="14"/>
                <w:b w:val="1"/>
                <w:bCs w:val="1"/>
                <w:color w:val="auto"/>
              </w:rPr>
              <w:t>Investment</w:t>
            </w:r>
          </w:p>
        </w:tc>
        <w:tc>
          <w:tcPr>
            <w:tcW w:w="80" w:type="dxa"/>
            <w:vAlign w:val="bottom"/>
          </w:tcPr>
          <w:p>
            <w:pPr>
              <w:spacing w:after="0"/>
              <w:rPr>
                <w:sz w:val="14"/>
                <w:szCs w:val="14"/>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Allocated</w:t>
            </w:r>
          </w:p>
        </w:tc>
        <w:tc>
          <w:tcPr>
            <w:tcW w:w="120" w:type="dxa"/>
            <w:vAlign w:val="bottom"/>
          </w:tcPr>
          <w:p>
            <w:pPr>
              <w:spacing w:after="0"/>
              <w:rPr>
                <w:sz w:val="14"/>
                <w:szCs w:val="14"/>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6"/>
              </w:rPr>
              <w:t>Balance</w:t>
            </w:r>
          </w:p>
        </w:tc>
        <w:tc>
          <w:tcPr>
            <w:tcW w:w="2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9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Allocated</w:t>
            </w: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w:t>
            </w:r>
          </w:p>
        </w:tc>
        <w:tc>
          <w:tcPr>
            <w:tcW w:w="1120" w:type="dxa"/>
            <w:vAlign w:val="bottom"/>
            <w:gridSpan w:val="4"/>
          </w:tcPr>
          <w:p>
            <w:pPr>
              <w:ind w:left="160"/>
              <w:spacing w:after="0"/>
              <w:rPr>
                <w:sz w:val="20"/>
                <w:szCs w:val="20"/>
                <w:color w:val="auto"/>
              </w:rPr>
            </w:pPr>
            <w:r>
              <w:rPr>
                <w:rFonts w:ascii="Arial" w:cs="Arial" w:eastAsia="Arial" w:hAnsi="Arial"/>
                <w:sz w:val="14"/>
                <w:szCs w:val="14"/>
                <w:b w:val="1"/>
                <w:bCs w:val="1"/>
                <w:color w:val="auto"/>
              </w:rPr>
              <w:t>Investment</w:t>
            </w:r>
          </w:p>
        </w:tc>
        <w:tc>
          <w:tcPr>
            <w:tcW w:w="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Allocated</w:t>
            </w:r>
          </w:p>
        </w:tc>
        <w:tc>
          <w:tcPr>
            <w:tcW w:w="0" w:type="dxa"/>
            <w:vAlign w:val="bottom"/>
          </w:tcPr>
          <w:p>
            <w:pPr>
              <w:spacing w:after="0"/>
              <w:rPr>
                <w:sz w:val="1"/>
                <w:szCs w:val="1"/>
                <w:color w:val="auto"/>
              </w:rPr>
            </w:pPr>
          </w:p>
        </w:tc>
      </w:tr>
      <w:tr>
        <w:trPr>
          <w:trHeight w:val="123"/>
        </w:trPr>
        <w:tc>
          <w:tcPr>
            <w:tcW w:w="17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With no related allowance</w:t>
            </w:r>
          </w:p>
        </w:tc>
        <w:tc>
          <w:tcPr>
            <w:tcW w:w="12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recorded:</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60" w:type="dxa"/>
            <w:vAlign w:val="bottom"/>
          </w:tcPr>
          <w:p>
            <w:pPr>
              <w:ind w:left="200"/>
              <w:spacing w:after="0" w:line="130" w:lineRule="exact"/>
              <w:rPr>
                <w:sz w:val="20"/>
                <w:szCs w:val="20"/>
                <w:color w:val="auto"/>
              </w:rPr>
            </w:pPr>
            <w:r>
              <w:rPr>
                <w:rFonts w:ascii="Arial" w:cs="Arial" w:eastAsia="Arial" w:hAnsi="Arial"/>
                <w:sz w:val="14"/>
                <w:szCs w:val="14"/>
                <w:color w:val="auto"/>
              </w:rPr>
              <w:t>Commercial (secured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400"/>
              <w:spacing w:after="0"/>
              <w:rPr>
                <w:sz w:val="20"/>
                <w:szCs w:val="20"/>
                <w:color w:val="auto"/>
              </w:rPr>
            </w:pPr>
            <w:r>
              <w:rPr>
                <w:rFonts w:ascii="Arial" w:cs="Arial" w:eastAsia="Arial" w:hAnsi="Arial"/>
                <w:sz w:val="14"/>
                <w:szCs w:val="14"/>
                <w:color w:val="auto"/>
              </w:rPr>
              <w:t>by real estate)</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w w:val="97"/>
              </w:rPr>
              <w:t>19,653</w:t>
            </w:r>
          </w:p>
        </w:tc>
        <w:tc>
          <w:tcPr>
            <w:tcW w:w="3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13,572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60,238</w:t>
            </w:r>
          </w:p>
        </w:tc>
        <w:tc>
          <w:tcPr>
            <w:tcW w:w="3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39,588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63,663</w:t>
            </w:r>
          </w:p>
        </w:tc>
        <w:tc>
          <w:tcPr>
            <w:tcW w:w="3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48,018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Commercial</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33,898</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20,311</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21,563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11,810</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60" w:type="dxa"/>
            <w:vAlign w:val="bottom"/>
          </w:tcPr>
          <w:p>
            <w:pPr>
              <w:ind w:left="200"/>
              <w:spacing w:after="0" w:line="130" w:lineRule="exact"/>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Pr>
          <w:p>
            <w:pPr>
              <w:ind w:left="400"/>
              <w:spacing w:after="0" w:line="149" w:lineRule="exact"/>
              <w:rPr>
                <w:sz w:val="20"/>
                <w:szCs w:val="20"/>
                <w:color w:val="auto"/>
              </w:rPr>
            </w:pPr>
            <w:r>
              <w:rPr>
                <w:rFonts w:ascii="Arial" w:cs="Arial" w:eastAsia="Arial" w:hAnsi="Arial"/>
                <w:sz w:val="14"/>
                <w:szCs w:val="14"/>
                <w:color w:val="auto"/>
              </w:rPr>
              <w:t>(commercial and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400"/>
              <w:spacing w:after="0"/>
              <w:rPr>
                <w:sz w:val="20"/>
                <w:szCs w:val="20"/>
                <w:color w:val="auto"/>
              </w:rPr>
            </w:pPr>
            <w:r>
              <w:rPr>
                <w:rFonts w:ascii="Arial" w:cs="Arial" w:eastAsia="Arial" w:hAnsi="Arial"/>
                <w:sz w:val="14"/>
                <w:szCs w:val="14"/>
                <w:color w:val="auto"/>
              </w:rPr>
              <w:t>industrial)</w:t>
            </w: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10,115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5,874</w:t>
            </w:r>
          </w:p>
        </w:tc>
        <w:tc>
          <w:tcPr>
            <w:tcW w:w="10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9,212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7,172</w:t>
            </w: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76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Total commercial</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19,653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13,572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104,251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65,773</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94,438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67,000</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60" w:type="dxa"/>
            <w:vAlign w:val="bottom"/>
          </w:tcPr>
          <w:p>
            <w:pPr>
              <w:ind w:left="200"/>
              <w:spacing w:after="0" w:line="130" w:lineRule="exact"/>
              <w:rPr>
                <w:sz w:val="20"/>
                <w:szCs w:val="20"/>
                <w:color w:val="auto"/>
              </w:rPr>
            </w:pPr>
            <w:r>
              <w:rPr>
                <w:rFonts w:ascii="Arial" w:cs="Arial" w:eastAsia="Arial" w:hAnsi="Arial"/>
                <w:sz w:val="14"/>
                <w:szCs w:val="14"/>
                <w:color w:val="auto"/>
              </w:rPr>
              <w:t>Residential</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400"/>
              <w:spacing w:after="0"/>
              <w:rPr>
                <w:sz w:val="20"/>
                <w:szCs w:val="20"/>
                <w:color w:val="auto"/>
              </w:rPr>
            </w:pPr>
            <w:r>
              <w:rPr>
                <w:rFonts w:ascii="Arial" w:cs="Arial" w:eastAsia="Arial" w:hAnsi="Arial"/>
                <w:sz w:val="14"/>
                <w:szCs w:val="14"/>
                <w:color w:val="auto"/>
              </w:rPr>
              <w:t>construction</w:t>
            </w: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w w:val="97"/>
              </w:rPr>
              <w:t>27,441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12,611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59,502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34,597</w:t>
            </w:r>
          </w:p>
        </w:tc>
        <w:tc>
          <w:tcPr>
            <w:tcW w:w="10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128,082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62,595</w:t>
            </w: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Residential mortgage</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10,006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6,608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21,528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14,968</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28,026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20,488</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760" w:type="dxa"/>
            <w:vAlign w:val="bottom"/>
          </w:tcPr>
          <w:p>
            <w:pPr>
              <w:ind w:left="200"/>
              <w:spacing w:after="0" w:line="149" w:lineRule="exact"/>
              <w:rPr>
                <w:sz w:val="20"/>
                <w:szCs w:val="20"/>
                <w:color w:val="auto"/>
              </w:rPr>
            </w:pPr>
            <w:r>
              <w:rPr>
                <w:rFonts w:ascii="Arial" w:cs="Arial" w:eastAsia="Arial" w:hAnsi="Arial"/>
                <w:sz w:val="14"/>
                <w:szCs w:val="14"/>
                <w:color w:val="auto"/>
              </w:rPr>
              <w:t>Consumer installment</w:t>
            </w:r>
          </w:p>
        </w:tc>
        <w:tc>
          <w:tcPr>
            <w:tcW w:w="120" w:type="dxa"/>
            <w:vAlign w:val="bottom"/>
          </w:tcPr>
          <w:p>
            <w:pPr>
              <w:spacing w:after="0"/>
              <w:rPr>
                <w:sz w:val="13"/>
                <w:szCs w:val="13"/>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Total with no</w:t>
            </w: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related</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allowance</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recorded</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7"/>
              </w:rPr>
              <w:t>57,100</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32,791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0"/>
              </w:rPr>
              <w:t>185,281</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115,338</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250,546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150,083</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4"/>
                <w:szCs w:val="14"/>
                <w:color w:val="auto"/>
              </w:rPr>
              <w:t>With an allowance</w:t>
            </w: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200"/>
              <w:spacing w:after="0"/>
              <w:rPr>
                <w:sz w:val="20"/>
                <w:szCs w:val="20"/>
                <w:color w:val="auto"/>
              </w:rPr>
            </w:pPr>
            <w:r>
              <w:rPr>
                <w:rFonts w:ascii="Arial" w:cs="Arial" w:eastAsia="Arial" w:hAnsi="Arial"/>
                <w:sz w:val="14"/>
                <w:szCs w:val="14"/>
                <w:color w:val="auto"/>
              </w:rPr>
              <w:t>recorded: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Commercial (secured</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by real estate)</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1,398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1,208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2,230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2,230</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268</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60" w:type="dxa"/>
            <w:vAlign w:val="bottom"/>
          </w:tcPr>
          <w:p>
            <w:pPr>
              <w:ind w:left="200"/>
              <w:spacing w:after="0" w:line="130" w:lineRule="exact"/>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400"/>
              <w:spacing w:after="0"/>
              <w:rPr>
                <w:sz w:val="20"/>
                <w:szCs w:val="20"/>
                <w:color w:val="auto"/>
              </w:rPr>
            </w:pPr>
            <w:r>
              <w:rPr>
                <w:rFonts w:ascii="Arial" w:cs="Arial" w:eastAsia="Arial" w:hAnsi="Arial"/>
                <w:sz w:val="14"/>
                <w:szCs w:val="14"/>
                <w:color w:val="auto"/>
              </w:rPr>
              <w:t>construction</w:t>
            </w: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1,441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1,015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5,146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5,107</w:t>
            </w: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Commercial</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(commercial and</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industrial)</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6"/>
        </w:trPr>
        <w:tc>
          <w:tcPr>
            <w:tcW w:w="1760" w:type="dxa"/>
            <w:vAlign w:val="bottom"/>
          </w:tcPr>
          <w:p>
            <w:pPr>
              <w:ind w:left="400"/>
              <w:spacing w:after="0" w:line="155" w:lineRule="exact"/>
              <w:rPr>
                <w:sz w:val="20"/>
                <w:szCs w:val="20"/>
                <w:color w:val="auto"/>
              </w:rPr>
            </w:pPr>
            <w:r>
              <w:rPr>
                <w:rFonts w:ascii="Arial" w:cs="Arial" w:eastAsia="Arial" w:hAnsi="Arial"/>
                <w:sz w:val="14"/>
                <w:szCs w:val="14"/>
                <w:color w:val="auto"/>
              </w:rPr>
              <w:t>Total commercial</w:t>
            </w: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2,839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2,223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2,230</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2,230</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268</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5,883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5,844</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14,480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4,908</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644</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3,197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3,027</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149"/>
        </w:trPr>
        <w:tc>
          <w:tcPr>
            <w:tcW w:w="1760" w:type="dxa"/>
            <w:vAlign w:val="bottom"/>
          </w:tcPr>
          <w:p>
            <w:pPr>
              <w:ind w:left="200"/>
              <w:spacing w:after="0" w:line="149" w:lineRule="exact"/>
              <w:rPr>
                <w:sz w:val="20"/>
                <w:szCs w:val="20"/>
                <w:color w:val="auto"/>
              </w:rPr>
            </w:pPr>
            <w:r>
              <w:rPr>
                <w:rFonts w:ascii="Arial" w:cs="Arial" w:eastAsia="Arial" w:hAnsi="Arial"/>
                <w:sz w:val="14"/>
                <w:szCs w:val="14"/>
                <w:color w:val="auto"/>
              </w:rPr>
              <w:t>Residential mortgage</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500</w:t>
            </w:r>
          </w:p>
        </w:tc>
        <w:tc>
          <w:tcPr>
            <w:tcW w:w="10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137</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3,618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3,618</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Consumer installment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760" w:type="dxa"/>
            <w:vAlign w:val="bottom"/>
          </w:tcPr>
          <w:p>
            <w:pPr>
              <w:ind w:left="400"/>
              <w:spacing w:after="0" w:line="137" w:lineRule="exact"/>
              <w:rPr>
                <w:sz w:val="20"/>
                <w:szCs w:val="20"/>
                <w:color w:val="auto"/>
              </w:rPr>
            </w:pPr>
            <w:r>
              <w:rPr>
                <w:rFonts w:ascii="Arial" w:cs="Arial" w:eastAsia="Arial" w:hAnsi="Arial"/>
                <w:sz w:val="14"/>
                <w:szCs w:val="14"/>
                <w:color w:val="auto"/>
              </w:rPr>
              <w:t>Total with an</w:t>
            </w: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Pr>
          <w:p>
            <w:pPr>
              <w:ind w:left="600"/>
              <w:spacing w:after="0" w:line="149" w:lineRule="exact"/>
              <w:rPr>
                <w:sz w:val="20"/>
                <w:szCs w:val="20"/>
                <w:color w:val="auto"/>
              </w:rPr>
            </w:pPr>
            <w:r>
              <w:rPr>
                <w:rFonts w:ascii="Arial" w:cs="Arial" w:eastAsia="Arial" w:hAnsi="Arial"/>
                <w:sz w:val="14"/>
                <w:szCs w:val="14"/>
                <w:color w:val="auto"/>
              </w:rPr>
              <w:t>allowance</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600"/>
              <w:spacing w:after="0"/>
              <w:rPr>
                <w:sz w:val="20"/>
                <w:szCs w:val="20"/>
                <w:color w:val="auto"/>
              </w:rPr>
            </w:pPr>
            <w:r>
              <w:rPr>
                <w:rFonts w:ascii="Arial" w:cs="Arial" w:eastAsia="Arial" w:hAnsi="Arial"/>
                <w:sz w:val="14"/>
                <w:szCs w:val="14"/>
                <w:color w:val="auto"/>
              </w:rPr>
              <w:t>recorded</w:t>
            </w:r>
          </w:p>
        </w:tc>
        <w:tc>
          <w:tcPr>
            <w:tcW w:w="12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3,478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2,862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1,167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17,210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7,638</w:t>
            </w:r>
          </w:p>
        </w:tc>
        <w:tc>
          <w:tcPr>
            <w:tcW w:w="10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1,049</w:t>
            </w: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12,698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12,489</w:t>
            </w: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1,140</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7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60,578</w:t>
            </w:r>
          </w:p>
        </w:tc>
        <w:tc>
          <w:tcPr>
            <w:tcW w:w="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35,653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1,167</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202,491</w:t>
            </w:r>
          </w:p>
        </w:tc>
        <w:tc>
          <w:tcPr>
            <w:tcW w:w="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122,976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1,049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263,244</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162,572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1,140</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There were no loans more than 90 days past due and still accruing interest at June 30, 2011, December 31, 2010 or June 30, 2010. Nonaccrual loans at June 30, 2011, December 31, 2010 and June 30, 2010 were $71.1 million, $179 million and $224 million, respectively. Nonaccrual loans include both smaller balance homogeneous loans that are collectively evaluated for impairment and individually evaluated impaired loans with larger balances.</w:t>
      </w:r>
    </w:p>
    <w:p>
      <w:pPr>
        <w:sectPr>
          <w:pgSz w:w="11900" w:h="16838" w:orient="portrait"/>
          <w:cols w:equalWidth="0" w:num="1">
            <w:col w:w="10219"/>
          </w:cols>
          <w:pgMar w:left="240" w:top="419" w:right="1440" w:bottom="622"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622"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 xml:space="preserve">The following table presents the recorded investment (unpaid principal less amounts charged-off) in nonaccrual loans by loan class as of June 30, 2011, December 31, 2010 and June 30, 2010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w w:val="92"/>
              </w:rPr>
              <w:t>Nonaccrual Loans</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4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1"/>
              </w:rPr>
              <w:t>June 30,</w:t>
            </w:r>
          </w:p>
        </w:tc>
        <w:tc>
          <w:tcPr>
            <w:tcW w:w="1720" w:type="dxa"/>
            <w:vAlign w:val="bottom"/>
            <w:gridSpan w:val="4"/>
          </w:tcPr>
          <w:p>
            <w:pPr>
              <w:ind w:left="220"/>
              <w:spacing w:after="0" w:line="191" w:lineRule="exact"/>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6"/>
                <w:szCs w:val="16"/>
                <w:color w:val="auto"/>
              </w:rPr>
            </w:pPr>
          </w:p>
        </w:tc>
        <w:tc>
          <w:tcPr>
            <w:tcW w:w="84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1"/>
              </w:rPr>
              <w:t>June 30,</w:t>
            </w:r>
          </w:p>
        </w:tc>
        <w:tc>
          <w:tcPr>
            <w:tcW w:w="160" w:type="dxa"/>
            <w:vAlign w:val="bottom"/>
          </w:tcPr>
          <w:p>
            <w:pPr>
              <w:spacing w:after="0"/>
              <w:rPr>
                <w:sz w:val="16"/>
                <w:szCs w:val="16"/>
                <w:color w:val="auto"/>
              </w:rPr>
            </w:pPr>
          </w:p>
        </w:tc>
      </w:tr>
      <w:tr>
        <w:trPr>
          <w:trHeight w:val="234"/>
        </w:trPr>
        <w:tc>
          <w:tcPr>
            <w:tcW w:w="4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r>
      <w:tr>
        <w:trPr>
          <w:trHeight w:val="210"/>
        </w:trPr>
        <w:tc>
          <w:tcPr>
            <w:tcW w:w="4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17,764</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44,927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56,013</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2,782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21,374</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17,872</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Commercial (commercial and industrial)</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5,611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7,245</w:t>
            </w:r>
          </w:p>
        </w:tc>
      </w:tr>
      <w:tr>
        <w:trPr>
          <w:trHeight w:val="223"/>
        </w:trPr>
        <w:tc>
          <w:tcPr>
            <w:tcW w:w="4420" w:type="dxa"/>
            <w:vAlign w:val="bottom"/>
          </w:tcPr>
          <w:p>
            <w:pPr>
              <w:ind w:left="200"/>
              <w:spacing w:after="0"/>
              <w:rPr>
                <w:sz w:val="20"/>
                <w:szCs w:val="20"/>
                <w:color w:val="auto"/>
              </w:rPr>
            </w:pPr>
            <w:r>
              <w:rPr>
                <w:rFonts w:ascii="Arial" w:cs="Arial" w:eastAsia="Arial" w:hAnsi="Arial"/>
                <w:sz w:val="18"/>
                <w:szCs w:val="18"/>
                <w:color w:val="auto"/>
              </w:rPr>
              <w:t>Total commercial</w:t>
            </w:r>
          </w:p>
        </w:tc>
        <w:tc>
          <w:tcPr>
            <w:tcW w:w="1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71,912</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81,130</w:t>
            </w:r>
          </w:p>
        </w:tc>
        <w:tc>
          <w:tcPr>
            <w:tcW w:w="160" w:type="dxa"/>
            <w:vAlign w:val="bottom"/>
          </w:tcPr>
          <w:p>
            <w:pPr>
              <w:spacing w:after="0"/>
              <w:rPr>
                <w:sz w:val="19"/>
                <w:szCs w:val="19"/>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22,643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54,505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88,375</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Residential mortgage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24,809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51,083</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53,175</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1,594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1,655</w:t>
            </w:r>
          </w:p>
        </w:tc>
      </w:tr>
      <w:tr>
        <w:trPr>
          <w:trHeight w:val="223"/>
        </w:trPr>
        <w:tc>
          <w:tcPr>
            <w:tcW w:w="4420" w:type="dxa"/>
            <w:vAlign w:val="bottom"/>
          </w:tcPr>
          <w:p>
            <w:pPr>
              <w:ind w:left="200"/>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71,065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179,094</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224,335</w:t>
            </w:r>
          </w:p>
        </w:tc>
        <w:tc>
          <w:tcPr>
            <w:tcW w:w="16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as a percentage of unpaid principal</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69.4%</w:t>
            </w:r>
          </w:p>
        </w:tc>
      </w:tr>
    </w:tbl>
    <w:p>
      <w:pPr>
        <w:spacing w:after="0" w:line="161"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 xml:space="preserve">The following table presents the aging of the recorded investment in past due loans as of June 30, 2011, December 31, 2010 and June 30, 2010 by class of loans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Greater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4"/>
              </w:rPr>
              <w:t>Than 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30 - 59 Days</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60 - 89 Days</w:t>
            </w: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Days Past</w:t>
            </w:r>
          </w:p>
        </w:tc>
        <w:tc>
          <w:tcPr>
            <w:tcW w:w="18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Total Past</w:t>
            </w: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Loans Not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tcPr>
          <w:p>
            <w:pPr>
              <w:spacing w:after="0"/>
              <w:rPr>
                <w:sz w:val="20"/>
                <w:szCs w:val="20"/>
                <w:color w:val="auto"/>
              </w:rPr>
            </w:pPr>
            <w:r>
              <w:rPr>
                <w:rFonts w:ascii="Arial" w:cs="Arial" w:eastAsia="Arial" w:hAnsi="Arial"/>
                <w:sz w:val="18"/>
                <w:szCs w:val="18"/>
                <w:b w:val="1"/>
                <w:bCs w:val="1"/>
                <w:color w:val="auto"/>
              </w:rPr>
              <w:t>As of June 30, 2011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Past Due</w:t>
            </w:r>
          </w:p>
        </w:tc>
        <w:tc>
          <w:tcPr>
            <w:tcW w:w="1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8"/>
              </w:rPr>
              <w:t>Past Due</w:t>
            </w:r>
          </w:p>
        </w:tc>
        <w:tc>
          <w:tcPr>
            <w:tcW w:w="140" w:type="dxa"/>
            <w:vAlign w:val="bottom"/>
          </w:tcPr>
          <w:p>
            <w:pPr>
              <w:spacing w:after="0"/>
              <w:rPr>
                <w:sz w:val="20"/>
                <w:szCs w:val="20"/>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Due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Due</w:t>
            </w: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Past Due</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Commercial (secured by real</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estate)</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11,605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20,596</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$1,721,158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$1,741,754</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651</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1,985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3,566</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191,624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195,190</w:t>
            </w: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Commercial (commercial and</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industrial)</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624</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2,929</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425,129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428,058</w:t>
            </w:r>
          </w:p>
        </w:tc>
        <w:tc>
          <w:tcPr>
            <w:tcW w:w="0" w:type="dxa"/>
            <w:vAlign w:val="bottom"/>
          </w:tcPr>
          <w:p>
            <w:pPr>
              <w:spacing w:after="0"/>
              <w:rPr>
                <w:sz w:val="1"/>
                <w:szCs w:val="1"/>
                <w:color w:val="auto"/>
              </w:rPr>
            </w:pPr>
          </w:p>
        </w:tc>
      </w:tr>
      <w:tr>
        <w:trPr>
          <w:trHeight w:val="223"/>
        </w:trPr>
        <w:tc>
          <w:tcPr>
            <w:tcW w:w="2540" w:type="dxa"/>
            <w:vAlign w:val="bottom"/>
          </w:tcPr>
          <w:p>
            <w:pPr>
              <w:ind w:left="400"/>
              <w:spacing w:after="0"/>
              <w:rPr>
                <w:sz w:val="20"/>
                <w:szCs w:val="20"/>
                <w:color w:val="auto"/>
              </w:rPr>
            </w:pPr>
            <w:r>
              <w:rPr>
                <w:rFonts w:ascii="Arial" w:cs="Arial" w:eastAsia="Arial" w:hAnsi="Arial"/>
                <w:sz w:val="18"/>
                <w:szCs w:val="18"/>
                <w:color w:val="auto"/>
              </w:rPr>
              <w:t>Total commercial</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9,416</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3,276</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27,091</w:t>
            </w:r>
          </w:p>
        </w:tc>
        <w:tc>
          <w:tcPr>
            <w:tcW w:w="3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2,337,911</w:t>
            </w:r>
          </w:p>
        </w:tc>
        <w:tc>
          <w:tcPr>
            <w:tcW w:w="3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2,365,002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20,958</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480,951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501,909</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13,788</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3,594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12,678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30,060</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1,147,166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1,177,226</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1,860</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117,450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119,310</w:t>
            </w:r>
          </w:p>
        </w:tc>
        <w:tc>
          <w:tcPr>
            <w:tcW w:w="0" w:type="dxa"/>
            <w:vAlign w:val="bottom"/>
          </w:tcPr>
          <w:p>
            <w:pPr>
              <w:spacing w:after="0"/>
              <w:rPr>
                <w:sz w:val="1"/>
                <w:szCs w:val="1"/>
                <w:color w:val="auto"/>
              </w:rPr>
            </w:pPr>
          </w:p>
        </w:tc>
      </w:tr>
      <w:tr>
        <w:trPr>
          <w:trHeight w:val="223"/>
        </w:trPr>
        <w:tc>
          <w:tcPr>
            <w:tcW w:w="254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27,380</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9,465</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43,124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79,969</w:t>
            </w:r>
          </w:p>
        </w:tc>
        <w:tc>
          <w:tcPr>
            <w:tcW w:w="3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4,083,478</w:t>
            </w: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4,163,447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rPr>
              <w:t>Commercial (secured by real</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0"/>
              <w:spacing w:after="0"/>
              <w:rPr>
                <w:sz w:val="20"/>
                <w:szCs w:val="20"/>
                <w:color w:val="auto"/>
              </w:rPr>
            </w:pPr>
            <w:r>
              <w:rPr>
                <w:rFonts w:ascii="Arial" w:cs="Arial" w:eastAsia="Arial" w:hAnsi="Arial"/>
                <w:sz w:val="18"/>
                <w:szCs w:val="18"/>
                <w:color w:val="auto"/>
              </w:rPr>
              <w:t>estate)</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10,697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3,672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19,457</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33,826</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$1,727,598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$1,761,424</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16,722</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279,860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296,582</w:t>
            </w:r>
          </w:p>
        </w:tc>
        <w:tc>
          <w:tcPr>
            <w:tcW w:w="0" w:type="dxa"/>
            <w:vAlign w:val="bottom"/>
          </w:tcPr>
          <w:p>
            <w:pPr>
              <w:spacing w:after="0"/>
              <w:rPr>
                <w:sz w:val="1"/>
                <w:szCs w:val="1"/>
                <w:color w:val="auto"/>
              </w:rPr>
            </w:pPr>
          </w:p>
        </w:tc>
      </w:tr>
      <w:tr>
        <w:trPr>
          <w:trHeight w:val="202"/>
        </w:trPr>
        <w:tc>
          <w:tcPr>
            <w:tcW w:w="2540" w:type="dxa"/>
            <w:vAlign w:val="bottom"/>
          </w:tcPr>
          <w:p>
            <w:pPr>
              <w:spacing w:after="0" w:line="201" w:lineRule="exact"/>
              <w:rPr>
                <w:sz w:val="20"/>
                <w:szCs w:val="20"/>
                <w:color w:val="auto"/>
              </w:rPr>
            </w:pPr>
            <w:r>
              <w:rPr>
                <w:rFonts w:ascii="Arial" w:cs="Arial" w:eastAsia="Arial" w:hAnsi="Arial"/>
                <w:sz w:val="18"/>
                <w:szCs w:val="18"/>
                <w:color w:val="auto"/>
              </w:rPr>
              <w:t>Commercial (commercial and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200"/>
              <w:spacing w:after="0"/>
              <w:rPr>
                <w:sz w:val="20"/>
                <w:szCs w:val="20"/>
                <w:color w:val="auto"/>
              </w:rPr>
            </w:pPr>
            <w:r>
              <w:rPr>
                <w:rFonts w:ascii="Arial" w:cs="Arial" w:eastAsia="Arial" w:hAnsi="Arial"/>
                <w:sz w:val="18"/>
                <w:szCs w:val="18"/>
                <w:color w:val="auto"/>
              </w:rPr>
              <w:t>industrial)</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2,620</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3,092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7,728</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433,790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441,518</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58,276</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2,441,248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2,499,524</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13,599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5,158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34,673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53,430</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641,736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695,166</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24,375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70,364</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1,208,416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1,278,780</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Consumer installment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462</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3,374</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127,282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130,656</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loans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22,609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105,428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185,444</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4,418,682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4,604,126</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8"/>
                <w:szCs w:val="18"/>
                <w:b w:val="1"/>
                <w:bCs w:val="1"/>
                <w:color w:val="auto"/>
              </w:rPr>
              <w:t>As of June 30, 2010</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Commercial (secured by real</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estate)</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18,192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8,636</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36,010</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62,838</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$1,717,304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$1,780,142</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10,563</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10,451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22,321</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319,819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342,140</w:t>
            </w:r>
          </w:p>
        </w:tc>
        <w:tc>
          <w:tcPr>
            <w:tcW w:w="0" w:type="dxa"/>
            <w:vAlign w:val="bottom"/>
          </w:tcPr>
          <w:p>
            <w:pPr>
              <w:spacing w:after="0"/>
              <w:rPr>
                <w:sz w:val="1"/>
                <w:szCs w:val="1"/>
                <w:color w:val="auto"/>
              </w:rPr>
            </w:pPr>
          </w:p>
        </w:tc>
      </w:tr>
      <w:tr>
        <w:trPr>
          <w:trHeight w:val="202"/>
        </w:trPr>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Commercial (commercial and</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industrial)</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3,775</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9,618</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431,479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441,097</w:t>
            </w:r>
          </w:p>
        </w:tc>
        <w:tc>
          <w:tcPr>
            <w:tcW w:w="0" w:type="dxa"/>
            <w:vAlign w:val="bottom"/>
          </w:tcPr>
          <w:p>
            <w:pPr>
              <w:spacing w:after="0"/>
              <w:rPr>
                <w:sz w:val="1"/>
                <w:szCs w:val="1"/>
                <w:color w:val="auto"/>
              </w:rPr>
            </w:pPr>
          </w:p>
        </w:tc>
      </w:tr>
      <w:tr>
        <w:trPr>
          <w:trHeight w:val="223"/>
        </w:trPr>
        <w:tc>
          <w:tcPr>
            <w:tcW w:w="2540" w:type="dxa"/>
            <w:vAlign w:val="bottom"/>
          </w:tcPr>
          <w:p>
            <w:pPr>
              <w:ind w:left="400"/>
              <w:spacing w:after="0"/>
              <w:rPr>
                <w:sz w:val="20"/>
                <w:szCs w:val="20"/>
                <w:color w:val="auto"/>
              </w:rPr>
            </w:pPr>
            <w:r>
              <w:rPr>
                <w:rFonts w:ascii="Arial" w:cs="Arial" w:eastAsia="Arial" w:hAnsi="Arial"/>
                <w:sz w:val="18"/>
                <w:szCs w:val="18"/>
                <w:color w:val="auto"/>
              </w:rPr>
              <w:t>Total commercial</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32,930</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11,611</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50,236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94,777</w:t>
            </w:r>
          </w:p>
        </w:tc>
        <w:tc>
          <w:tcPr>
            <w:tcW w:w="3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2,468,602</w:t>
            </w:r>
          </w:p>
        </w:tc>
        <w:tc>
          <w:tcPr>
            <w:tcW w:w="3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2,563,379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33,499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10,224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48,302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92,025</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727,905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819,930</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28,905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7,707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40,271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76,883</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1,278,699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1,355,582</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4,148</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129,991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134,139</w:t>
            </w:r>
          </w:p>
        </w:tc>
        <w:tc>
          <w:tcPr>
            <w:tcW w:w="0" w:type="dxa"/>
            <w:vAlign w:val="bottom"/>
          </w:tcPr>
          <w:p>
            <w:pPr>
              <w:spacing w:after="0"/>
              <w:rPr>
                <w:sz w:val="1"/>
                <w:szCs w:val="1"/>
                <w:color w:val="auto"/>
              </w:rPr>
            </w:pPr>
          </w:p>
        </w:tc>
      </w:tr>
      <w:tr>
        <w:trPr>
          <w:trHeight w:val="223"/>
        </w:trPr>
        <w:tc>
          <w:tcPr>
            <w:tcW w:w="254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98,110</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30,160</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139,563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267,833</w:t>
            </w:r>
          </w:p>
        </w:tc>
        <w:tc>
          <w:tcPr>
            <w:tcW w:w="3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4,605,197</w:t>
            </w: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4,873,030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555"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55"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There were no specific reserves established for loans considered to be troubled debt restructurings at June 30, 2011 and June 30, 2010. As of December 31, 2010, $173,000 of specific reserves were allocated to customers whose loan terms have been modified in troubled debt restructurings. United committed to lend additional amounts totaling up to $396,000, $1.17 million, and $1.19 million as of June 30, 2011 and December 31, 2010, and June 30, 2010 respectively, to customers with outstanding loans that are classified as troubled debt restructurings.</w:t>
      </w:r>
    </w:p>
    <w:p>
      <w:pPr>
        <w:spacing w:after="0" w:line="148"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 xml:space="preserve">The following table presents additional information on troubled debt restructurings including the number of loan contracts restructured and the pre and post modification recorded investment. Also included in the table are the number of contracts and the recorded investment for those trouble debt restructurings that have subsequently defaulted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Pre-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4"/>
              </w:rPr>
              <w:t>Post-</w:t>
            </w:r>
          </w:p>
        </w:tc>
        <w:tc>
          <w:tcPr>
            <w:tcW w:w="24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1"/>
              </w:rPr>
              <w:t>Troubled Debt</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4"/>
          </w:tcPr>
          <w:p>
            <w:pPr>
              <w:ind w:left="200"/>
              <w:spacing w:after="0"/>
              <w:rPr>
                <w:sz w:val="20"/>
                <w:szCs w:val="20"/>
                <w:color w:val="auto"/>
              </w:rPr>
            </w:pPr>
            <w:r>
              <w:rPr>
                <w:rFonts w:ascii="Arial" w:cs="Arial" w:eastAsia="Arial" w:hAnsi="Arial"/>
                <w:sz w:val="18"/>
                <w:szCs w:val="18"/>
                <w:b w:val="1"/>
                <w:bCs w:val="1"/>
                <w:color w:val="auto"/>
              </w:rPr>
              <w:t>Modification</w:t>
            </w:r>
          </w:p>
        </w:tc>
        <w:tc>
          <w:tcPr>
            <w:tcW w:w="1540" w:type="dxa"/>
            <w:vAlign w:val="bottom"/>
            <w:gridSpan w:val="4"/>
          </w:tcPr>
          <w:p>
            <w:pPr>
              <w:ind w:left="180"/>
              <w:spacing w:after="0"/>
              <w:rPr>
                <w:sz w:val="20"/>
                <w:szCs w:val="20"/>
                <w:color w:val="auto"/>
              </w:rPr>
            </w:pPr>
            <w:r>
              <w:rPr>
                <w:rFonts w:ascii="Arial" w:cs="Arial" w:eastAsia="Arial" w:hAnsi="Arial"/>
                <w:sz w:val="18"/>
                <w:szCs w:val="18"/>
                <w:b w:val="1"/>
                <w:bCs w:val="1"/>
                <w:color w:val="auto"/>
              </w:rPr>
              <w:t>Modification</w:t>
            </w:r>
          </w:p>
        </w:tc>
        <w:tc>
          <w:tcPr>
            <w:tcW w:w="24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2"/>
              </w:rPr>
              <w:t>Restructurings That Have</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Outstanding</w:t>
            </w:r>
          </w:p>
        </w:tc>
        <w:tc>
          <w:tcPr>
            <w:tcW w:w="18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Outstanding</w:t>
            </w:r>
          </w:p>
        </w:tc>
        <w:tc>
          <w:tcPr>
            <w:tcW w:w="24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Subsequently Defaulted</w:t>
            </w:r>
          </w:p>
        </w:tc>
        <w:tc>
          <w:tcPr>
            <w:tcW w:w="0" w:type="dxa"/>
            <w:vAlign w:val="bottom"/>
          </w:tcPr>
          <w:p>
            <w:pPr>
              <w:spacing w:after="0"/>
              <w:rPr>
                <w:sz w:val="1"/>
                <w:szCs w:val="1"/>
                <w:color w:val="auto"/>
              </w:rPr>
            </w:pPr>
          </w:p>
        </w:tc>
      </w:tr>
      <w:tr>
        <w:trPr>
          <w:trHeight w:val="191"/>
        </w:trPr>
        <w:tc>
          <w:tcPr>
            <w:tcW w:w="3220" w:type="dxa"/>
            <w:vAlign w:val="bottom"/>
          </w:tcPr>
          <w:p>
            <w:pPr>
              <w:spacing w:after="0"/>
              <w:rPr>
                <w:sz w:val="16"/>
                <w:szCs w:val="16"/>
                <w:color w:val="auto"/>
              </w:rPr>
            </w:pPr>
          </w:p>
        </w:tc>
        <w:tc>
          <w:tcPr>
            <w:tcW w:w="1180" w:type="dxa"/>
            <w:vAlign w:val="bottom"/>
            <w:gridSpan w:val="2"/>
          </w:tcPr>
          <w:p>
            <w:pPr>
              <w:jc w:val="right"/>
              <w:ind w:right="260"/>
              <w:spacing w:after="0" w:line="191" w:lineRule="exact"/>
              <w:rPr>
                <w:sz w:val="20"/>
                <w:szCs w:val="20"/>
                <w:color w:val="auto"/>
              </w:rPr>
            </w:pPr>
            <w:r>
              <w:rPr>
                <w:rFonts w:ascii="Arial" w:cs="Arial" w:eastAsia="Arial" w:hAnsi="Arial"/>
                <w:sz w:val="18"/>
                <w:szCs w:val="18"/>
                <w:b w:val="1"/>
                <w:bCs w:val="1"/>
                <w:color w:val="auto"/>
                <w:w w:val="99"/>
              </w:rPr>
              <w:t>Number of</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9"/>
              </w:rPr>
              <w:t>Recorded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89"/>
              </w:rPr>
              <w:t>Recorded</w:t>
            </w:r>
          </w:p>
        </w:tc>
        <w:tc>
          <w:tcPr>
            <w:tcW w:w="134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7"/>
              </w:rPr>
              <w:t>Number of</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Contracts</w:t>
            </w:r>
          </w:p>
        </w:tc>
        <w:tc>
          <w:tcPr>
            <w:tcW w:w="200" w:type="dxa"/>
            <w:vAlign w:val="bottom"/>
          </w:tcPr>
          <w:p>
            <w:pPr>
              <w:spacing w:after="0"/>
              <w:rPr>
                <w:sz w:val="20"/>
                <w:szCs w:val="20"/>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Investment</w:t>
            </w:r>
          </w:p>
        </w:tc>
        <w:tc>
          <w:tcPr>
            <w:tcW w:w="180" w:type="dxa"/>
            <w:vAlign w:val="bottom"/>
          </w:tcPr>
          <w:p>
            <w:pPr>
              <w:spacing w:after="0"/>
              <w:rPr>
                <w:sz w:val="20"/>
                <w:szCs w:val="20"/>
                <w:color w:val="auto"/>
              </w:rPr>
            </w:pPr>
          </w:p>
        </w:tc>
        <w:tc>
          <w:tcPr>
            <w:tcW w:w="13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Investment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Contracts</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4"/>
              </w:rPr>
              <w:t>Investment</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2011</w:t>
            </w: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24,946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21,998</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9,477</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rPr>
              <w:t>Commercial (commercial and</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00"/>
              <w:spacing w:after="0"/>
              <w:rPr>
                <w:sz w:val="20"/>
                <w:szCs w:val="20"/>
                <w:color w:val="auto"/>
              </w:rPr>
            </w:pPr>
            <w:r>
              <w:rPr>
                <w:rFonts w:ascii="Arial" w:cs="Arial" w:eastAsia="Arial" w:hAnsi="Arial"/>
                <w:sz w:val="18"/>
                <w:szCs w:val="18"/>
                <w:color w:val="auto"/>
              </w:rPr>
              <w:t>industrial)</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156</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31,631</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11,741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10,718</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3,784</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Consumer installment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111</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loans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50,368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46,244</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2010</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40,649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36,759</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37,980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37,067</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Commercial (commercial and</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industrial)</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364</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220" w:type="dxa"/>
            <w:vAlign w:val="bottom"/>
          </w:tcPr>
          <w:p>
            <w:pPr>
              <w:ind w:left="400"/>
              <w:spacing w:after="0"/>
              <w:rPr>
                <w:sz w:val="20"/>
                <w:szCs w:val="20"/>
                <w:color w:val="auto"/>
              </w:rPr>
            </w:pPr>
            <w:r>
              <w:rPr>
                <w:rFonts w:ascii="Arial" w:cs="Arial" w:eastAsia="Arial" w:hAnsi="Arial"/>
                <w:sz w:val="18"/>
                <w:szCs w:val="18"/>
                <w:color w:val="auto"/>
              </w:rPr>
              <w:t>Total commercial</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79,274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74,190</w:t>
            </w:r>
          </w:p>
        </w:tc>
        <w:tc>
          <w:tcPr>
            <w:tcW w:w="3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20,782</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Residential mortgage</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6,574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6,285</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107,984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101,381</w:t>
            </w:r>
          </w:p>
        </w:tc>
        <w:tc>
          <w:tcPr>
            <w:tcW w:w="3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2010</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34,629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32,986</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18,402</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rPr>
              <w:t>Commercial (commercial and</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00"/>
              <w:spacing w:after="0"/>
              <w:rPr>
                <w:sz w:val="20"/>
                <w:szCs w:val="20"/>
                <w:color w:val="auto"/>
              </w:rPr>
            </w:pPr>
            <w:r>
              <w:rPr>
                <w:rFonts w:ascii="Arial" w:cs="Arial" w:eastAsia="Arial" w:hAnsi="Arial"/>
                <w:sz w:val="18"/>
                <w:szCs w:val="18"/>
                <w:color w:val="auto"/>
              </w:rPr>
              <w:t>industrial)</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265</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51,653</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20,234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18,758</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6,518</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Consumer installment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987</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loans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81,532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77,916</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02" w:lineRule="exact"/>
        <w:rPr>
          <w:sz w:val="20"/>
          <w:szCs w:val="20"/>
          <w:color w:val="auto"/>
        </w:rPr>
      </w:pPr>
    </w:p>
    <w:p>
      <w:pPr>
        <w:jc w:val="both"/>
        <w:ind w:left="340" w:right="179"/>
        <w:spacing w:after="0" w:line="259" w:lineRule="auto"/>
        <w:rPr>
          <w:sz w:val="20"/>
          <w:szCs w:val="20"/>
          <w:color w:val="auto"/>
        </w:rPr>
      </w:pPr>
      <w:r>
        <w:rPr>
          <w:rFonts w:ascii="Arial" w:cs="Arial" w:eastAsia="Arial" w:hAnsi="Arial"/>
          <w:sz w:val="18"/>
          <w:szCs w:val="18"/>
          <w:color w:val="auto"/>
        </w:rPr>
        <w:t>United categorizes loans into risk categories based on relevant information about the ability of borrowers to service their debt such as: current financial information, historical payment experience, credit documentation, public information, current economic trends, among other factors. United analyzes loans individually by classifying the loans as to credit risk. This analysis is performed on a continuous basis. United uses the following definitions for its risk ratings:</w:t>
      </w:r>
    </w:p>
    <w:p>
      <w:pPr>
        <w:spacing w:after="0" w:line="142" w:lineRule="exact"/>
        <w:rPr>
          <w:sz w:val="20"/>
          <w:szCs w:val="20"/>
          <w:color w:val="auto"/>
        </w:rPr>
      </w:pPr>
    </w:p>
    <w:p>
      <w:pPr>
        <w:jc w:val="both"/>
        <w:ind w:left="340" w:right="159"/>
        <w:spacing w:after="0" w:line="347" w:lineRule="auto"/>
        <w:rPr>
          <w:sz w:val="20"/>
          <w:szCs w:val="20"/>
          <w:color w:val="auto"/>
        </w:rPr>
      </w:pPr>
      <w:r>
        <w:rPr>
          <w:rFonts w:ascii="Arial" w:cs="Arial" w:eastAsia="Arial" w:hAnsi="Arial"/>
          <w:sz w:val="16"/>
          <w:szCs w:val="16"/>
          <w:b w:val="1"/>
          <w:bCs w:val="1"/>
          <w:color w:val="auto"/>
        </w:rPr>
        <w:t>Watch</w:t>
      </w:r>
      <w:r>
        <w:rPr>
          <w:rFonts w:ascii="Arial" w:cs="Arial" w:eastAsia="Arial" w:hAnsi="Arial"/>
          <w:sz w:val="16"/>
          <w:szCs w:val="16"/>
          <w:color w:val="auto"/>
        </w:rPr>
        <w:t>. Weakness exists that could cause future impairment, including the deterioration of financial ratios, past due status and</w:t>
      </w:r>
      <w:r>
        <w:rPr>
          <w:rFonts w:ascii="Arial" w:cs="Arial" w:eastAsia="Arial" w:hAnsi="Arial"/>
          <w:sz w:val="16"/>
          <w:szCs w:val="16"/>
          <w:b w:val="1"/>
          <w:bCs w:val="1"/>
          <w:color w:val="auto"/>
        </w:rPr>
        <w:t xml:space="preserve"> </w:t>
      </w:r>
      <w:r>
        <w:rPr>
          <w:rFonts w:ascii="Arial" w:cs="Arial" w:eastAsia="Arial" w:hAnsi="Arial"/>
          <w:sz w:val="16"/>
          <w:szCs w:val="16"/>
          <w:color w:val="auto"/>
        </w:rPr>
        <w:t>questionable management capabilities. Collateral values generally afford adequate coverage, but may not be immediately marketable.</w:t>
      </w:r>
    </w:p>
    <w:p>
      <w:pPr>
        <w:sectPr>
          <w:pgSz w:w="11900" w:h="16838" w:orient="portrait"/>
          <w:cols w:equalWidth="0" w:num="1">
            <w:col w:w="10219"/>
          </w:cols>
          <w:pgMar w:left="240" w:top="419" w:right="1440" w:bottom="784"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784"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right="179"/>
        <w:spacing w:after="0" w:line="313" w:lineRule="auto"/>
        <w:rPr>
          <w:sz w:val="20"/>
          <w:szCs w:val="20"/>
          <w:color w:val="auto"/>
        </w:rPr>
      </w:pPr>
      <w:r>
        <w:rPr>
          <w:rFonts w:ascii="Arial" w:cs="Arial" w:eastAsia="Arial" w:hAnsi="Arial"/>
          <w:sz w:val="17"/>
          <w:szCs w:val="17"/>
          <w:b w:val="1"/>
          <w:bCs w:val="1"/>
          <w:color w:val="auto"/>
        </w:rPr>
        <w:t xml:space="preserve">Substandard. </w:t>
      </w:r>
      <w:r>
        <w:rPr>
          <w:rFonts w:ascii="Arial" w:cs="Arial" w:eastAsia="Arial" w:hAnsi="Arial"/>
          <w:sz w:val="17"/>
          <w:szCs w:val="17"/>
          <w:color w:val="auto"/>
        </w:rPr>
        <w:t>Specific and well-defined weaknesses exist that may include poor liquidity and deterioration of financial ratios. The</w:t>
      </w:r>
      <w:r>
        <w:rPr>
          <w:rFonts w:ascii="Arial" w:cs="Arial" w:eastAsia="Arial" w:hAnsi="Arial"/>
          <w:sz w:val="17"/>
          <w:szCs w:val="17"/>
          <w:b w:val="1"/>
          <w:bCs w:val="1"/>
          <w:color w:val="auto"/>
        </w:rPr>
        <w:t xml:space="preserve"> </w:t>
      </w:r>
      <w:r>
        <w:rPr>
          <w:rFonts w:ascii="Arial" w:cs="Arial" w:eastAsia="Arial" w:hAnsi="Arial"/>
          <w:sz w:val="17"/>
          <w:szCs w:val="17"/>
          <w:color w:val="auto"/>
        </w:rPr>
        <w:t>loan may be past due and related deposit accounts experiencing overdrafts. Immediate corrective action is necessary.</w:t>
      </w:r>
    </w:p>
    <w:p>
      <w:pPr>
        <w:spacing w:after="0" w:line="98" w:lineRule="exact"/>
        <w:rPr>
          <w:sz w:val="20"/>
          <w:szCs w:val="20"/>
          <w:color w:val="auto"/>
        </w:rPr>
      </w:pPr>
    </w:p>
    <w:p>
      <w:pPr>
        <w:ind w:left="340" w:right="159"/>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unlikely. There is no</w:t>
      </w:r>
      <w:r>
        <w:rPr>
          <w:rFonts w:ascii="Arial" w:cs="Arial" w:eastAsia="Arial" w:hAnsi="Arial"/>
          <w:sz w:val="18"/>
          <w:szCs w:val="18"/>
          <w:b w:val="1"/>
          <w:bCs w:val="1"/>
          <w:color w:val="auto"/>
        </w:rPr>
        <w:t xml:space="preserve"> </w:t>
      </w:r>
      <w:r>
        <w:rPr>
          <w:rFonts w:ascii="Arial" w:cs="Arial" w:eastAsia="Arial" w:hAnsi="Arial"/>
          <w:sz w:val="18"/>
          <w:szCs w:val="18"/>
          <w:color w:val="auto"/>
        </w:rPr>
        <w:t>reliable secondary source of full repayment.</w:t>
      </w:r>
    </w:p>
    <w:p>
      <w:pPr>
        <w:spacing w:after="0" w:line="121" w:lineRule="exact"/>
        <w:rPr>
          <w:sz w:val="20"/>
          <w:szCs w:val="20"/>
          <w:color w:val="auto"/>
        </w:rPr>
      </w:pPr>
    </w:p>
    <w:p>
      <w:pPr>
        <w:ind w:left="340" w:right="159"/>
        <w:spacing w:after="0" w:line="282" w:lineRule="auto"/>
        <w:rPr>
          <w:sz w:val="20"/>
          <w:szCs w:val="20"/>
          <w:color w:val="auto"/>
        </w:rPr>
      </w:pPr>
      <w:r>
        <w:rPr>
          <w:rFonts w:ascii="Arial" w:cs="Arial" w:eastAsia="Arial" w:hAnsi="Arial"/>
          <w:sz w:val="18"/>
          <w:szCs w:val="18"/>
          <w:b w:val="1"/>
          <w:bCs w:val="1"/>
          <w:color w:val="auto"/>
        </w:rPr>
        <w:t xml:space="preserve">Loss. </w:t>
      </w:r>
      <w:r>
        <w:rPr>
          <w:rFonts w:ascii="Arial" w:cs="Arial" w:eastAsia="Arial" w:hAnsi="Arial"/>
          <w:sz w:val="18"/>
          <w:szCs w:val="18"/>
          <w:color w:val="auto"/>
        </w:rPr>
        <w:t>Loans categorized as Loss have the same characteristics as Doubtful however probability of loss is certain. Loans classified as</w:t>
      </w:r>
      <w:r>
        <w:rPr>
          <w:rFonts w:ascii="Arial" w:cs="Arial" w:eastAsia="Arial" w:hAnsi="Arial"/>
          <w:sz w:val="18"/>
          <w:szCs w:val="18"/>
          <w:b w:val="1"/>
          <w:bCs w:val="1"/>
          <w:color w:val="auto"/>
        </w:rPr>
        <w:t xml:space="preserve"> </w:t>
      </w:r>
      <w:r>
        <w:rPr>
          <w:rFonts w:ascii="Arial" w:cs="Arial" w:eastAsia="Arial" w:hAnsi="Arial"/>
          <w:sz w:val="18"/>
          <w:szCs w:val="18"/>
          <w:color w:val="auto"/>
        </w:rPr>
        <w:t>Loss are generally charged-off.</w:t>
      </w:r>
    </w:p>
    <w:p>
      <w:pPr>
        <w:spacing w:after="0" w:line="139" w:lineRule="exact"/>
        <w:rPr>
          <w:sz w:val="20"/>
          <w:szCs w:val="20"/>
          <w:color w:val="auto"/>
        </w:rPr>
      </w:pPr>
    </w:p>
    <w:p>
      <w:pPr>
        <w:ind w:left="340" w:right="179"/>
        <w:spacing w:after="0" w:line="308" w:lineRule="auto"/>
        <w:rPr>
          <w:sz w:val="20"/>
          <w:szCs w:val="20"/>
          <w:color w:val="auto"/>
        </w:rPr>
      </w:pPr>
      <w:r>
        <w:rPr>
          <w:rFonts w:ascii="Arial" w:cs="Arial" w:eastAsia="Arial" w:hAnsi="Arial"/>
          <w:sz w:val="17"/>
          <w:szCs w:val="17"/>
          <w:color w:val="auto"/>
        </w:rPr>
        <w:t>Loans not meeting the criteria above that are analyzed individually as part of the above described process are considered to be pass rated loans. Loans listed as not rated are generally deposit account overdrafts that have not been assigned a grade.</w:t>
      </w:r>
    </w:p>
    <w:p>
      <w:pPr>
        <w:spacing w:after="0" w:line="106"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 xml:space="preserve">As of June 30, 2011, December 31, 2010 and June 30, 2010, and based on the most recent analysis performed, the risk category of loans by class of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4"/>
          </w:tcPr>
          <w:p>
            <w:pPr>
              <w:ind w:left="180"/>
              <w:spacing w:after="0"/>
              <w:rPr>
                <w:sz w:val="20"/>
                <w:szCs w:val="20"/>
                <w:color w:val="auto"/>
              </w:rPr>
            </w:pPr>
            <w:r>
              <w:rPr>
                <w:rFonts w:ascii="Arial" w:cs="Arial" w:eastAsia="Arial" w:hAnsi="Arial"/>
                <w:sz w:val="18"/>
                <w:szCs w:val="18"/>
                <w:b w:val="1"/>
                <w:bCs w:val="1"/>
                <w:color w:val="auto"/>
              </w:rPr>
              <w:t>Doubtful /</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b w:val="1"/>
                <w:bCs w:val="1"/>
                <w:color w:val="auto"/>
              </w:rPr>
              <w:t>Pass</w:t>
            </w:r>
          </w:p>
        </w:tc>
        <w:tc>
          <w:tcPr>
            <w:tcW w:w="10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Watch</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Substandard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Loss</w:t>
            </w:r>
          </w:p>
        </w:tc>
        <w:tc>
          <w:tcPr>
            <w:tcW w:w="1340" w:type="dxa"/>
            <w:vAlign w:val="bottom"/>
            <w:gridSpan w:val="4"/>
          </w:tcPr>
          <w:p>
            <w:pPr>
              <w:ind w:left="180"/>
              <w:spacing w:after="0"/>
              <w:rPr>
                <w:sz w:val="20"/>
                <w:szCs w:val="20"/>
                <w:color w:val="auto"/>
              </w:rPr>
            </w:pPr>
            <w:r>
              <w:rPr>
                <w:rFonts w:ascii="Arial" w:cs="Arial" w:eastAsia="Arial" w:hAnsi="Arial"/>
                <w:sz w:val="18"/>
                <w:szCs w:val="18"/>
                <w:b w:val="1"/>
                <w:bCs w:val="1"/>
                <w:color w:val="auto"/>
              </w:rPr>
              <w:t>Not Rated</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2011</w:t>
            </w:r>
          </w:p>
        </w:tc>
        <w:tc>
          <w:tcPr>
            <w:tcW w:w="3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480" w:type="dxa"/>
            <w:vAlign w:val="bottom"/>
          </w:tcPr>
          <w:p>
            <w:pPr>
              <w:spacing w:after="0"/>
              <w:rPr>
                <w:sz w:val="20"/>
                <w:szCs w:val="20"/>
                <w:color w:val="auto"/>
              </w:rPr>
            </w:pPr>
            <w:r>
              <w:rPr>
                <w:rFonts w:ascii="Arial" w:cs="Arial" w:eastAsia="Arial" w:hAnsi="Arial"/>
                <w:sz w:val="18"/>
                <w:szCs w:val="18"/>
                <w:color w:val="auto"/>
              </w:rPr>
              <w:t>Commercial (secured by real</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00"/>
              <w:spacing w:after="0"/>
              <w:rPr>
                <w:sz w:val="20"/>
                <w:szCs w:val="20"/>
                <w:color w:val="auto"/>
              </w:rPr>
            </w:pPr>
            <w:r>
              <w:rPr>
                <w:rFonts w:ascii="Arial" w:cs="Arial" w:eastAsia="Arial" w:hAnsi="Arial"/>
                <w:sz w:val="18"/>
                <w:szCs w:val="18"/>
                <w:color w:val="auto"/>
              </w:rPr>
              <w:t>estate)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$1,508,284</w:t>
            </w:r>
          </w:p>
        </w:tc>
        <w:tc>
          <w:tcPr>
            <w:tcW w:w="3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98,175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135,295</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$1,741,754</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143,609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17,452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195,190</w:t>
            </w:r>
          </w:p>
        </w:tc>
        <w:tc>
          <w:tcPr>
            <w:tcW w:w="0" w:type="dxa"/>
            <w:vAlign w:val="bottom"/>
          </w:tcPr>
          <w:p>
            <w:pPr>
              <w:spacing w:after="0"/>
              <w:rPr>
                <w:sz w:val="1"/>
                <w:szCs w:val="1"/>
                <w:color w:val="auto"/>
              </w:rPr>
            </w:pPr>
          </w:p>
        </w:tc>
      </w:tr>
      <w:tr>
        <w:trPr>
          <w:trHeight w:val="202"/>
        </w:trPr>
        <w:tc>
          <w:tcPr>
            <w:tcW w:w="2480" w:type="dxa"/>
            <w:vAlign w:val="bottom"/>
          </w:tcPr>
          <w:p>
            <w:pPr>
              <w:spacing w:after="0" w:line="201" w:lineRule="exact"/>
              <w:rPr>
                <w:sz w:val="20"/>
                <w:szCs w:val="20"/>
                <w:color w:val="auto"/>
              </w:rPr>
            </w:pPr>
            <w:r>
              <w:rPr>
                <w:rFonts w:ascii="Arial" w:cs="Arial" w:eastAsia="Arial" w:hAnsi="Arial"/>
                <w:sz w:val="18"/>
                <w:szCs w:val="18"/>
                <w:color w:val="auto"/>
              </w:rPr>
              <w:t>Commercial (commercial and</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00"/>
              <w:spacing w:after="0"/>
              <w:rPr>
                <w:sz w:val="20"/>
                <w:szCs w:val="20"/>
                <w:color w:val="auto"/>
              </w:rPr>
            </w:pPr>
            <w:r>
              <w:rPr>
                <w:rFonts w:ascii="Arial" w:cs="Arial" w:eastAsia="Arial" w:hAnsi="Arial"/>
                <w:sz w:val="18"/>
                <w:szCs w:val="18"/>
                <w:color w:val="auto"/>
              </w:rPr>
              <w:t>industrial)</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404,704</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3,682</w:t>
            </w:r>
          </w:p>
        </w:tc>
        <w:tc>
          <w:tcPr>
            <w:tcW w:w="2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18,647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1,025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428,058</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2,056,597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119,309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188,071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2,365,002</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353,769</w:t>
            </w: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51,223</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96,917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501,909</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1,046,255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35,775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95,196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1,177,226</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Consumer installment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114,718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608</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3,984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119,310</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loans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3,571,339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206,915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384,168</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4,163,447</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2010</w:t>
            </w: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4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Commercial (secured by real</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estate)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$1,476,974</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82,762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201,688</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$1,761,424</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174,049</w:t>
            </w: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10,413</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112,120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296,582</w:t>
            </w:r>
          </w:p>
        </w:tc>
        <w:tc>
          <w:tcPr>
            <w:tcW w:w="0" w:type="dxa"/>
            <w:vAlign w:val="bottom"/>
          </w:tcPr>
          <w:p>
            <w:pPr>
              <w:spacing w:after="0"/>
              <w:rPr>
                <w:sz w:val="1"/>
                <w:szCs w:val="1"/>
                <w:color w:val="auto"/>
              </w:rPr>
            </w:pPr>
          </w:p>
        </w:tc>
      </w:tr>
      <w:tr>
        <w:trPr>
          <w:trHeight w:val="202"/>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Commercial (commercial and</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industrial)</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402,969</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15,153</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22,379</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441,518</w:t>
            </w:r>
          </w:p>
        </w:tc>
        <w:tc>
          <w:tcPr>
            <w:tcW w:w="0" w:type="dxa"/>
            <w:vAlign w:val="bottom"/>
          </w:tcPr>
          <w:p>
            <w:pPr>
              <w:spacing w:after="0"/>
              <w:rPr>
                <w:sz w:val="1"/>
                <w:szCs w:val="1"/>
                <w:color w:val="auto"/>
              </w:rPr>
            </w:pPr>
          </w:p>
        </w:tc>
      </w:tr>
      <w:tr>
        <w:trPr>
          <w:trHeight w:val="223"/>
        </w:trPr>
        <w:tc>
          <w:tcPr>
            <w:tcW w:w="2480" w:type="dxa"/>
            <w:vAlign w:val="bottom"/>
          </w:tcPr>
          <w:p>
            <w:pPr>
              <w:ind w:left="400"/>
              <w:spacing w:after="0"/>
              <w:rPr>
                <w:sz w:val="20"/>
                <w:szCs w:val="20"/>
                <w:color w:val="auto"/>
              </w:rPr>
            </w:pPr>
            <w:r>
              <w:rPr>
                <w:rFonts w:ascii="Arial" w:cs="Arial" w:eastAsia="Arial" w:hAnsi="Arial"/>
                <w:sz w:val="18"/>
                <w:szCs w:val="18"/>
                <w:color w:val="auto"/>
              </w:rPr>
              <w:t>Total commercial</w:t>
            </w:r>
          </w:p>
        </w:tc>
        <w:tc>
          <w:tcPr>
            <w:tcW w:w="3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2,053,992</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108,328</w:t>
            </w:r>
          </w:p>
        </w:tc>
        <w:tc>
          <w:tcPr>
            <w:tcW w:w="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336,187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3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2,499,524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398,926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82,973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213,267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695,166</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Residential mortgage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1,103,487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38,378</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136,915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1,278,780</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125,134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4,872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130,656</w:t>
            </w:r>
          </w:p>
        </w:tc>
        <w:tc>
          <w:tcPr>
            <w:tcW w:w="0" w:type="dxa"/>
            <w:vAlign w:val="bottom"/>
          </w:tcPr>
          <w:p>
            <w:pPr>
              <w:spacing w:after="0"/>
              <w:rPr>
                <w:sz w:val="1"/>
                <w:szCs w:val="1"/>
                <w:color w:val="auto"/>
              </w:rPr>
            </w:pPr>
          </w:p>
        </w:tc>
      </w:tr>
      <w:tr>
        <w:trPr>
          <w:trHeight w:val="223"/>
        </w:trPr>
        <w:tc>
          <w:tcPr>
            <w:tcW w:w="248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3,681,539</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230,329</w:t>
            </w:r>
          </w:p>
        </w:tc>
        <w:tc>
          <w:tcPr>
            <w:tcW w:w="3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691,241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4,604,126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2010</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480" w:type="dxa"/>
            <w:vAlign w:val="bottom"/>
          </w:tcPr>
          <w:p>
            <w:pPr>
              <w:spacing w:after="0"/>
              <w:rPr>
                <w:sz w:val="20"/>
                <w:szCs w:val="20"/>
                <w:color w:val="auto"/>
              </w:rPr>
            </w:pPr>
            <w:r>
              <w:rPr>
                <w:rFonts w:ascii="Arial" w:cs="Arial" w:eastAsia="Arial" w:hAnsi="Arial"/>
                <w:sz w:val="18"/>
                <w:szCs w:val="18"/>
                <w:color w:val="auto"/>
              </w:rPr>
              <w:t>Commercial (secured by real</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00"/>
              <w:spacing w:after="0"/>
              <w:rPr>
                <w:sz w:val="20"/>
                <w:szCs w:val="20"/>
                <w:color w:val="auto"/>
              </w:rPr>
            </w:pPr>
            <w:r>
              <w:rPr>
                <w:rFonts w:ascii="Arial" w:cs="Arial" w:eastAsia="Arial" w:hAnsi="Arial"/>
                <w:sz w:val="18"/>
                <w:szCs w:val="18"/>
                <w:color w:val="auto"/>
              </w:rPr>
              <w:t>estate)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$1,500,246</w:t>
            </w:r>
          </w:p>
        </w:tc>
        <w:tc>
          <w:tcPr>
            <w:tcW w:w="3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83,078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196,818</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$1,780,142</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210,471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35,360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96,309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342,140</w:t>
            </w:r>
          </w:p>
        </w:tc>
        <w:tc>
          <w:tcPr>
            <w:tcW w:w="0" w:type="dxa"/>
            <w:vAlign w:val="bottom"/>
          </w:tcPr>
          <w:p>
            <w:pPr>
              <w:spacing w:after="0"/>
              <w:rPr>
                <w:sz w:val="1"/>
                <w:szCs w:val="1"/>
                <w:color w:val="auto"/>
              </w:rPr>
            </w:pPr>
          </w:p>
        </w:tc>
      </w:tr>
      <w:tr>
        <w:trPr>
          <w:trHeight w:val="202"/>
        </w:trPr>
        <w:tc>
          <w:tcPr>
            <w:tcW w:w="2480" w:type="dxa"/>
            <w:vAlign w:val="bottom"/>
          </w:tcPr>
          <w:p>
            <w:pPr>
              <w:spacing w:after="0" w:line="201" w:lineRule="exact"/>
              <w:rPr>
                <w:sz w:val="20"/>
                <w:szCs w:val="20"/>
                <w:color w:val="auto"/>
              </w:rPr>
            </w:pPr>
            <w:r>
              <w:rPr>
                <w:rFonts w:ascii="Arial" w:cs="Arial" w:eastAsia="Arial" w:hAnsi="Arial"/>
                <w:sz w:val="18"/>
                <w:szCs w:val="18"/>
                <w:color w:val="auto"/>
              </w:rPr>
              <w:t>Commercial (commercial and</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00"/>
              <w:spacing w:after="0"/>
              <w:rPr>
                <w:sz w:val="20"/>
                <w:szCs w:val="20"/>
                <w:color w:val="auto"/>
              </w:rPr>
            </w:pPr>
            <w:r>
              <w:rPr>
                <w:rFonts w:ascii="Arial" w:cs="Arial" w:eastAsia="Arial" w:hAnsi="Arial"/>
                <w:sz w:val="18"/>
                <w:szCs w:val="18"/>
                <w:color w:val="auto"/>
              </w:rPr>
              <w:t>industrial)</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402,795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7,858</w:t>
            </w:r>
          </w:p>
        </w:tc>
        <w:tc>
          <w:tcPr>
            <w:tcW w:w="2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29,285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1,159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441,097</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2,113,512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126,296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322,412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2,563,379</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485,047</w:t>
            </w: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97,208</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237,675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819,930</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1,173,580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49,337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132,665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1,355,582</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Consumer installment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127,717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6,008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134,139</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loans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3,899,856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273,251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698,760</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4,873,030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6 — Foreclosed Property</w:t>
      </w:r>
    </w:p>
    <w:p>
      <w:pPr>
        <w:spacing w:after="0" w:line="189" w:lineRule="exact"/>
        <w:rPr>
          <w:sz w:val="20"/>
          <w:szCs w:val="20"/>
          <w:color w:val="auto"/>
        </w:rPr>
      </w:pPr>
    </w:p>
    <w:p>
      <w:pPr>
        <w:ind w:left="340" w:right="1380"/>
        <w:spacing w:after="0" w:line="277" w:lineRule="auto"/>
        <w:rPr>
          <w:sz w:val="20"/>
          <w:szCs w:val="20"/>
          <w:color w:val="auto"/>
        </w:rPr>
      </w:pPr>
      <w:r>
        <w:rPr>
          <w:rFonts w:ascii="Arial" w:cs="Arial" w:eastAsia="Arial" w:hAnsi="Arial"/>
          <w:sz w:val="18"/>
          <w:szCs w:val="18"/>
          <w:color w:val="auto"/>
        </w:rPr>
        <w:t xml:space="preserve">Major classifications of foreclosed properties at June 30, 2011, December 31, 2010 and June 30, 2010 are summarized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1"/>
              </w:rPr>
              <w:t>June 30,</w:t>
            </w:r>
          </w:p>
        </w:tc>
        <w:tc>
          <w:tcPr>
            <w:tcW w:w="1640" w:type="dxa"/>
            <w:vAlign w:val="bottom"/>
            <w:gridSpan w:val="4"/>
          </w:tcPr>
          <w:p>
            <w:pPr>
              <w:ind w:left="14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June 30,</w:t>
            </w:r>
          </w:p>
        </w:tc>
      </w:tr>
      <w:tr>
        <w:trPr>
          <w:trHeight w:val="234"/>
        </w:trPr>
        <w:tc>
          <w:tcPr>
            <w:tcW w:w="4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r>
      <w:tr>
        <w:trPr>
          <w:trHeight w:val="210"/>
        </w:trPr>
        <w:tc>
          <w:tcPr>
            <w:tcW w:w="4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11,944</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25,893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14,390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6,764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17,808</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11,699</w:t>
            </w:r>
          </w:p>
        </w:tc>
        <w:tc>
          <w:tcPr>
            <w:tcW w:w="160" w:type="dxa"/>
            <w:vAlign w:val="bottom"/>
          </w:tcPr>
          <w:p>
            <w:pPr>
              <w:spacing w:after="0"/>
              <w:rPr>
                <w:sz w:val="18"/>
                <w:szCs w:val="18"/>
                <w:color w:val="auto"/>
              </w:rPr>
            </w:pPr>
          </w:p>
        </w:tc>
      </w:tr>
      <w:tr>
        <w:trPr>
          <w:trHeight w:val="27"/>
        </w:trPr>
        <w:tc>
          <w:tcPr>
            <w:tcW w:w="4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18,708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43,701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26,089</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47,916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91,385</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80,327</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11,346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23,687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26,066</w:t>
            </w:r>
          </w:p>
        </w:tc>
      </w:tr>
      <w:tr>
        <w:trPr>
          <w:trHeight w:val="223"/>
        </w:trPr>
        <w:tc>
          <w:tcPr>
            <w:tcW w:w="4900" w:type="dxa"/>
            <w:vAlign w:val="bottom"/>
          </w:tcPr>
          <w:p>
            <w:pPr>
              <w:ind w:left="200"/>
              <w:spacing w:after="0"/>
              <w:rPr>
                <w:sz w:val="20"/>
                <w:szCs w:val="20"/>
                <w:color w:val="auto"/>
              </w:rPr>
            </w:pPr>
            <w:r>
              <w:rPr>
                <w:rFonts w:ascii="Arial" w:cs="Arial" w:eastAsia="Arial" w:hAnsi="Arial"/>
                <w:sz w:val="18"/>
                <w:szCs w:val="18"/>
                <w:color w:val="auto"/>
              </w:rPr>
              <w:t>Total foreclosed property</w:t>
            </w:r>
          </w:p>
        </w:tc>
        <w:tc>
          <w:tcPr>
            <w:tcW w:w="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77,970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158,773</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132,482</w:t>
            </w:r>
          </w:p>
        </w:tc>
        <w:tc>
          <w:tcPr>
            <w:tcW w:w="160" w:type="dxa"/>
            <w:vAlign w:val="bottom"/>
          </w:tcPr>
          <w:p>
            <w:pPr>
              <w:spacing w:after="0"/>
              <w:rPr>
                <w:sz w:val="19"/>
                <w:szCs w:val="19"/>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30,386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16,565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8,572</w:t>
            </w:r>
          </w:p>
        </w:tc>
      </w:tr>
      <w:tr>
        <w:trPr>
          <w:trHeight w:val="223"/>
        </w:trPr>
        <w:tc>
          <w:tcPr>
            <w:tcW w:w="4900" w:type="dxa"/>
            <w:vAlign w:val="bottom"/>
          </w:tcPr>
          <w:p>
            <w:pPr>
              <w:ind w:left="200"/>
              <w:spacing w:after="0"/>
              <w:rPr>
                <w:sz w:val="20"/>
                <w:szCs w:val="20"/>
                <w:color w:val="auto"/>
              </w:rPr>
            </w:pPr>
            <w:r>
              <w:rPr>
                <w:rFonts w:ascii="Arial" w:cs="Arial" w:eastAsia="Arial" w:hAnsi="Arial"/>
                <w:sz w:val="18"/>
                <w:szCs w:val="18"/>
                <w:color w:val="auto"/>
              </w:rPr>
              <w:t>Foreclosed property, net</w:t>
            </w:r>
          </w:p>
        </w:tc>
        <w:tc>
          <w:tcPr>
            <w:tcW w:w="8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47,584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142,208</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123,910</w:t>
            </w:r>
          </w:p>
        </w:tc>
        <w:tc>
          <w:tcPr>
            <w:tcW w:w="16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 as a percentage of original loan unpaid principal</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71.9%</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Activity in the valuation allowance for foreclosed property is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center"/>
              <w:ind w:right="52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Six Months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53,023</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9,992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16,565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Additions charged to expense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3,118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6,094</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51,703</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10,673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Direct write downs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(25,755)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(7,514)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(37,882)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(9,534)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30,386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8,572</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30,386</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8,572</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60" w:type="dxa"/>
            <w:vAlign w:val="bottom"/>
            <w:vMerge w:val="restart"/>
          </w:tcPr>
          <w:p>
            <w:pPr>
              <w:spacing w:after="0"/>
              <w:rPr>
                <w:sz w:val="20"/>
                <w:szCs w:val="20"/>
                <w:color w:val="auto"/>
              </w:rPr>
            </w:pPr>
            <w:r>
              <w:rPr>
                <w:rFonts w:ascii="Arial" w:cs="Arial" w:eastAsia="Arial" w:hAnsi="Arial"/>
                <w:sz w:val="18"/>
                <w:szCs w:val="18"/>
                <w:color w:val="auto"/>
                <w:w w:val="90"/>
              </w:rPr>
              <w:t xml:space="preserve">Expenses related to foreclosed assets include </w:t>
            </w:r>
            <w:r>
              <w:rPr>
                <w:rFonts w:ascii="Arial" w:cs="Arial" w:eastAsia="Arial" w:hAnsi="Arial"/>
                <w:sz w:val="18"/>
                <w:szCs w:val="18"/>
                <w:i w:val="1"/>
                <w:iCs w:val="1"/>
                <w:color w:val="auto"/>
                <w:w w:val="90"/>
              </w:rPr>
              <w:t>(in thousands)</w:t>
            </w:r>
            <w:r>
              <w:rPr>
                <w:rFonts w:ascii="Arial" w:cs="Arial" w:eastAsia="Arial" w:hAnsi="Arial"/>
                <w:sz w:val="18"/>
                <w:szCs w:val="18"/>
                <w:color w:val="auto"/>
                <w:w w:val="90"/>
              </w:rPr>
              <w:t>.</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jc w:val="center"/>
              <w:ind w:right="52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Six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(gain) loss on sales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(3,218)</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8,802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Provision for unrealized losses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3,118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6,094</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51,703</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10,673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net of rental income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3,348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6,285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Total foreclosed property expense</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14,540</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66,790</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25,353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530"/>
              <w:spacing w:after="0"/>
              <w:rPr>
                <w:sz w:val="20"/>
                <w:szCs w:val="20"/>
                <w:color w:val="auto"/>
              </w:rPr>
            </w:pPr>
            <w:r>
              <w:rPr>
                <w:rFonts w:ascii="Arial" w:cs="Arial" w:eastAsia="Arial" w:hAnsi="Arial"/>
                <w:sz w:val="18"/>
                <w:szCs w:val="18"/>
                <w:color w:val="auto"/>
                <w:w w:val="99"/>
              </w:rPr>
              <w:t>17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 Earnings Per Share</w:t>
      </w:r>
    </w:p>
    <w:p>
      <w:pPr>
        <w:spacing w:after="0" w:line="189" w:lineRule="exact"/>
        <w:rPr>
          <w:sz w:val="20"/>
          <w:szCs w:val="20"/>
          <w:color w:val="auto"/>
        </w:rPr>
      </w:pPr>
    </w:p>
    <w:p>
      <w:pPr>
        <w:jc w:val="both"/>
        <w:ind w:left="340" w:right="179"/>
        <w:spacing w:after="0" w:line="255" w:lineRule="auto"/>
        <w:rPr>
          <w:sz w:val="20"/>
          <w:szCs w:val="20"/>
          <w:color w:val="auto"/>
        </w:rPr>
      </w:pPr>
      <w:r>
        <w:rPr>
          <w:rFonts w:ascii="Arial" w:cs="Arial" w:eastAsia="Arial" w:hAnsi="Arial"/>
          <w:sz w:val="18"/>
          <w:szCs w:val="18"/>
          <w:color w:val="auto"/>
        </w:rPr>
        <w:t xml:space="preserve">United is required to report on the face of the statement of operations, earnings (loss)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 During the three and six months ended June 30, 2011 and 2010, United accrued dividends on preferred stock, including accretion of discounts, as shown in the following table </w:t>
      </w:r>
      <w:r>
        <w:rPr>
          <w:rFonts w:ascii="Arial" w:cs="Arial" w:eastAsia="Arial" w:hAnsi="Arial"/>
          <w:sz w:val="18"/>
          <w:szCs w:val="18"/>
          <w:i w:val="1"/>
          <w:iCs w:val="1"/>
          <w:color w:val="auto"/>
        </w:rPr>
        <w:t>(in thousands).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Series A — 6% fixed</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rPr>
              <w:t>Series B — 5% fixed until December 6, 2013, 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580" w:type="dxa"/>
            <w:vAlign w:val="bottom"/>
          </w:tcPr>
          <w:p>
            <w:pPr>
              <w:ind w:left="200"/>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2,598</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2,573</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5,200</w:t>
            </w:r>
          </w:p>
        </w:tc>
        <w:tc>
          <w:tcPr>
            <w:tcW w:w="2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5,142</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Series D — LIBOR plus 9.6875%, resets quarterly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Pr>
          <w:p>
            <w:pPr>
              <w:ind w:left="200"/>
              <w:spacing w:after="0"/>
              <w:rPr>
                <w:sz w:val="20"/>
                <w:szCs w:val="20"/>
                <w:color w:val="auto"/>
              </w:rPr>
            </w:pPr>
            <w:r>
              <w:rPr>
                <w:rFonts w:ascii="Arial" w:cs="Arial" w:eastAsia="Arial" w:hAnsi="Arial"/>
                <w:sz w:val="18"/>
                <w:szCs w:val="18"/>
                <w:color w:val="auto"/>
              </w:rPr>
              <w:t>Total preferred stock dividends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5,794</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5,149</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 preferred stock dividends are payable quarterly.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Series B preferred stock was issued at a discount. Dividend amounts shown include discount accretion for each period.</w:t>
      </w:r>
    </w:p>
    <w:p>
      <w:pPr>
        <w:spacing w:after="0" w:line="185"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There is no dilution from potentially dilutive securities for the six months ended June 30, 2011 and the three and six months ended June 30, 2010, due to the antidilutive effect of the net loss for those periods.</w:t>
      </w:r>
    </w:p>
    <w:p>
      <w:pPr>
        <w:spacing w:after="0" w:line="130"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 xml:space="preserve">The following table sets forth the computation of basic and diluted loss per share for the three and six months ended June 30, 2011 and 2010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loss available to common shareholders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(62,109)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(140,663)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(97,974)</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18,905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21,965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18,891</w:t>
            </w:r>
          </w:p>
        </w:tc>
        <w:tc>
          <w:tcPr>
            <w:tcW w:w="0" w:type="dxa"/>
            <w:vAlign w:val="bottom"/>
          </w:tcPr>
          <w:p>
            <w:pPr>
              <w:spacing w:after="0"/>
              <w:rPr>
                <w:sz w:val="1"/>
                <w:szCs w:val="1"/>
                <w:color w:val="auto"/>
              </w:rPr>
            </w:pPr>
          </w:p>
        </w:tc>
      </w:tr>
      <w:tr>
        <w:trPr>
          <w:trHeight w:val="216"/>
        </w:trPr>
        <w:tc>
          <w:tcPr>
            <w:tcW w:w="3820" w:type="dxa"/>
            <w:vAlign w:val="bottom"/>
          </w:tcPr>
          <w:p>
            <w:pPr>
              <w:ind w:left="200"/>
              <w:spacing w:after="0"/>
              <w:rPr>
                <w:sz w:val="20"/>
                <w:szCs w:val="20"/>
                <w:color w:val="auto"/>
              </w:rPr>
            </w:pPr>
            <w:r>
              <w:rPr>
                <w:rFonts w:ascii="Arial" w:cs="Arial" w:eastAsia="Arial" w:hAnsi="Arial"/>
                <w:sz w:val="18"/>
                <w:szCs w:val="18"/>
                <w:color w:val="auto"/>
              </w:rPr>
              <w:t>Effect of dilutive securities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Convertible securities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32,116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Warrants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Pr>
          <w:p>
            <w:pPr>
              <w:ind w:left="200"/>
              <w:spacing w:after="0"/>
              <w:rPr>
                <w:sz w:val="20"/>
                <w:szCs w:val="20"/>
                <w:color w:val="auto"/>
              </w:rPr>
            </w:pPr>
            <w:r>
              <w:rPr>
                <w:rFonts w:ascii="Arial" w:cs="Arial" w:eastAsia="Arial" w:hAnsi="Arial"/>
                <w:sz w:val="18"/>
                <w:szCs w:val="18"/>
                <w:color w:val="auto"/>
              </w:rPr>
              <w:t>Diluted</w:t>
            </w:r>
          </w:p>
        </w:tc>
        <w:tc>
          <w:tcPr>
            <w:tcW w:w="7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57,543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18,905</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21,965</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common share:</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0"/>
              <w:spacing w:after="0"/>
              <w:rPr>
                <w:sz w:val="20"/>
                <w:szCs w:val="20"/>
                <w:color w:val="auto"/>
              </w:rPr>
            </w:pPr>
            <w:r>
              <w:rPr>
                <w:rFonts w:ascii="Arial" w:cs="Arial" w:eastAsia="Arial" w:hAnsi="Arial"/>
                <w:sz w:val="18"/>
                <w:szCs w:val="18"/>
                <w:color w:val="auto"/>
              </w:rPr>
              <w:t>Basic</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(3.29)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(6.40)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At June 30, 2011, United had a number of potentially dilutive securities outstanding including a warrant to purchase 219,909 common shares at $61.40 per share issued to the U.S. Treasury in connection with the issuance of United’s Series B preferred stock; 129,670 shares issuable upon exercise of warrants attached to trust preferred securities with an exercise price of $100 per share; 606,112 shares issuable upon exercise of stock options granted to employees with a weighted average exercise price of $96.11; 390,947 shares issuable upon completion of vesting of restricted stock awards; 1,411,765 shares issuable upon exercise of warrants exercisable at $21.25 per share granted to Fletcher International in connection with a 2010 asset purchase and sale agreement; 2,476,191 shares issuable upon conversion of preferred stock if Fletcher International exercises its option to purchase $65 million in convertible preferred stock, convertible at $26.25 per share; 1,162,791 shares issuable upon exercise of warrants, exercisable at $30.10 per share to be granted to Fletcher International upon exercise of its option to acquire preferred stock; and 1,551,126 shares issuable upon exercise of warrants owned by Elm Ridge Off Shore Fund and Elm Ridge Value Fund, exercisable at $12.50 per share.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8 — Derivatives and Hedging Activities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 Management Objective of Using Derivatives</w:t>
      </w:r>
    </w:p>
    <w:p>
      <w:pPr>
        <w:spacing w:after="0" w:line="189"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debt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and wholesale borrowings.</w:t>
      </w:r>
    </w:p>
    <w:p>
      <w:pPr>
        <w:spacing w:after="0" w:line="152"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table below presents the fair value of United’s derivative financial instruments as well as their classification on the consolidated balance sheet as of June 30, 2011, December 31, 2010 and June 30, 2010.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Derivatives designated as hedging instruments under ASC 815 </w:t>
      </w:r>
      <w:r>
        <w:rPr>
          <w:rFonts w:ascii="Arial" w:cs="Arial" w:eastAsia="Arial" w:hAnsi="Arial"/>
          <w:sz w:val="18"/>
          <w:szCs w:val="18"/>
          <w:i w:val="1"/>
          <w:iCs w:val="1"/>
          <w:color w:val="auto"/>
        </w:rPr>
        <w:t>Hedge Accounting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Interest Rate</w:t>
            </w:r>
          </w:p>
        </w:tc>
        <w:tc>
          <w:tcPr>
            <w:tcW w:w="280" w:type="dxa"/>
            <w:vAlign w:val="bottom"/>
          </w:tcPr>
          <w:p>
            <w:pPr>
              <w:spacing w:after="0"/>
              <w:rPr>
                <w:sz w:val="20"/>
                <w:szCs w:val="20"/>
                <w:color w:val="auto"/>
              </w:rPr>
            </w:pPr>
          </w:p>
        </w:tc>
        <w:tc>
          <w:tcPr>
            <w:tcW w:w="1080" w:type="dxa"/>
            <w:vAlign w:val="bottom"/>
            <w:vMerge w:val="restart"/>
          </w:tcPr>
          <w:p>
            <w:pPr>
              <w:spacing w:after="0"/>
              <w:rPr>
                <w:sz w:val="20"/>
                <w:szCs w:val="20"/>
                <w:color w:val="auto"/>
              </w:rPr>
            </w:pPr>
            <w:r>
              <w:rPr>
                <w:rFonts w:ascii="Arial" w:cs="Arial" w:eastAsia="Arial" w:hAnsi="Arial"/>
                <w:sz w:val="18"/>
                <w:szCs w:val="18"/>
                <w:b w:val="1"/>
                <w:bCs w:val="1"/>
                <w:color w:val="auto"/>
                <w:w w:val="86"/>
              </w:rPr>
              <w:t>Balance Sheet</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June 30,</w:t>
            </w:r>
          </w:p>
        </w:tc>
        <w:tc>
          <w:tcPr>
            <w:tcW w:w="1600" w:type="dxa"/>
            <w:vAlign w:val="bottom"/>
            <w:gridSpan w:val="4"/>
          </w:tcPr>
          <w:p>
            <w:pPr>
              <w:jc w:val="center"/>
              <w:ind w:right="18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6"/>
                <w:szCs w:val="16"/>
                <w:color w:val="auto"/>
              </w:rPr>
            </w:pPr>
          </w:p>
        </w:tc>
        <w:tc>
          <w:tcPr>
            <w:tcW w:w="84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Products</w:t>
            </w:r>
          </w:p>
        </w:tc>
        <w:tc>
          <w:tcPr>
            <w:tcW w:w="280" w:type="dxa"/>
            <w:vAlign w:val="bottom"/>
          </w:tcPr>
          <w:p>
            <w:pPr>
              <w:spacing w:after="0"/>
              <w:rPr>
                <w:sz w:val="20"/>
                <w:szCs w:val="20"/>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Location</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2010</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1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2011, December 31, 2010 and June 30, 2010, United did not have any derivatives in a net liability position.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189" w:lineRule="exact"/>
        <w:rPr>
          <w:sz w:val="20"/>
          <w:szCs w:val="20"/>
          <w:color w:val="auto"/>
        </w:rPr>
      </w:pPr>
    </w:p>
    <w:p>
      <w:pPr>
        <w:jc w:val="both"/>
        <w:ind w:left="340" w:right="159"/>
        <w:spacing w:after="0" w:line="291" w:lineRule="auto"/>
        <w:rPr>
          <w:sz w:val="20"/>
          <w:szCs w:val="20"/>
          <w:color w:val="auto"/>
        </w:rPr>
      </w:pPr>
      <w:r>
        <w:rPr>
          <w:rFonts w:ascii="Arial" w:cs="Arial" w:eastAsia="Arial" w:hAnsi="Arial"/>
          <w:sz w:val="16"/>
          <w:szCs w:val="16"/>
          <w:color w:val="auto"/>
        </w:rPr>
        <w:t>United’s objectives in using interest rate derivatives are to add stability to net interest revenue and to manage its exposure to interest rate movements. To accomplish this objective, United primarily uses interest rate swaps as part of its interest rate risk management strategy. For United’s variable-rate loans, interest rate swaps designated as cash flow hedges involve the receipt of fixed-rate amounts from a counterparty in exchange for United making variable-rate payments over the life of the agreements without exchange of the underlying notional amount. Interest rate floors designated as cash flow hedges involve the receipt of variable-rate amounts from a counterparty if interest rates fall below the strike rate on the contract in exchange for an up front premium. United had no active derivative contracts outstanding at June 30, 2011 or December 31, 2010 that were designated as cash flow hedges of interest rate risk.</w:t>
      </w:r>
    </w:p>
    <w:p>
      <w:pPr>
        <w:spacing w:after="0" w:line="127"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and is subsequently reclassified into earnings in the period that the hedged forecasted transaction affects earnings. During 2010, such derivatives were used to hedge the variable cash flows associated with existing prime-based, variable-rate loans. The ineffective portion of the change in fair value of the derivatives is recognized directly in earnings. During the three and six months ended June 30, 2011, $2.81 million and $4.11 million, respectively, in hedge ineffectiveness was recognized in other fee revenue. During the three and six months ended June 30, 2010, $120,000 and $642,000, respectively, in hedge ineffectiveness was recognized in other fee revenue.</w:t>
      </w:r>
    </w:p>
    <w:p>
      <w:pPr>
        <w:spacing w:after="0" w:line="151" w:lineRule="exact"/>
        <w:rPr>
          <w:sz w:val="20"/>
          <w:szCs w:val="20"/>
          <w:color w:val="auto"/>
        </w:rPr>
      </w:pPr>
    </w:p>
    <w:p>
      <w:pPr>
        <w:jc w:val="both"/>
        <w:ind w:left="340" w:right="159"/>
        <w:spacing w:after="0" w:line="290" w:lineRule="auto"/>
        <w:rPr>
          <w:sz w:val="20"/>
          <w:szCs w:val="20"/>
          <w:color w:val="auto"/>
        </w:rPr>
      </w:pPr>
      <w:r>
        <w:rPr>
          <w:rFonts w:ascii="Arial" w:cs="Arial" w:eastAsia="Arial" w:hAnsi="Arial"/>
          <w:sz w:val="16"/>
          <w:szCs w:val="16"/>
          <w:color w:val="auto"/>
        </w:rPr>
        <w:t>Amounts reported in accumulated other comprehensive income related to derivatives will be reclassified to interest revenue as interest payments are received on United’s prime-based, variable-rate loans. At June 30, 2011, the amount included in other comprehensive income represents deferred gains from terminated cash flow hedges where the forecasted hedging transaction is expected to remain effective over the remaining unexpired term of the original contract. Such gains are being deferred and recognized over the remaining life of the contract on a straight line basis. During the three and six months ended June 30, 2011, United accelerated the reclassification of $2.81 million and $4.11 million, respectively, in gains from terminated positions as a result of forecasted transactions becoming probable not to occur. During the next twelve months, United estimates that an additional $7.24 million of the deferred gains on terminated cash flow hedging positions will be reclassified as an increase to interest revenue.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Hedges of Interest Rate Risk</w:t>
      </w:r>
    </w:p>
    <w:p>
      <w:pPr>
        <w:spacing w:after="0" w:line="189"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United is exposed to changes in the fair value of certain of its fixed rate obligations due to changes in LIBOR, a benchmark interest rate. United uses interest rate swaps to manage its exposure to changes in fair value on these instruments attributable to changes in the benchmark interest rate. Interest rate swaps designated as fair value hedges involve the receipt of fixed-rate amounts from a counterparty in exchange for United making variable rate payments over the life of the agreements without the exchange of the underlying notional amount. As of June 30, 2011 and December 31, 2010, United had no active derivatives designated as fair value hedges of interest rate risk.</w:t>
      </w:r>
    </w:p>
    <w:p>
      <w:pPr>
        <w:sectPr>
          <w:pgSz w:w="11900" w:h="16838" w:orient="portrait"/>
          <w:cols w:equalWidth="0" w:num="1">
            <w:col w:w="10219"/>
          </w:cols>
          <w:pgMar w:left="240" w:top="419" w:right="1440" w:bottom="1095"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95"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59"/>
        <w:spacing w:after="0" w:line="254" w:lineRule="auto"/>
        <w:rPr>
          <w:sz w:val="20"/>
          <w:szCs w:val="20"/>
          <w:color w:val="auto"/>
        </w:rPr>
      </w:pPr>
      <w:r>
        <w:rPr>
          <w:rFonts w:ascii="Arial" w:cs="Arial" w:eastAsia="Arial" w:hAnsi="Arial"/>
          <w:sz w:val="18"/>
          <w:szCs w:val="18"/>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line item as the offsetting loss or gain on the related derivatives. During the three and six months ended June 30, 2011 and 2010, United recognized net gains of $119,000 and $207,000, respectively, related to ineffectiveness of the fair value hedging relationships. United also recognized a net reduction of interest expense of $1.38 million for the three months ended June 30, 2010 related to United’s fair value hedges, which includes net settlements on the derivatives. For the six months ended June 30, 2010, United recognized a net reduction of interest expense of $3.16 million, related to United’s fair value hedges. There were no active fair value hedges during the first six months of 2011.</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Tabular Disclosure of the Effect of Derivative Instruments on the Income Statement</w:t>
      </w:r>
    </w:p>
    <w:p>
      <w:pPr>
        <w:spacing w:after="0" w:line="189"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tables below present the effect of United’s derivative financial instruments on the consolidated statement of operations for the three and six months ended June 30, 2011 and 2010.</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Derivatives in Fair Value Hedging Relationships </w:t>
      </w:r>
      <w:r>
        <w:rPr>
          <w:rFonts w:ascii="Arial" w:cs="Arial" w:eastAsia="Arial" w:hAnsi="Arial"/>
          <w:sz w:val="18"/>
          <w:szCs w:val="18"/>
          <w:i w:val="1"/>
          <w:iCs w:val="1"/>
          <w:color w:val="auto"/>
        </w:rPr>
        <w:t>(in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Location of Gain (Loss)</w:t>
            </w:r>
          </w:p>
        </w:tc>
        <w:tc>
          <w:tcPr>
            <w:tcW w:w="3020" w:type="dxa"/>
            <w:vAlign w:val="bottom"/>
            <w:gridSpan w:val="6"/>
          </w:tcPr>
          <w:p>
            <w:pPr>
              <w:spacing w:after="0"/>
              <w:rPr>
                <w:sz w:val="20"/>
                <w:szCs w:val="20"/>
                <w:color w:val="auto"/>
              </w:rPr>
            </w:pPr>
            <w:r>
              <w:rPr>
                <w:rFonts w:ascii="Arial" w:cs="Arial" w:eastAsia="Arial" w:hAnsi="Arial"/>
                <w:sz w:val="18"/>
                <w:szCs w:val="18"/>
                <w:b w:val="1"/>
                <w:bCs w:val="1"/>
                <w:color w:val="auto"/>
                <w:w w:val="93"/>
              </w:rPr>
              <w:t>Amount of Gain (Loss) Recognized in</w:t>
            </w:r>
          </w:p>
        </w:tc>
        <w:tc>
          <w:tcPr>
            <w:tcW w:w="3060" w:type="dxa"/>
            <w:vAlign w:val="bottom"/>
            <w:gridSpan w:val="7"/>
          </w:tcPr>
          <w:p>
            <w:pPr>
              <w:ind w:left="120"/>
              <w:spacing w:after="0"/>
              <w:rPr>
                <w:sz w:val="20"/>
                <w:szCs w:val="20"/>
                <w:color w:val="auto"/>
              </w:rPr>
            </w:pPr>
            <w:r>
              <w:rPr>
                <w:rFonts w:ascii="Arial" w:cs="Arial" w:eastAsia="Arial" w:hAnsi="Arial"/>
                <w:sz w:val="18"/>
                <w:szCs w:val="18"/>
                <w:b w:val="1"/>
                <w:bCs w:val="1"/>
                <w:color w:val="auto"/>
                <w:w w:val="90"/>
              </w:rPr>
              <w:t>Amount of Gain (Loss) Recognized in</w:t>
            </w:r>
          </w:p>
        </w:tc>
      </w:tr>
      <w:tr>
        <w:trPr>
          <w:trHeight w:val="234"/>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Recognized in Income</w:t>
            </w:r>
          </w:p>
        </w:tc>
        <w:tc>
          <w:tcPr>
            <w:tcW w:w="3020" w:type="dxa"/>
            <w:vAlign w:val="bottom"/>
            <w:gridSpan w:val="6"/>
          </w:tcPr>
          <w:p>
            <w:pPr>
              <w:ind w:left="600"/>
              <w:spacing w:after="0"/>
              <w:rPr>
                <w:sz w:val="20"/>
                <w:szCs w:val="20"/>
                <w:color w:val="auto"/>
              </w:rPr>
            </w:pPr>
            <w:r>
              <w:rPr>
                <w:rFonts w:ascii="Arial" w:cs="Arial" w:eastAsia="Arial" w:hAnsi="Arial"/>
                <w:sz w:val="18"/>
                <w:szCs w:val="18"/>
                <w:b w:val="1"/>
                <w:bCs w:val="1"/>
                <w:color w:val="auto"/>
              </w:rPr>
              <w:t>Income on Derivative</w:t>
            </w:r>
          </w:p>
        </w:tc>
        <w:tc>
          <w:tcPr>
            <w:tcW w:w="120" w:type="dxa"/>
            <w:vAlign w:val="bottom"/>
          </w:tcPr>
          <w:p>
            <w:pPr>
              <w:spacing w:after="0"/>
              <w:rPr>
                <w:sz w:val="20"/>
                <w:szCs w:val="20"/>
                <w:color w:val="auto"/>
              </w:rPr>
            </w:pPr>
          </w:p>
        </w:tc>
        <w:tc>
          <w:tcPr>
            <w:tcW w:w="24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Income on Hedged Item</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on Derivative</w:t>
            </w:r>
          </w:p>
        </w:tc>
        <w:tc>
          <w:tcPr>
            <w:tcW w:w="880" w:type="dxa"/>
            <w:vAlign w:val="bottom"/>
            <w:tcBorders>
              <w:top w:val="single" w:sz="8" w:color="auto"/>
            </w:tcBorders>
          </w:tcPr>
          <w:p>
            <w:pPr>
              <w:ind w:left="420"/>
              <w:spacing w:after="0"/>
              <w:rPr>
                <w:sz w:val="20"/>
                <w:szCs w:val="20"/>
                <w:color w:val="auto"/>
              </w:rPr>
            </w:pPr>
            <w:r>
              <w:rPr>
                <w:rFonts w:ascii="Arial" w:cs="Arial" w:eastAsia="Arial" w:hAnsi="Arial"/>
                <w:sz w:val="18"/>
                <w:szCs w:val="18"/>
                <w:b w:val="1"/>
                <w:bCs w:val="1"/>
                <w:color w:val="auto"/>
              </w:rPr>
              <w:t>2011</w:t>
            </w:r>
          </w:p>
        </w:tc>
        <w:tc>
          <w:tcPr>
            <w:tcW w:w="3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2011</w:t>
            </w:r>
          </w:p>
        </w:tc>
        <w:tc>
          <w:tcPr>
            <w:tcW w:w="3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Other fee revenue</w:t>
            </w: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(1,397)</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62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1,516</w:t>
            </w:r>
          </w:p>
        </w:tc>
      </w:tr>
      <w:tr>
        <w:trPr>
          <w:trHeight w:val="20"/>
        </w:trPr>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Other fee revenue</w:t>
            </w: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(2,592)</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62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2,799</w:t>
            </w:r>
          </w:p>
        </w:tc>
      </w:tr>
      <w:tr>
        <w:trPr>
          <w:trHeight w:val="20"/>
        </w:trPr>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Derivatives in Cash Flow Hedging Relationships </w:t>
      </w:r>
      <w:r>
        <w:rPr>
          <w:rFonts w:ascii="Arial" w:cs="Arial" w:eastAsia="Arial" w:hAnsi="Arial"/>
          <w:sz w:val="18"/>
          <w:szCs w:val="18"/>
          <w:i w:val="1"/>
          <w:iCs w:val="1"/>
          <w:color w:val="auto"/>
        </w:rPr>
        <w:t>(in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0"/>
              </w:rPr>
              <w:t>Amount of Gain (Loss)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Recognized in Other</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8"/>
              </w:rPr>
              <w:t>Comprehensive Income on</w:t>
            </w:r>
          </w:p>
        </w:tc>
        <w:tc>
          <w:tcPr>
            <w:tcW w:w="180" w:type="dxa"/>
            <w:vAlign w:val="bottom"/>
          </w:tcPr>
          <w:p>
            <w:pPr>
              <w:spacing w:after="0"/>
              <w:rPr>
                <w:sz w:val="18"/>
                <w:szCs w:val="18"/>
                <w:color w:val="auto"/>
              </w:rPr>
            </w:pPr>
          </w:p>
        </w:tc>
        <w:tc>
          <w:tcPr>
            <w:tcW w:w="4300" w:type="dxa"/>
            <w:vAlign w:val="bottom"/>
            <w:gridSpan w:val="8"/>
          </w:tcPr>
          <w:p>
            <w:pPr>
              <w:jc w:val="right"/>
              <w:ind w:right="280"/>
              <w:spacing w:after="0"/>
              <w:rPr>
                <w:sz w:val="20"/>
                <w:szCs w:val="20"/>
                <w:color w:val="auto"/>
              </w:rPr>
            </w:pPr>
            <w:r>
              <w:rPr>
                <w:rFonts w:ascii="Arial" w:cs="Arial" w:eastAsia="Arial" w:hAnsi="Arial"/>
                <w:sz w:val="18"/>
                <w:szCs w:val="18"/>
                <w:b w:val="1"/>
                <w:bCs w:val="1"/>
                <w:color w:val="auto"/>
                <w:w w:val="94"/>
              </w:rPr>
              <w:t>Gain (Loss) Reclassified from Accumulated Other</w:t>
            </w:r>
          </w:p>
        </w:tc>
      </w:tr>
      <w:tr>
        <w:trPr>
          <w:trHeight w:val="234"/>
        </w:trPr>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92"/>
              </w:rPr>
              <w:t>Derivative (Effective Portion)</w:t>
            </w:r>
          </w:p>
        </w:tc>
        <w:tc>
          <w:tcPr>
            <w:tcW w:w="4480" w:type="dxa"/>
            <w:vAlign w:val="bottom"/>
            <w:gridSpan w:val="9"/>
          </w:tcPr>
          <w:p>
            <w:pPr>
              <w:ind w:left="180"/>
              <w:spacing w:after="0"/>
              <w:rPr>
                <w:sz w:val="20"/>
                <w:szCs w:val="20"/>
                <w:color w:val="auto"/>
              </w:rPr>
            </w:pPr>
            <w:r>
              <w:rPr>
                <w:rFonts w:ascii="Arial" w:cs="Arial" w:eastAsia="Arial" w:hAnsi="Arial"/>
                <w:sz w:val="18"/>
                <w:szCs w:val="18"/>
                <w:b w:val="1"/>
                <w:bCs w:val="1"/>
                <w:color w:val="auto"/>
                <w:w w:val="91"/>
              </w:rPr>
              <w:t>Comprehensive Income into Income (Effective Portion)</w:t>
            </w:r>
          </w:p>
        </w:tc>
      </w:tr>
      <w:tr>
        <w:trPr>
          <w:trHeight w:val="210"/>
        </w:trPr>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Location</w:t>
            </w: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Three Months Ended June 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color w:val="auto"/>
                <w:w w:val="93"/>
              </w:rPr>
              <w:t>Interest revenue</w:t>
            </w:r>
          </w:p>
        </w:tc>
        <w:tc>
          <w:tcPr>
            <w:tcW w:w="5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2,589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4,922</w:t>
            </w:r>
          </w:p>
        </w:tc>
      </w:tr>
      <w:tr>
        <w:trPr>
          <w:trHeight w:val="216"/>
        </w:trPr>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2,809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23"/>
        </w:trPr>
        <w:tc>
          <w:tcPr>
            <w:tcW w:w="2540" w:type="dxa"/>
            <w:vAlign w:val="bottom"/>
          </w:tcPr>
          <w:p>
            <w:pPr>
              <w:spacing w:after="0"/>
              <w:rPr>
                <w:sz w:val="20"/>
                <w:szCs w:val="20"/>
                <w:color w:val="auto"/>
              </w:rPr>
            </w:pPr>
            <w:r>
              <w:rPr>
                <w:rFonts w:ascii="Arial" w:cs="Arial" w:eastAsia="Arial" w:hAnsi="Arial"/>
                <w:sz w:val="18"/>
                <w:szCs w:val="18"/>
                <w:color w:val="auto"/>
              </w:rPr>
              <w:t>Interest rate products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840</w:t>
            </w:r>
          </w:p>
        </w:tc>
        <w:tc>
          <w:tcPr>
            <w:tcW w:w="14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5,398</w:t>
            </w:r>
          </w:p>
        </w:tc>
        <w:tc>
          <w:tcPr>
            <w:tcW w:w="44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100" w:type="dxa"/>
            <w:vAlign w:val="bottom"/>
          </w:tcPr>
          <w:p>
            <w:pPr>
              <w:spacing w:after="0"/>
              <w:rPr>
                <w:sz w:val="19"/>
                <w:szCs w:val="19"/>
                <w:color w:val="auto"/>
              </w:rPr>
            </w:pPr>
          </w:p>
        </w:tc>
      </w:tr>
      <w:tr>
        <w:trPr>
          <w:trHeight w:val="20"/>
        </w:trPr>
        <w:tc>
          <w:tcPr>
            <w:tcW w:w="2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color w:val="auto"/>
                <w:w w:val="93"/>
              </w:rPr>
              <w:t>Interest revenue</w:t>
            </w:r>
          </w:p>
        </w:tc>
        <w:tc>
          <w:tcPr>
            <w:tcW w:w="5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5,512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10,934</w:t>
            </w:r>
          </w:p>
        </w:tc>
      </w:tr>
      <w:tr>
        <w:trPr>
          <w:trHeight w:val="216"/>
        </w:trPr>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4,112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r>
      <w:tr>
        <w:trPr>
          <w:trHeight w:val="223"/>
        </w:trPr>
        <w:tc>
          <w:tcPr>
            <w:tcW w:w="2540" w:type="dxa"/>
            <w:vAlign w:val="bottom"/>
          </w:tcPr>
          <w:p>
            <w:pPr>
              <w:spacing w:after="0"/>
              <w:rPr>
                <w:sz w:val="20"/>
                <w:szCs w:val="20"/>
                <w:color w:val="auto"/>
              </w:rPr>
            </w:pPr>
            <w:r>
              <w:rPr>
                <w:rFonts w:ascii="Arial" w:cs="Arial" w:eastAsia="Arial" w:hAnsi="Arial"/>
                <w:sz w:val="18"/>
                <w:szCs w:val="18"/>
                <w:color w:val="auto"/>
              </w:rPr>
              <w:t>Interest rate products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2,314</w:t>
            </w:r>
          </w:p>
        </w:tc>
        <w:tc>
          <w:tcPr>
            <w:tcW w:w="14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9,624</w:t>
            </w:r>
          </w:p>
        </w:tc>
        <w:tc>
          <w:tcPr>
            <w:tcW w:w="44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11,577</w:t>
            </w:r>
          </w:p>
        </w:tc>
        <w:tc>
          <w:tcPr>
            <w:tcW w:w="100" w:type="dxa"/>
            <w:vAlign w:val="bottom"/>
          </w:tcPr>
          <w:p>
            <w:pPr>
              <w:spacing w:after="0"/>
              <w:rPr>
                <w:sz w:val="19"/>
                <w:szCs w:val="19"/>
                <w:color w:val="auto"/>
              </w:rPr>
            </w:pPr>
          </w:p>
        </w:tc>
      </w:tr>
      <w:tr>
        <w:trPr>
          <w:trHeight w:val="20"/>
        </w:trPr>
        <w:tc>
          <w:tcPr>
            <w:tcW w:w="2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0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At June 30, 2011, United had no active derivative positions and therefore no credit support agreements remained in effect.</w:t>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 Stock-Based Compensation</w:t>
      </w:r>
    </w:p>
    <w:p>
      <w:pPr>
        <w:spacing w:after="0" w:line="189"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United has an equity compensation plan that allows for grants of incentive stock options, nonqualified stock options, restricted stock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 and restricted stock awards provide for accelerated vesting if there is a change in control (as defined in the plan). As of June 30, 2011, 336,700 additional awards could be granted under the plan, subject to shareholder approval of a 400,000 increase in shares available under the plan. Through June 30, 2011, incentive stock options, nonqualified stock options, restricted stock awards and units and base salary stock grants had been granted under the plan.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stock option activity for the first six months of 2011.</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Remaining</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Aggregate</w:t>
            </w:r>
          </w:p>
        </w:tc>
      </w:tr>
      <w:tr>
        <w:trPr>
          <w:trHeight w:val="216"/>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7"/>
              </w:rPr>
              <w:t>Average Exercise</w:t>
            </w: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Intrinisic</w:t>
            </w:r>
          </w:p>
        </w:tc>
      </w:tr>
      <w:tr>
        <w:trPr>
          <w:trHeight w:val="234"/>
        </w:trPr>
        <w:tc>
          <w:tcPr>
            <w:tcW w:w="4040" w:type="dxa"/>
            <w:vAlign w:val="bottom"/>
          </w:tcPr>
          <w:p>
            <w:pPr>
              <w:spacing w:after="0"/>
              <w:rPr>
                <w:sz w:val="20"/>
                <w:szCs w:val="20"/>
                <w:color w:val="auto"/>
              </w:rPr>
            </w:pPr>
            <w:r>
              <w:rPr>
                <w:rFonts w:ascii="Arial" w:cs="Arial" w:eastAsia="Arial" w:hAnsi="Arial"/>
                <w:sz w:val="18"/>
                <w:szCs w:val="18"/>
                <w:b w:val="1"/>
                <w:bCs w:val="1"/>
                <w:color w:val="auto"/>
              </w:rPr>
              <w:t>Options</w:t>
            </w:r>
          </w:p>
        </w:tc>
        <w:tc>
          <w:tcPr>
            <w:tcW w:w="2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5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Term (Years)</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9"/>
              </w:rPr>
              <w:t xml:space="preserve">Value </w:t>
            </w: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000)</w:t>
            </w:r>
          </w:p>
        </w:tc>
      </w:tr>
      <w:tr>
        <w:trPr>
          <w:trHeight w:val="210"/>
        </w:trPr>
        <w:tc>
          <w:tcPr>
            <w:tcW w:w="4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678,313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92.99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Forfeited</w:t>
            </w: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(6,527)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42.59</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(65,674)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69.26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Outstanding at June 30, 2011</w:t>
            </w:r>
          </w:p>
        </w:tc>
        <w:tc>
          <w:tcPr>
            <w:tcW w:w="2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606,112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96.11</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2011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548,453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100.77</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No options were granted during the first six months of 2011. The fair value of each option is estimated on the date of grant using the Black-Scholes model. Because United’s option plan has not been in place long enough to gather sufficient information about exercise patterns to establish an expected life, United uses the formula provided by the SEC in Staff Accounting Bulletin (“SAB”) No. 107 to determine the expected life of options.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assumptions used to determine the fair value of stock options are presented in the table below.</w:t>
      </w:r>
    </w:p>
    <w:p>
      <w:pPr>
        <w:spacing w:after="0" w:line="221"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2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r>
      <w:tr>
        <w:trPr>
          <w:trHeight w:val="210"/>
        </w:trPr>
        <w:tc>
          <w:tcPr>
            <w:tcW w:w="7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NA</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55.00%</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280" w:type="dxa"/>
            <w:vAlign w:val="bottom"/>
          </w:tcPr>
          <w:p>
            <w:pPr>
              <w:ind w:left="20"/>
              <w:spacing w:after="0"/>
              <w:rPr>
                <w:sz w:val="20"/>
                <w:szCs w:val="20"/>
                <w:color w:val="auto"/>
              </w:rPr>
            </w:pPr>
            <w:r>
              <w:rPr>
                <w:rFonts w:ascii="Arial" w:cs="Arial" w:eastAsia="Arial" w:hAnsi="Arial"/>
                <w:sz w:val="18"/>
                <w:szCs w:val="18"/>
                <w:color w:val="auto"/>
                <w:w w:val="95"/>
              </w:rPr>
              <w:t>NA</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NA</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6.14</w:t>
            </w: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Risk-free rate</w:t>
            </w:r>
          </w:p>
        </w:tc>
        <w:tc>
          <w:tcPr>
            <w:tcW w:w="280" w:type="dxa"/>
            <w:vAlign w:val="bottom"/>
          </w:tcPr>
          <w:p>
            <w:pPr>
              <w:ind w:left="20"/>
              <w:spacing w:after="0"/>
              <w:rPr>
                <w:sz w:val="20"/>
                <w:szCs w:val="20"/>
                <w:color w:val="auto"/>
              </w:rPr>
            </w:pPr>
            <w:r>
              <w:rPr>
                <w:rFonts w:ascii="Arial" w:cs="Arial" w:eastAsia="Arial" w:hAnsi="Arial"/>
                <w:sz w:val="18"/>
                <w:szCs w:val="18"/>
                <w:color w:val="auto"/>
                <w:w w:val="95"/>
              </w:rPr>
              <w:t>NA</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3.19%</w:t>
            </w:r>
          </w:p>
        </w:tc>
      </w:tr>
    </w:tbl>
    <w:p>
      <w:pPr>
        <w:spacing w:after="0" w:line="147"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For 2010, expected volatility was determined using United’s historical monthly volatility for over a period of 25 quarters ending December 31, 2009. Compensation expense relating to stock options of $465,000 and $1.1 million was included in earnings for the six months ended June 30, 2011 and 2010, respectively. Deferred tax benefits of $181,000 and $430,000, respectively, were included in the determination of income tax benefit for the six month periods ended June 30, 2011 and 2010. The amount of compensation expense for both periods was determined based on the fair value of the options at the time of grant, multiplied by the number of options granted that are expected to vest, which was then amortized over the vesting period. The forfeiture rate for options is estimated to be approximately 3% per year. No options were exercised during the first six months of 2011 or 2010.</w:t>
      </w: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w w:val="93"/>
              </w:rPr>
              <w:t>The table below presents the activity in restricted stock awards for the first six months of 2011.</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Weighted-</w:t>
            </w:r>
          </w:p>
        </w:tc>
      </w:tr>
      <w:tr>
        <w:trPr>
          <w:trHeight w:val="216"/>
        </w:trPr>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Average Grant-</w:t>
            </w:r>
          </w:p>
        </w:tc>
      </w:tr>
      <w:tr>
        <w:trPr>
          <w:trHeight w:val="234"/>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Restricted Stock</w:t>
            </w:r>
          </w:p>
        </w:tc>
        <w:tc>
          <w:tcPr>
            <w:tcW w:w="134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2"/>
              </w:rPr>
              <w:t>Date Fair Value</w:t>
            </w:r>
          </w:p>
        </w:tc>
      </w:tr>
      <w:tr>
        <w:trPr>
          <w:trHeight w:val="210"/>
        </w:trPr>
        <w:tc>
          <w:tcPr>
            <w:tcW w:w="6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23,214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59.67</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375,532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10.25</w:t>
            </w: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(7,799)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51.86</w:t>
            </w: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color w:val="auto"/>
              </w:rPr>
              <w:t>Outstanding at June 30, 2011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390,947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12.35</w:t>
            </w:r>
          </w:p>
        </w:tc>
      </w:tr>
      <w:tr>
        <w:trPr>
          <w:trHeight w:val="20"/>
        </w:trPr>
        <w:tc>
          <w:tcPr>
            <w:tcW w:w="6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For the six months ended June 30, 2011 and 2010, compensation expense of $293,000 and $325,000, respectively, was recognized related to restricted stock awards. The total intrinsic value of the restricted stock was $4.12 million at June 30, 2011.</w:t>
      </w:r>
    </w:p>
    <w:p>
      <w:pPr>
        <w:spacing w:after="0" w:line="14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As of June 30, 2011, there was $5.18 million of unrecognized compensation cost related to non-vested stock options and restricted stock awards granted under the plan. That cost is expected to be recognized over a weighted-average period of 2.51 years. The aggregate grant date fair value of options and restricted stock awards that vested during the six months ended June 30, 2011, was $1.99 million.</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10 — Common and Preferred Stock Issued / Common Stock Issuable</w:t>
      </w:r>
    </w:p>
    <w:p>
      <w:pPr>
        <w:spacing w:after="0" w:line="189" w:lineRule="exact"/>
        <w:rPr>
          <w:sz w:val="20"/>
          <w:szCs w:val="20"/>
          <w:color w:val="auto"/>
        </w:rPr>
      </w:pPr>
    </w:p>
    <w:p>
      <w:pPr>
        <w:jc w:val="both"/>
        <w:ind w:left="340" w:right="159"/>
        <w:spacing w:after="0" w:line="254" w:lineRule="auto"/>
        <w:rPr>
          <w:sz w:val="20"/>
          <w:szCs w:val="20"/>
          <w:color w:val="auto"/>
        </w:rPr>
      </w:pPr>
      <w:r>
        <w:rPr>
          <w:rFonts w:ascii="Arial" w:cs="Arial" w:eastAsia="Arial" w:hAnsi="Arial"/>
          <w:sz w:val="18"/>
          <w:szCs w:val="18"/>
          <w:color w:val="auto"/>
        </w:rPr>
        <w:t>United sponsors a Dividend Reinvestment and Share Purchase Plan (“DRIP”) that allows participants who already own United’s common stock to purchase additional shares directly from the company. The DRIP also allows participants to automatically reinvest their quarterly dividends in additional shares of common stock without a commission. United’s 401(k) retirement plan regularly purchases shares of United’s common stock directly from United. In addition, United has an Employee Stock Purchase Program (“ESPP”) that allows eligible employees to purchase shares of common stock at a 5% discount, with no commission charges. For the six months ended June 30, 2011 and 2010, United issued 78,584 and 41,818 shares, respectively, and increased capital by $744,000 and $940,000, respectively, through these programs. The DRIP program has been suspended until 2012 when United expects to regain its S-3 filing status.</w:t>
      </w:r>
    </w:p>
    <w:p>
      <w:pPr>
        <w:spacing w:after="0" w:line="15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United offers its common stock as an investment option in its deferred compensation plan. The common stock component of the deferred compensation plan is accounted for as an equity instrument and is reflected in the consolidated financial statements as common stock issuable. At June 30, 2011 and 2010, 83,575 and 56,954 shares, respectively, were issuable under the deferred compensation plan.</w:t>
      </w:r>
    </w:p>
    <w:p>
      <w:pPr>
        <w:spacing w:after="0" w:line="160"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On February 22, 2011, United entered into a share exchange agreement (the “Share Exchange Agreement”) with Elm Ridge Offshore Master Fund, Ltd. and Elm Ridge Value Partners, L.P. (collectively referred to as “Elm Ridge Parties”). Under the Share Exchange Agreement, the Elm Ridge Parties agreed to transfer to the Company 1,551,126 shares of the Company’s common stock in exchange for 16,613 shares of the Company’s cumulative perpetual preferred stock, Series D, and warrants to purchase 1,551,126 common shares with an exercise price of $12.50 per share that expires on August 22, 2013. This exchange transaction did not result in a net increase or decrease to total shareholder’s equity for the six months ended June 30, 2011.</w:t>
      </w:r>
    </w:p>
    <w:p>
      <w:pPr>
        <w:spacing w:after="0" w:line="138"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During the first quarter of 2011, United entered into investment agreements (the “Investment Agreements”) with Corsair Georgia, L.P. (“Corsair”) and a group of institutional investors (the “Additional Investors”). United issued 3,467,699 of the Company’s common stock for $9.50 per share, 195,872 shares of mandatorily convertible cumulative non-voting perpetual preferred stock, Series F (the “Series F Preferred Stock”), and 151,185 shares of mandatorily convertible cumulative non-voting perpetual preferred stock, Series G (the “Series G Preferred Stock”). Under the terms of the Investment Agreements and following receipt of required shareholder approvals which were received on June 16, 2011, at United’s annual shareholders’ meeting, the Series F Preferred Stock converted into 20,618,090 shares of voting common stock and the Series G Preferred Stock converted into 15,914,209 shares of non-voting common stock. This private placement transaction resulted in an increase to shareholders’ equity of $362 million, net of $18.4 million in issuance costs. Following conversion of the convertible preferred stock, Corsair owned approximately 22.5% of United’s total outstanding common stock. The Additional Investors owned approximately 47.2% of United’s outstanding common stock.</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11 — Reclassifications and Reverse Stock Split</w:t>
      </w:r>
    </w:p>
    <w:p>
      <w:pPr>
        <w:spacing w:after="0" w:line="189"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Certain 2010 amounts have been reclassified to conform to the 2011 presentation. On June 17, 2011, United completed a 1-for-5 reverse stock split, whereby each 5 shares of United’s common stock was reclassified into one share of common stock, and each 5 shares of United’s non-voting common stock was reclassified into one share of non-voting common stock. All share and per share amounts for all periods presented have been adjusted to reflect the reverse split as though it had occurred prior to the earliest period presented.</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12 — Discontinued Operations</w:t>
      </w:r>
    </w:p>
    <w:p>
      <w:pPr>
        <w:spacing w:after="0" w:line="202"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On March 31, 2010, United completed the sale of its consulting subsidiary, Brintech, Inc. (“Brintech”). The sales price was $2.9 million with United covering certain costs related to the sale transaction resulting in a net, pre-tax gain of $2.1 million. As a result of the sale, Brintech is presented in the consolidated financial statements as a discontinued operation with all revenue and expenses related to the sold operations deconsolidated from the consolidated statement of operations for all periods presented. The net results of operations from Brintech are reported on a separate line on the consolidated statement of operations titled “Loss from discontinued operations, net of income taxes.” The gain from the sale, net of income taxes and selling costs, is presented on a separate line titled “Gain from sale of subsidiary, net of income taxes and selling costs.”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13 — Transaction with Fletcher International</w:t>
      </w:r>
    </w:p>
    <w:p>
      <w:pPr>
        <w:spacing w:after="0" w:line="189"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On April 1, 2010, United entered into a securities purchase agreement with Fletcher International, Ltd. and the Bank entered into an asset purchase and sale agreement with Fletcher International, Inc. and certain affiliates thereof. Under the terms of the agreements, the Bank sold $103 million in nonperforming commercial and residential mortgage loans and foreclosed properties to Fletcher’s affiliates with a nominal aggregate sales price equal to the Bank’s carrying amount. The nonperforming assets sale transaction closed on April 30, 2010. The consideration for the sale consisted of $20.6 million in cash and a loan for $82.4 million. Fletcher formed six affiliated LLCs to purchase the nonperforming assets from United. A separate loan was made to each of the affiliated LLCs with the assets of each LLC cross pledged as collateral to each of the six loans. The loans each have a five year term with principal and interest payments required according to a 20-year amortization table. Interest accrues at a fixed rate of 3.5%. Additional principal payments are required prior to the release of properties serving as collateral for the loans as those properties are sold. The loans have paid according to their contractual terms since their inception.</w:t>
      </w:r>
    </w:p>
    <w:p>
      <w:pPr>
        <w:spacing w:after="0" w:line="151" w:lineRule="exact"/>
        <w:rPr>
          <w:sz w:val="20"/>
          <w:szCs w:val="20"/>
          <w:color w:val="auto"/>
        </w:rPr>
      </w:pPr>
    </w:p>
    <w:p>
      <w:pPr>
        <w:jc w:val="both"/>
        <w:ind w:left="340" w:right="159"/>
        <w:spacing w:after="0" w:line="268" w:lineRule="auto"/>
        <w:rPr>
          <w:sz w:val="20"/>
          <w:szCs w:val="20"/>
          <w:color w:val="auto"/>
        </w:rPr>
      </w:pPr>
      <w:r>
        <w:rPr>
          <w:rFonts w:ascii="Arial" w:cs="Arial" w:eastAsia="Arial" w:hAnsi="Arial"/>
          <w:sz w:val="17"/>
          <w:szCs w:val="17"/>
          <w:color w:val="auto"/>
        </w:rPr>
        <w:t>As part of the agreement, Fletcher received a warrant to acquire 1,411,765 shares of United’s common stock at a price of $21.25 per share. The warrant has a nine year term and expires on May 26, 2019. To date, the warrant has not been exercised. In accordance with the terms of the securities purchase agreement, Fletcher has the right during the next two years to purchase up to $65 million in United’s Series C Convertible Preferred Stock. The Series C Convertible Preferred Stock pays a dividend equal to the lesser of 8% or LIBOR plus 4%. The Series C Convertible Preferred Stock is convertible by Fletcher into common stock at $26.25 per share (2,476,191 shares). If Fletcher had not purchased all of the Series C Convertible Preferred Stock by May 31, 2011, it was required to pay United 5% of the commitment amount not purchased by such date, and it must pay United an additional 5% of the commitment amount not purchased by May 31, 2012. Fletcher has paid United $3.25 million as it had not purchased the Series C Convertible Preferred Stock as of May 31, 2011. The payment was recorded directly in shareholders’ equity, net of applicable income tax effects. Fletcher will receive an additional warrant to purchase $35 million in common stock at $30.10 per share (1,162,791 shares) when it purchases the last $35 million of Series C Convertible Preferred Stock. All of the warrants settle on a cashless exercise basis and the net shares to be delivered upon cashless exercise will be less than what would have been issuable if the warrant had been exercised for cash.</w:t>
      </w:r>
    </w:p>
    <w:p>
      <w:pPr>
        <w:spacing w:after="0" w:line="147" w:lineRule="exact"/>
        <w:rPr>
          <w:sz w:val="20"/>
          <w:szCs w:val="20"/>
          <w:color w:val="auto"/>
        </w:rPr>
      </w:pPr>
    </w:p>
    <w:p>
      <w:pPr>
        <w:jc w:val="both"/>
        <w:ind w:left="340" w:right="179"/>
        <w:spacing w:after="0" w:line="279" w:lineRule="auto"/>
        <w:rPr>
          <w:sz w:val="20"/>
          <w:szCs w:val="20"/>
          <w:color w:val="auto"/>
        </w:rPr>
      </w:pPr>
      <w:r>
        <w:rPr>
          <w:rFonts w:ascii="Arial" w:cs="Arial" w:eastAsia="Arial" w:hAnsi="Arial"/>
          <w:sz w:val="17"/>
          <w:szCs w:val="17"/>
          <w:color w:val="auto"/>
        </w:rPr>
        <w:t>All of the components of the transaction, including all equity instruments issued under the securities purchase agreement and the notes receivable received as consideration from the sale of nonperforming assets were recorded at fair value. Because the value of the equity instruments and assets exchanged in the transaction exceeded the value of the cash and notes receivable received, United recorded a loss of $45.3 million on the transaction with Fletcher in the second quarter of 2010.</w:t>
      </w:r>
    </w:p>
    <w:p>
      <w:pPr>
        <w:spacing w:after="0" w:line="200" w:lineRule="exact"/>
        <w:rPr>
          <w:sz w:val="20"/>
          <w:szCs w:val="20"/>
          <w:color w:val="auto"/>
        </w:rPr>
      </w:pPr>
    </w:p>
    <w:p>
      <w:pPr>
        <w:spacing w:after="0" w:line="33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 xml:space="preserve">The table below presents a summary of the assets and equity instruments transferred and received at their respective fair values </w:t>
      </w:r>
      <w:r>
        <w:rPr>
          <w:rFonts w:ascii="Arial" w:cs="Arial" w:eastAsia="Arial" w:hAnsi="Arial"/>
          <w:sz w:val="18"/>
          <w:szCs w:val="18"/>
          <w:i w:val="1"/>
          <w:iCs w:val="1"/>
          <w:color w:val="auto"/>
        </w:rPr>
        <w:t>($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amounts)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Fair</w:t>
            </w:r>
          </w:p>
        </w:tc>
      </w:tr>
      <w:tr>
        <w:trPr>
          <w:trHeight w:val="234"/>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b w:val="1"/>
                <w:bCs w:val="1"/>
                <w:color w:val="auto"/>
                <w:w w:val="90"/>
              </w:rPr>
              <w:t>Valuation Approach</w:t>
            </w:r>
          </w:p>
        </w:tc>
        <w:tc>
          <w:tcPr>
            <w:tcW w:w="2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6"/>
              </w:rPr>
              <w:t>Heirarchy</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Value</w:t>
            </w: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Warrants Issued / Assets Transferred to Fletcher at Fair Value:</w:t>
            </w:r>
          </w:p>
        </w:tc>
        <w:tc>
          <w:tcPr>
            <w:tcW w:w="16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w w:val="92"/>
              </w:rPr>
              <w:t>Warrant to purchase $30 million in common stock at $21.25 per share</w:t>
            </w:r>
          </w:p>
        </w:tc>
        <w:tc>
          <w:tcPr>
            <w:tcW w:w="1720" w:type="dxa"/>
            <w:vAlign w:val="bottom"/>
            <w:gridSpan w:val="2"/>
          </w:tcPr>
          <w:p>
            <w:pPr>
              <w:ind w:left="160"/>
              <w:spacing w:after="0"/>
              <w:rPr>
                <w:sz w:val="20"/>
                <w:szCs w:val="20"/>
                <w:color w:val="auto"/>
              </w:rPr>
            </w:pPr>
            <w:r>
              <w:rPr>
                <w:rFonts w:ascii="Arial" w:cs="Arial" w:eastAsia="Arial" w:hAnsi="Arial"/>
                <w:sz w:val="18"/>
                <w:szCs w:val="18"/>
                <w:color w:val="auto"/>
              </w:rPr>
              <w:t>Black-Scholes</w:t>
            </w:r>
          </w:p>
        </w:tc>
        <w:tc>
          <w:tcPr>
            <w:tcW w:w="2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6"/>
              </w:rPr>
              <w:t>Level 3</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17,577</w:t>
            </w:r>
          </w:p>
        </w:tc>
      </w:tr>
      <w:tr>
        <w:trPr>
          <w:trHeight w:val="202"/>
        </w:trPr>
        <w:tc>
          <w:tcPr>
            <w:tcW w:w="53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Option to purchase convertible preferred stock and warrant</w:t>
            </w:r>
          </w:p>
        </w:tc>
        <w:tc>
          <w:tcPr>
            <w:tcW w:w="17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Monte-Carlo</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36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Simulation</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Level 3</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22,236</w:t>
            </w:r>
          </w:p>
        </w:tc>
      </w:tr>
      <w:tr>
        <w:trPr>
          <w:trHeight w:val="230"/>
        </w:trPr>
        <w:tc>
          <w:tcPr>
            <w:tcW w:w="5360" w:type="dxa"/>
            <w:vAlign w:val="bottom"/>
          </w:tcPr>
          <w:p>
            <w:pPr>
              <w:ind w:left="400"/>
              <w:spacing w:after="0"/>
              <w:rPr>
                <w:sz w:val="20"/>
                <w:szCs w:val="20"/>
                <w:color w:val="auto"/>
              </w:rPr>
            </w:pPr>
            <w:r>
              <w:rPr>
                <w:rFonts w:ascii="Arial" w:cs="Arial" w:eastAsia="Arial" w:hAnsi="Arial"/>
                <w:sz w:val="18"/>
                <w:szCs w:val="18"/>
                <w:b w:val="1"/>
                <w:bCs w:val="1"/>
                <w:color w:val="auto"/>
                <w:w w:val="94"/>
              </w:rPr>
              <w:t>Fair value of equity instruments recognized in capital surplus</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39,813</w:t>
            </w:r>
          </w:p>
        </w:tc>
        <w:tc>
          <w:tcPr>
            <w:tcW w:w="100" w:type="dxa"/>
            <w:vAlign w:val="bottom"/>
          </w:tcPr>
          <w:p>
            <w:pPr>
              <w:spacing w:after="0"/>
              <w:rPr>
                <w:sz w:val="20"/>
                <w:szCs w:val="20"/>
                <w:color w:val="auto"/>
              </w:rPr>
            </w:pPr>
          </w:p>
        </w:tc>
      </w:tr>
      <w:tr>
        <w:trPr>
          <w:trHeight w:val="216"/>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Foreclosed properties transferred under Asset Purchase Agreement</w:t>
            </w: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Appraised Value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Level 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33,434</w:t>
            </w:r>
          </w:p>
        </w:tc>
      </w:tr>
      <w:tr>
        <w:trPr>
          <w:trHeight w:val="202"/>
        </w:trPr>
        <w:tc>
          <w:tcPr>
            <w:tcW w:w="5360" w:type="dxa"/>
            <w:vAlign w:val="bottom"/>
          </w:tcPr>
          <w:p>
            <w:pPr>
              <w:ind w:left="200"/>
              <w:spacing w:after="0" w:line="201" w:lineRule="exact"/>
              <w:rPr>
                <w:sz w:val="20"/>
                <w:szCs w:val="20"/>
                <w:color w:val="auto"/>
              </w:rPr>
            </w:pPr>
            <w:r>
              <w:rPr>
                <w:rFonts w:ascii="Arial" w:cs="Arial" w:eastAsia="Arial" w:hAnsi="Arial"/>
                <w:sz w:val="18"/>
                <w:szCs w:val="18"/>
                <w:color w:val="auto"/>
                <w:w w:val="96"/>
              </w:rPr>
              <w:t>Nonperforming loans transferred under Asset Purchase Agreement</w:t>
            </w:r>
          </w:p>
        </w:tc>
        <w:tc>
          <w:tcPr>
            <w:tcW w:w="17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4"/>
              </w:rPr>
              <w:t>Collateral Appraised</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360" w:type="dxa"/>
            <w:vAlign w:val="bottom"/>
          </w:tcPr>
          <w:p>
            <w:pPr>
              <w:spacing w:after="0"/>
              <w:rPr>
                <w:sz w:val="20"/>
                <w:szCs w:val="20"/>
                <w:color w:val="auto"/>
              </w:rPr>
            </w:pPr>
          </w:p>
        </w:tc>
        <w:tc>
          <w:tcPr>
            <w:tcW w:w="1720" w:type="dxa"/>
            <w:vAlign w:val="bottom"/>
            <w:gridSpan w:val="2"/>
          </w:tcPr>
          <w:p>
            <w:pPr>
              <w:ind w:left="160"/>
              <w:spacing w:after="0"/>
              <w:rPr>
                <w:sz w:val="20"/>
                <w:szCs w:val="20"/>
                <w:color w:val="auto"/>
              </w:rPr>
            </w:pPr>
            <w:r>
              <w:rPr>
                <w:rFonts w:ascii="Arial" w:cs="Arial" w:eastAsia="Arial" w:hAnsi="Arial"/>
                <w:sz w:val="18"/>
                <w:szCs w:val="18"/>
                <w:color w:val="auto"/>
              </w:rPr>
              <w:t>Value</w:t>
            </w:r>
          </w:p>
        </w:tc>
        <w:tc>
          <w:tcPr>
            <w:tcW w:w="2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69,655</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nonperforming assets transferred</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103,089</w:t>
            </w:r>
          </w:p>
        </w:tc>
      </w:tr>
      <w:tr>
        <w:trPr>
          <w:trHeight w:val="216"/>
        </w:trPr>
        <w:tc>
          <w:tcPr>
            <w:tcW w:w="5360" w:type="dxa"/>
            <w:vAlign w:val="bottom"/>
          </w:tcPr>
          <w:p>
            <w:pPr>
              <w:ind w:left="600"/>
              <w:spacing w:after="0"/>
              <w:rPr>
                <w:sz w:val="20"/>
                <w:szCs w:val="20"/>
                <w:color w:val="auto"/>
              </w:rPr>
            </w:pPr>
            <w:r>
              <w:rPr>
                <w:rFonts w:ascii="Arial" w:cs="Arial" w:eastAsia="Arial" w:hAnsi="Arial"/>
                <w:sz w:val="18"/>
                <w:szCs w:val="18"/>
                <w:color w:val="auto"/>
              </w:rPr>
              <w:t>Total value of assets and equity instruments transferred</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142,902</w:t>
            </w:r>
          </w:p>
        </w:tc>
      </w:tr>
      <w:tr>
        <w:trPr>
          <w:trHeight w:val="223"/>
        </w:trPr>
        <w:tc>
          <w:tcPr>
            <w:tcW w:w="5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3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Less — Cash and Notes Receivable Received in Exchange at Fair</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Value:</w:t>
            </w: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360" w:type="dxa"/>
            <w:vAlign w:val="bottom"/>
          </w:tcPr>
          <w:p>
            <w:pPr>
              <w:ind w:left="200"/>
              <w:spacing w:after="0"/>
              <w:rPr>
                <w:sz w:val="20"/>
                <w:szCs w:val="20"/>
                <w:color w:val="auto"/>
              </w:rPr>
            </w:pPr>
            <w:r>
              <w:rPr>
                <w:rFonts w:ascii="Arial" w:cs="Arial" w:eastAsia="Arial" w:hAnsi="Arial"/>
                <w:sz w:val="18"/>
                <w:szCs w:val="18"/>
                <w:color w:val="auto"/>
              </w:rPr>
              <w:t>Cash down payment received from asset sale</w:t>
            </w:r>
          </w:p>
        </w:tc>
        <w:tc>
          <w:tcPr>
            <w:tcW w:w="172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20,618</w:t>
            </w:r>
          </w:p>
        </w:tc>
      </w:tr>
      <w:tr>
        <w:trPr>
          <w:trHeight w:val="202"/>
        </w:trPr>
        <w:tc>
          <w:tcPr>
            <w:tcW w:w="53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Notes receivable (par value $82,471, net of $4,531 discount)</w:t>
            </w:r>
          </w:p>
        </w:tc>
        <w:tc>
          <w:tcPr>
            <w:tcW w:w="17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Discounted Cash</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36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Flows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Level 3</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77,940</w:t>
            </w:r>
          </w:p>
        </w:tc>
      </w:tr>
      <w:tr>
        <w:trPr>
          <w:trHeight w:val="223"/>
        </w:trPr>
        <w:tc>
          <w:tcPr>
            <w:tcW w:w="5360" w:type="dxa"/>
            <w:vAlign w:val="bottom"/>
          </w:tcPr>
          <w:p>
            <w:pPr>
              <w:ind w:left="600"/>
              <w:spacing w:after="0"/>
              <w:rPr>
                <w:sz w:val="20"/>
                <w:szCs w:val="20"/>
                <w:color w:val="auto"/>
              </w:rPr>
            </w:pPr>
            <w:r>
              <w:rPr>
                <w:rFonts w:ascii="Arial" w:cs="Arial" w:eastAsia="Arial" w:hAnsi="Arial"/>
                <w:sz w:val="18"/>
                <w:szCs w:val="18"/>
                <w:color w:val="auto"/>
              </w:rPr>
              <w:t>Total value of cash and notes receivable received</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98,558</w:t>
            </w:r>
          </w:p>
        </w:tc>
        <w:tc>
          <w:tcPr>
            <w:tcW w:w="100" w:type="dxa"/>
            <w:vAlign w:val="bottom"/>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Fair value of assets and equity instruments transferred in excess of cash</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notes received</w:t>
            </w: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44,344</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Transaction fees</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1,005</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Loss recognized on Fletcher transaction</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45,349</w:t>
            </w:r>
          </w:p>
        </w:tc>
      </w:tr>
      <w:tr>
        <w:trPr>
          <w:trHeight w:val="20"/>
        </w:trPr>
        <w:tc>
          <w:tcPr>
            <w:tcW w:w="5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spacing w:after="0" w:line="279" w:lineRule="auto"/>
        <w:rPr>
          <w:sz w:val="20"/>
          <w:szCs w:val="20"/>
          <w:color w:val="auto"/>
        </w:rPr>
      </w:pPr>
      <w:r>
        <w:rPr>
          <w:rFonts w:ascii="Arial" w:cs="Arial" w:eastAsia="Arial" w:hAnsi="Arial"/>
          <w:sz w:val="17"/>
          <w:szCs w:val="17"/>
          <w:color w:val="auto"/>
        </w:rPr>
        <w:t>The $17.6 million value of the warrant to purchase $30 million in common stock was determined as of April 1, 2010, the date the terms were agreed to. The following modeling assumptions were used: dividend yield — 0%; risk-free interest rate — 3.89%; current stock price — $23.85; term — 9 years; and volatility — 33%. Although most of the modeling assumptions were based on observable data, because of the subjectivity involved in estimating expected volatility, the valuation is considered Level 3.</w:t>
      </w:r>
    </w:p>
    <w:p>
      <w:pPr>
        <w:spacing w:after="0" w:line="131"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The $22.2 million value of the option to purchase convertible preferred stock and warrant was determined by an independent valuation firm using a Monte Carlo Simulation method appropriate for valuing complex securities with derivatives. The model uses 50,000 simulations of daily stock price paths using geometric Brownian motion and incorporates in a unified way all conversion, exercise and contingency conditions. Because of the significant assumptions involved in the valuation process, not all of which were based on observable data, the valuation is considered to be Level 3.</w:t>
      </w:r>
    </w:p>
    <w:p>
      <w:pPr>
        <w:spacing w:after="0" w:line="146"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$103 million of nonperforming assets sold were transferred at United’s carrying amount which had previously been written down to appraised value. Because the appraisals were based on sales of similar assets (observable data), the valuation is considered to be Level 2.</w:t>
      </w:r>
    </w:p>
    <w:p>
      <w:pPr>
        <w:spacing w:after="0" w:line="141"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The $82.5 million of notes receivable were recorded at their estimated fair value of $77.9 million, net of a $4.5 million interest discount, which was determined based on discounted expected cash flows over the term at a rate commensurate with the credit risk inherent in the notes. The contractual rate on the notes is fixed at 3.5% for five years. The discount rate used for purposes of determining the fair value of the notes was 5.48% based on the terms, structure and risk profile of the notes. Note prepayments were estimated based on the expected marketing time for the underlying collateral since the notes require that principal be reduced as the underlying assets are sold. The valuation is considered Level 3 due to estimated prepayments which have a significant impact on the value and are not based on observable data.</w:t>
      </w: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14 — Assets and Liabilities Measured at Fair Value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89" w:lineRule="exact"/>
        <w:rPr>
          <w:sz w:val="20"/>
          <w:szCs w:val="20"/>
          <w:color w:val="auto"/>
        </w:rPr>
      </w:pPr>
    </w:p>
    <w:p>
      <w:pPr>
        <w:ind w:left="340" w:right="179"/>
        <w:spacing w:after="0" w:line="342" w:lineRule="auto"/>
        <w:rPr>
          <w:sz w:val="20"/>
          <w:szCs w:val="20"/>
          <w:color w:val="auto"/>
        </w:rPr>
      </w:pPr>
      <w:r>
        <w:rPr>
          <w:rFonts w:ascii="Arial" w:cs="Arial" w:eastAsia="Arial" w:hAnsi="Arial"/>
          <w:sz w:val="16"/>
          <w:szCs w:val="16"/>
          <w:color w:val="auto"/>
        </w:rPr>
        <w:t xml:space="preserve">The table below presents United’s assets and liabilities measured at fair value on a recurring basis as of June 30, 2011, December 31, 2010 and June, 2010, aggregated by the level in the fair value hierarchy within which those measurements fall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2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June 30, 2011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8"/>
              </w:rPr>
              <w:t>Level 2</w:t>
            </w:r>
          </w:p>
        </w:tc>
        <w:tc>
          <w:tcPr>
            <w:tcW w:w="16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Level 3</w:t>
            </w:r>
          </w:p>
        </w:tc>
        <w:tc>
          <w:tcPr>
            <w:tcW w:w="16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Securities available for sale: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Government agencies</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77,477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77,477</w:t>
            </w:r>
          </w:p>
        </w:tc>
        <w:tc>
          <w:tcPr>
            <w:tcW w:w="0" w:type="dxa"/>
            <w:vAlign w:val="bottom"/>
          </w:tcPr>
          <w:p>
            <w:pPr>
              <w:spacing w:after="0"/>
              <w:rPr>
                <w:sz w:val="1"/>
                <w:szCs w:val="1"/>
                <w:color w:val="auto"/>
              </w:rPr>
            </w:pPr>
          </w:p>
        </w:tc>
      </w:tr>
      <w:tr>
        <w:trPr>
          <w:trHeight w:val="216"/>
        </w:trPr>
        <w:tc>
          <w:tcPr>
            <w:tcW w:w="4280" w:type="dxa"/>
            <w:vAlign w:val="bottom"/>
          </w:tcPr>
          <w:p>
            <w:pPr>
              <w:ind w:left="400"/>
              <w:spacing w:after="0"/>
              <w:rPr>
                <w:sz w:val="20"/>
                <w:szCs w:val="20"/>
                <w:color w:val="auto"/>
              </w:rPr>
            </w:pPr>
            <w:r>
              <w:rPr>
                <w:rFonts w:ascii="Arial" w:cs="Arial" w:eastAsia="Arial" w:hAnsi="Arial"/>
                <w:sz w:val="18"/>
                <w:szCs w:val="18"/>
                <w:color w:val="auto"/>
              </w:rPr>
              <w:t>State and political subdivisions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26,772</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26,772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Mortgage-backed securities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1,588,489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4,129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1,592,618</w:t>
            </w:r>
          </w:p>
        </w:tc>
        <w:tc>
          <w:tcPr>
            <w:tcW w:w="0" w:type="dxa"/>
            <w:vAlign w:val="bottom"/>
          </w:tcPr>
          <w:p>
            <w:pPr>
              <w:spacing w:after="0"/>
              <w:rPr>
                <w:sz w:val="1"/>
                <w:szCs w:val="1"/>
                <w:color w:val="auto"/>
              </w:rPr>
            </w:pPr>
          </w:p>
        </w:tc>
      </w:tr>
      <w:tr>
        <w:trPr>
          <w:trHeight w:val="216"/>
        </w:trPr>
        <w:tc>
          <w:tcPr>
            <w:tcW w:w="4280" w:type="dxa"/>
            <w:vAlign w:val="bottom"/>
          </w:tcPr>
          <w:p>
            <w:pPr>
              <w:ind w:left="4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119,396</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119,746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1,812,134</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4,479</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1,819,638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Deferred compensation plan liability</w:t>
            </w: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3,025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80" w:type="dxa"/>
            <w:vAlign w:val="bottom"/>
          </w:tcPr>
          <w:p>
            <w:pPr>
              <w:spacing w:after="0"/>
              <w:rPr>
                <w:sz w:val="20"/>
                <w:szCs w:val="20"/>
                <w:color w:val="auto"/>
              </w:rPr>
            </w:pPr>
            <w:r>
              <w:rPr>
                <w:rFonts w:ascii="Arial" w:cs="Arial" w:eastAsia="Arial" w:hAnsi="Arial"/>
                <w:sz w:val="18"/>
                <w:szCs w:val="18"/>
                <w:b w:val="1"/>
                <w:bCs w:val="1"/>
                <w:color w:val="auto"/>
              </w:rPr>
              <w:t>December 31, 2010</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8"/>
              </w:rPr>
              <w:t>Level 2</w:t>
            </w:r>
          </w:p>
        </w:tc>
        <w:tc>
          <w:tcPr>
            <w:tcW w:w="160" w:type="dxa"/>
            <w:vAlign w:val="bottom"/>
          </w:tcPr>
          <w:p>
            <w:pPr>
              <w:spacing w:after="0"/>
              <w:rPr>
                <w:sz w:val="24"/>
                <w:szCs w:val="2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Level 3</w:t>
            </w:r>
          </w:p>
        </w:tc>
        <w:tc>
          <w:tcPr>
            <w:tcW w:w="160" w:type="dxa"/>
            <w:vAlign w:val="bottom"/>
          </w:tcPr>
          <w:p>
            <w:pPr>
              <w:spacing w:after="0"/>
              <w:rPr>
                <w:sz w:val="24"/>
                <w:szCs w:val="2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Securities available for sale: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Government agencies</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98,480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98,480</w:t>
            </w:r>
          </w:p>
        </w:tc>
        <w:tc>
          <w:tcPr>
            <w:tcW w:w="0" w:type="dxa"/>
            <w:vAlign w:val="bottom"/>
          </w:tcPr>
          <w:p>
            <w:pPr>
              <w:spacing w:after="0"/>
              <w:rPr>
                <w:sz w:val="1"/>
                <w:szCs w:val="1"/>
                <w:color w:val="auto"/>
              </w:rPr>
            </w:pPr>
          </w:p>
        </w:tc>
      </w:tr>
      <w:tr>
        <w:trPr>
          <w:trHeight w:val="216"/>
        </w:trPr>
        <w:tc>
          <w:tcPr>
            <w:tcW w:w="4280" w:type="dxa"/>
            <w:vAlign w:val="bottom"/>
          </w:tcPr>
          <w:p>
            <w:pPr>
              <w:ind w:left="400"/>
              <w:spacing w:after="0"/>
              <w:rPr>
                <w:sz w:val="20"/>
                <w:szCs w:val="20"/>
                <w:color w:val="auto"/>
              </w:rPr>
            </w:pPr>
            <w:r>
              <w:rPr>
                <w:rFonts w:ascii="Arial" w:cs="Arial" w:eastAsia="Arial" w:hAnsi="Arial"/>
                <w:sz w:val="18"/>
                <w:szCs w:val="18"/>
                <w:color w:val="auto"/>
              </w:rPr>
              <w:t>State and political subdivisions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28,442</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28,442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Mortgage-backed securities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986,074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4,934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991,008</w:t>
            </w:r>
          </w:p>
        </w:tc>
        <w:tc>
          <w:tcPr>
            <w:tcW w:w="0" w:type="dxa"/>
            <w:vAlign w:val="bottom"/>
          </w:tcPr>
          <w:p>
            <w:pPr>
              <w:spacing w:after="0"/>
              <w:rPr>
                <w:sz w:val="1"/>
                <w:szCs w:val="1"/>
                <w:color w:val="auto"/>
              </w:rPr>
            </w:pPr>
          </w:p>
        </w:tc>
      </w:tr>
      <w:tr>
        <w:trPr>
          <w:trHeight w:val="216"/>
        </w:trPr>
        <w:tc>
          <w:tcPr>
            <w:tcW w:w="4280" w:type="dxa"/>
            <w:vAlign w:val="bottom"/>
          </w:tcPr>
          <w:p>
            <w:pPr>
              <w:ind w:left="4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106,137</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106,487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1,219,133</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5,284</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1,227,669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Deferred compensation plan liability</w:t>
            </w: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3,252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80" w:type="dxa"/>
            <w:vAlign w:val="bottom"/>
          </w:tcPr>
          <w:p>
            <w:pPr>
              <w:spacing w:after="0"/>
              <w:rPr>
                <w:sz w:val="20"/>
                <w:szCs w:val="20"/>
                <w:color w:val="auto"/>
              </w:rPr>
            </w:pPr>
            <w:r>
              <w:rPr>
                <w:rFonts w:ascii="Arial" w:cs="Arial" w:eastAsia="Arial" w:hAnsi="Arial"/>
                <w:sz w:val="18"/>
                <w:szCs w:val="18"/>
                <w:b w:val="1"/>
                <w:bCs w:val="1"/>
                <w:color w:val="auto"/>
              </w:rPr>
              <w:t>June 30, 2010</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8"/>
              </w:rPr>
              <w:t>Level 2</w:t>
            </w:r>
          </w:p>
        </w:tc>
        <w:tc>
          <w:tcPr>
            <w:tcW w:w="160" w:type="dxa"/>
            <w:vAlign w:val="bottom"/>
          </w:tcPr>
          <w:p>
            <w:pPr>
              <w:spacing w:after="0"/>
              <w:rPr>
                <w:sz w:val="24"/>
                <w:szCs w:val="2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Level 3</w:t>
            </w:r>
          </w:p>
        </w:tc>
        <w:tc>
          <w:tcPr>
            <w:tcW w:w="160" w:type="dxa"/>
            <w:vAlign w:val="bottom"/>
          </w:tcPr>
          <w:p>
            <w:pPr>
              <w:spacing w:after="0"/>
              <w:rPr>
                <w:sz w:val="24"/>
                <w:szCs w:val="2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Securities available for sale: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 Government agencies</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179,172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38,523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217,695</w:t>
            </w:r>
          </w:p>
        </w:tc>
        <w:tc>
          <w:tcPr>
            <w:tcW w:w="0" w:type="dxa"/>
            <w:vAlign w:val="bottom"/>
          </w:tcPr>
          <w:p>
            <w:pPr>
              <w:spacing w:after="0"/>
              <w:rPr>
                <w:sz w:val="1"/>
                <w:szCs w:val="1"/>
                <w:color w:val="auto"/>
              </w:rPr>
            </w:pPr>
          </w:p>
        </w:tc>
      </w:tr>
      <w:tr>
        <w:trPr>
          <w:trHeight w:val="216"/>
        </w:trPr>
        <w:tc>
          <w:tcPr>
            <w:tcW w:w="4280" w:type="dxa"/>
            <w:vAlign w:val="bottom"/>
          </w:tcPr>
          <w:p>
            <w:pPr>
              <w:ind w:left="400"/>
              <w:spacing w:after="0"/>
              <w:rPr>
                <w:sz w:val="20"/>
                <w:szCs w:val="20"/>
                <w:color w:val="auto"/>
              </w:rPr>
            </w:pPr>
            <w:r>
              <w:rPr>
                <w:rFonts w:ascii="Arial" w:cs="Arial" w:eastAsia="Arial" w:hAnsi="Arial"/>
                <w:sz w:val="18"/>
                <w:szCs w:val="18"/>
                <w:color w:val="auto"/>
              </w:rPr>
              <w:t>State and political subdivisions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33,985</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33,985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Mortgage-backed securities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884,514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16,254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900,768</w:t>
            </w:r>
          </w:p>
        </w:tc>
        <w:tc>
          <w:tcPr>
            <w:tcW w:w="0" w:type="dxa"/>
            <w:vAlign w:val="bottom"/>
          </w:tcPr>
          <w:p>
            <w:pPr>
              <w:spacing w:after="0"/>
              <w:rPr>
                <w:sz w:val="1"/>
                <w:szCs w:val="1"/>
                <w:color w:val="auto"/>
              </w:rPr>
            </w:pPr>
          </w:p>
        </w:tc>
      </w:tr>
      <w:tr>
        <w:trPr>
          <w:trHeight w:val="216"/>
        </w:trPr>
        <w:tc>
          <w:tcPr>
            <w:tcW w:w="4280" w:type="dxa"/>
            <w:vAlign w:val="bottom"/>
          </w:tcPr>
          <w:p>
            <w:pPr>
              <w:ind w:left="4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12,278</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13,328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Derivative financial instruments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1,167</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1,111,116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55,827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1,169,644</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liability</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17474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included in earnings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Paydowns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17474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June 30, 2011</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Assets and Liabilities Measured at Fair Value on a Nonrecurring Basis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258"/>
        <w:spacing w:after="0"/>
        <w:rPr>
          <w:sz w:val="20"/>
          <w:szCs w:val="20"/>
          <w:color w:val="auto"/>
        </w:rPr>
      </w:pPr>
      <w:r>
        <w:rPr>
          <w:rFonts w:ascii="Arial" w:cs="Arial" w:eastAsia="Arial" w:hAnsi="Arial"/>
          <w:sz w:val="18"/>
          <w:szCs w:val="18"/>
          <w:color w:val="auto"/>
        </w:rPr>
        <w:t>Securities</w:t>
      </w:r>
    </w:p>
    <w:p>
      <w:pPr>
        <w:spacing w:after="0" w:line="23" w:lineRule="exact"/>
        <w:rPr>
          <w:sz w:val="20"/>
          <w:szCs w:val="20"/>
          <w:color w:val="auto"/>
        </w:rPr>
      </w:pPr>
    </w:p>
    <w:p>
      <w:pPr>
        <w:jc w:val="center"/>
        <w:ind w:right="238"/>
        <w:spacing w:after="0"/>
        <w:rPr>
          <w:sz w:val="20"/>
          <w:szCs w:val="20"/>
          <w:color w:val="auto"/>
        </w:rPr>
      </w:pPr>
      <w:r>
        <w:rPr>
          <w:rFonts w:ascii="Arial" w:cs="Arial" w:eastAsia="Arial" w:hAnsi="Arial"/>
          <w:sz w:val="16"/>
          <w:szCs w:val="16"/>
          <w:u w:val="single" w:color="auto"/>
          <w:color w:val="auto"/>
        </w:rPr>
        <w:t>Available for Sale</w:t>
      </w:r>
    </w:p>
    <w:p>
      <w:pPr>
        <w:spacing w:after="0" w:line="32" w:lineRule="exact"/>
        <w:rPr>
          <w:sz w:val="20"/>
          <w:szCs w:val="20"/>
          <w:color w:val="auto"/>
        </w:rPr>
      </w:pPr>
    </w:p>
    <w:p>
      <w:pPr>
        <w:ind w:left="882" w:hanging="882"/>
        <w:spacing w:after="0"/>
        <w:tabs>
          <w:tab w:leader="none" w:pos="882" w:val="left"/>
        </w:tabs>
        <w:numPr>
          <w:ilvl w:val="0"/>
          <w:numId w:val="5"/>
        </w:numPr>
        <w:rPr>
          <w:rFonts w:ascii="Arial" w:cs="Arial" w:eastAsia="Arial" w:hAnsi="Arial"/>
          <w:sz w:val="18"/>
          <w:szCs w:val="18"/>
          <w:color w:val="auto"/>
        </w:rPr>
      </w:pPr>
      <w:r>
        <w:rPr>
          <w:rFonts w:ascii="Arial" w:cs="Arial" w:eastAsia="Arial" w:hAnsi="Arial"/>
          <w:sz w:val="18"/>
          <w:szCs w:val="18"/>
          <w:color w:val="auto"/>
        </w:rPr>
        <w:t>5,284</w:t>
      </w:r>
    </w:p>
    <w:p>
      <w:pPr>
        <w:spacing w:after="0" w:line="22" w:lineRule="exact"/>
        <w:rPr>
          <w:rFonts w:ascii="Arial" w:cs="Arial" w:eastAsia="Arial" w:hAnsi="Arial"/>
          <w:sz w:val="18"/>
          <w:szCs w:val="18"/>
          <w:color w:val="auto"/>
        </w:rPr>
      </w:pPr>
    </w:p>
    <w:p>
      <w:pPr>
        <w:ind w:left="1042"/>
        <w:spacing w:after="0"/>
        <w:rPr>
          <w:rFonts w:ascii="Arial" w:cs="Arial" w:eastAsia="Arial" w:hAnsi="Arial"/>
          <w:sz w:val="18"/>
          <w:szCs w:val="18"/>
          <w:color w:val="auto"/>
        </w:rPr>
      </w:pPr>
      <w:r>
        <w:rPr>
          <w:rFonts w:ascii="Arial" w:cs="Arial" w:eastAsia="Arial" w:hAnsi="Arial"/>
          <w:sz w:val="16"/>
          <w:szCs w:val="16"/>
          <w:color w:val="auto"/>
        </w:rPr>
        <w:t>(13)</w:t>
      </w:r>
    </w:p>
    <w:p>
      <w:pPr>
        <w:spacing w:after="0" w:line="32"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8147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18" w:lineRule="exact"/>
        <w:rPr>
          <w:sz w:val="20"/>
          <w:szCs w:val="20"/>
          <w:color w:val="auto"/>
        </w:rPr>
      </w:pPr>
    </w:p>
    <w:p>
      <w:pPr>
        <w:ind w:left="882" w:hanging="882"/>
        <w:spacing w:after="0"/>
        <w:tabs>
          <w:tab w:leader="none" w:pos="882" w:val="left"/>
        </w:tabs>
        <w:numPr>
          <w:ilvl w:val="0"/>
          <w:numId w:val="6"/>
        </w:numPr>
        <w:rPr>
          <w:rFonts w:ascii="Arial" w:cs="Arial" w:eastAsia="Arial" w:hAnsi="Arial"/>
          <w:sz w:val="18"/>
          <w:szCs w:val="18"/>
          <w:color w:val="auto"/>
        </w:rPr>
      </w:pPr>
      <w:r>
        <w:rPr>
          <w:rFonts w:ascii="Arial" w:cs="Arial" w:eastAsia="Arial" w:hAnsi="Arial"/>
          <w:sz w:val="18"/>
          <w:szCs w:val="18"/>
          <w:color w:val="auto"/>
        </w:rPr>
        <w:t>4,479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147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8147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618" w:lineRule="exact"/>
        <w:rPr>
          <w:sz w:val="20"/>
          <w:szCs w:val="20"/>
          <w:color w:val="auto"/>
        </w:rPr>
      </w:pPr>
    </w:p>
    <w:p>
      <w:pPr>
        <w:sectPr>
          <w:pgSz w:w="11900" w:h="16838" w:orient="portrait"/>
          <w:cols w:equalWidth="0" w:num="2">
            <w:col w:w="7958" w:space="720"/>
            <w:col w:w="1541"/>
          </w:cols>
          <w:pgMar w:left="240" w:top="419" w:right="1440" w:bottom="1440" w:gutter="0" w:footer="0" w:header="0"/>
          <w:type w:val="continuous"/>
        </w:sectPr>
      </w:pPr>
    </w:p>
    <w:p>
      <w:pPr>
        <w:spacing w:after="0" w:line="12"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 xml:space="preserve">United may be required, from time to time, to measure certain assets at fair value on a nonrecurring basis. These include assets that are measured at the lower of cost or market that were recognized at fair value below cost at the end of the period. The table below presents United’s assets and liabilities measured at fair value on a nonrecurring basis as of June 30, 2011, December 31, 2010 and June 30, 2010, aggregated by the level in the fair value hierarchy within which those measurements fall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Level 3</w:t>
            </w:r>
          </w:p>
        </w:tc>
        <w:tc>
          <w:tcPr>
            <w:tcW w:w="18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2011</w:t>
            </w:r>
          </w:p>
        </w:tc>
        <w:tc>
          <w:tcPr>
            <w:tcW w:w="4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w:t>
            </w:r>
          </w:p>
        </w:tc>
        <w:tc>
          <w:tcPr>
            <w:tcW w:w="11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27,810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27,810</w:t>
            </w:r>
          </w:p>
        </w:tc>
        <w:tc>
          <w:tcPr>
            <w:tcW w:w="0" w:type="dxa"/>
            <w:vAlign w:val="bottom"/>
          </w:tcPr>
          <w:p>
            <w:pPr>
              <w:spacing w:after="0"/>
              <w:rPr>
                <w:sz w:val="1"/>
                <w:szCs w:val="1"/>
                <w:color w:val="auto"/>
              </w:rPr>
            </w:pPr>
          </w:p>
        </w:tc>
      </w:tr>
      <w:tr>
        <w:trPr>
          <w:trHeight w:val="216"/>
        </w:trPr>
        <w:tc>
          <w:tcPr>
            <w:tcW w:w="4180" w:type="dxa"/>
            <w:vAlign w:val="bottom"/>
          </w:tcPr>
          <w:p>
            <w:pPr>
              <w:ind w:left="200"/>
              <w:spacing w:after="0"/>
              <w:rPr>
                <w:sz w:val="20"/>
                <w:szCs w:val="20"/>
                <w:color w:val="auto"/>
              </w:rPr>
            </w:pPr>
            <w:r>
              <w:rPr>
                <w:rFonts w:ascii="Arial" w:cs="Arial" w:eastAsia="Arial" w:hAnsi="Arial"/>
                <w:sz w:val="18"/>
                <w:szCs w:val="18"/>
                <w:color w:val="auto"/>
              </w:rPr>
              <w:t>Foreclosed properties</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41,922</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41,922</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69,732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69,732</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2010</w:t>
            </w: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0"/>
              <w:spacing w:after="0"/>
              <w:rPr>
                <w:sz w:val="20"/>
                <w:szCs w:val="20"/>
                <w:color w:val="auto"/>
              </w:rPr>
            </w:pPr>
            <w:r>
              <w:rPr>
                <w:rFonts w:ascii="Arial" w:cs="Arial" w:eastAsia="Arial" w:hAnsi="Arial"/>
                <w:sz w:val="18"/>
                <w:szCs w:val="18"/>
                <w:color w:val="auto"/>
              </w:rPr>
              <w:t>Loans</w:t>
            </w:r>
          </w:p>
        </w:tc>
        <w:tc>
          <w:tcPr>
            <w:tcW w:w="118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106,904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106,904</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Foreclosed properties</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85,072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85,072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191,976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191,976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2010</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w:t>
            </w:r>
          </w:p>
        </w:tc>
        <w:tc>
          <w:tcPr>
            <w:tcW w:w="11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140,807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140,807</w:t>
            </w:r>
          </w:p>
        </w:tc>
        <w:tc>
          <w:tcPr>
            <w:tcW w:w="0" w:type="dxa"/>
            <w:vAlign w:val="bottom"/>
          </w:tcPr>
          <w:p>
            <w:pPr>
              <w:spacing w:after="0"/>
              <w:rPr>
                <w:sz w:val="1"/>
                <w:szCs w:val="1"/>
                <w:color w:val="auto"/>
              </w:rPr>
            </w:pPr>
          </w:p>
        </w:tc>
      </w:tr>
      <w:tr>
        <w:trPr>
          <w:trHeight w:val="216"/>
        </w:trPr>
        <w:tc>
          <w:tcPr>
            <w:tcW w:w="4180" w:type="dxa"/>
            <w:vAlign w:val="bottom"/>
          </w:tcPr>
          <w:p>
            <w:pPr>
              <w:ind w:left="200"/>
              <w:spacing w:after="0"/>
              <w:rPr>
                <w:sz w:val="20"/>
                <w:szCs w:val="20"/>
                <w:color w:val="auto"/>
              </w:rPr>
            </w:pPr>
            <w:r>
              <w:rPr>
                <w:rFonts w:ascii="Arial" w:cs="Arial" w:eastAsia="Arial" w:hAnsi="Arial"/>
                <w:sz w:val="18"/>
                <w:szCs w:val="18"/>
                <w:color w:val="auto"/>
              </w:rPr>
              <w:t>Foreclosed properties</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70,686</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70,686</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211,493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211,493</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w w:val="99"/>
              </w:rPr>
              <w:t>Assets and Liabilities Not Measured at Fair Value</w:t>
            </w: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24"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federal funds purchased, repurchase agreements and other short-term borrowings. The fair value of securities available for sale equals the balance sheet value. As of June 30, 2010 the fair value of interest rate contracts used for balance sheet management was an asset of approximately $1.17 million. United did not have any active derivative contracts outstanding at June 30, 2011 or December 31, 2010.</w:t>
      </w:r>
    </w:p>
    <w:p>
      <w:pPr>
        <w:sectPr>
          <w:pgSz w:w="11900" w:h="16838" w:orient="portrait"/>
          <w:cols w:equalWidth="0" w:num="1">
            <w:col w:w="10219"/>
          </w:cols>
          <w:pgMar w:left="240" w:top="419" w:right="1440"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118"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significant effect on fair value estimates and have not been considered in the estimates.</w:t>
      </w:r>
    </w:p>
    <w:p>
      <w:pPr>
        <w:spacing w:after="0" w:line="118" w:lineRule="exact"/>
        <w:rPr>
          <w:sz w:val="20"/>
          <w:szCs w:val="20"/>
          <w:color w:val="auto"/>
        </w:rPr>
      </w:pPr>
    </w:p>
    <w:p>
      <w:pPr>
        <w:jc w:val="both"/>
        <w:ind w:left="340" w:right="179"/>
        <w:spacing w:after="0" w:line="342" w:lineRule="auto"/>
        <w:rPr>
          <w:sz w:val="20"/>
          <w:szCs w:val="20"/>
          <w:color w:val="auto"/>
        </w:rPr>
      </w:pPr>
      <w:r>
        <w:rPr>
          <w:rFonts w:ascii="Arial" w:cs="Arial" w:eastAsia="Arial" w:hAnsi="Arial"/>
          <w:sz w:val="16"/>
          <w:szCs w:val="16"/>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97"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 xml:space="preserve">The carrying amount and fair values for other financial instruments that are not measured at fair value in United’s balance sheet at June 30, 2011, December 31, 2010, and June 30, 2010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8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June 30, 2011</w:t>
            </w:r>
          </w:p>
        </w:tc>
        <w:tc>
          <w:tcPr>
            <w:tcW w:w="23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December 31, 2010</w:t>
            </w:r>
          </w:p>
        </w:tc>
        <w:tc>
          <w:tcPr>
            <w:tcW w:w="212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June 30, 2010</w:t>
            </w:r>
          </w:p>
        </w:tc>
      </w:tr>
      <w:tr>
        <w:trPr>
          <w:trHeight w:val="191"/>
        </w:trPr>
        <w:tc>
          <w:tcPr>
            <w:tcW w:w="2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4"/>
              </w:rPr>
              <w:t>Carrying</w:t>
            </w:r>
          </w:p>
        </w:tc>
        <w:tc>
          <w:tcPr>
            <w:tcW w:w="82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7"/>
              </w:rPr>
              <w:t>Carrying</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7"/>
              </w:rPr>
              <w:t>Carrying</w:t>
            </w: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Fair Value</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Fair Value</w:t>
            </w: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80" w:type="dxa"/>
            <w:vAlign w:val="bottom"/>
          </w:tcPr>
          <w:p>
            <w:pPr>
              <w:ind w:left="200"/>
              <w:spacing w:after="0"/>
              <w:rPr>
                <w:sz w:val="20"/>
                <w:szCs w:val="20"/>
                <w:color w:val="auto"/>
              </w:rPr>
            </w:pPr>
            <w:r>
              <w:rPr>
                <w:rFonts w:ascii="Arial" w:cs="Arial" w:eastAsia="Arial" w:hAnsi="Arial"/>
                <w:sz w:val="18"/>
                <w:szCs w:val="18"/>
                <w:color w:val="auto"/>
              </w:rPr>
              <w:t>Securities held to maturity</w:t>
            </w:r>
          </w:p>
        </w:tc>
        <w:tc>
          <w:tcPr>
            <w:tcW w:w="1560" w:type="dxa"/>
            <w:vAlign w:val="bottom"/>
            <w:gridSpan w:val="3"/>
          </w:tcPr>
          <w:p>
            <w:pPr>
              <w:jc w:val="right"/>
              <w:ind w:right="360"/>
              <w:spacing w:after="0"/>
              <w:rPr>
                <w:sz w:val="20"/>
                <w:szCs w:val="20"/>
                <w:color w:val="auto"/>
              </w:rPr>
            </w:pPr>
            <w:r>
              <w:rPr>
                <w:rFonts w:ascii="Arial" w:cs="Arial" w:eastAsia="Arial" w:hAnsi="Arial"/>
                <w:sz w:val="18"/>
                <w:szCs w:val="18"/>
                <w:color w:val="auto"/>
              </w:rPr>
              <w:t>$  371,578</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  379,231</w:t>
            </w:r>
          </w:p>
        </w:tc>
        <w:tc>
          <w:tcPr>
            <w:tcW w:w="820" w:type="dxa"/>
            <w:vAlign w:val="bottom"/>
          </w:tcPr>
          <w:p>
            <w:pPr>
              <w:jc w:val="right"/>
              <w:spacing w:after="0"/>
              <w:rPr>
                <w:sz w:val="20"/>
                <w:szCs w:val="20"/>
                <w:color w:val="auto"/>
              </w:rPr>
            </w:pPr>
            <w:r>
              <w:rPr>
                <w:rFonts w:ascii="Arial" w:cs="Arial" w:eastAsia="Arial" w:hAnsi="Arial"/>
                <w:sz w:val="18"/>
                <w:szCs w:val="18"/>
                <w:color w:val="auto"/>
                <w:w w:val="93"/>
              </w:rPr>
              <w:t>$  265,807</w:t>
            </w:r>
          </w:p>
        </w:tc>
        <w:tc>
          <w:tcPr>
            <w:tcW w:w="180" w:type="dxa"/>
            <w:vAlign w:val="bottom"/>
          </w:tcPr>
          <w:p>
            <w:pPr>
              <w:spacing w:after="0"/>
              <w:rPr>
                <w:sz w:val="18"/>
                <w:szCs w:val="18"/>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  267,988</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  322,148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327,497</w:t>
            </w:r>
          </w:p>
        </w:tc>
      </w:tr>
      <w:tr>
        <w:trPr>
          <w:trHeight w:val="216"/>
        </w:trPr>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net</w:t>
            </w:r>
          </w:p>
        </w:tc>
        <w:tc>
          <w:tcPr>
            <w:tcW w:w="1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4,035,809</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3,889,669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4,429,431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4,196,142</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4,698,919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4,407,376</w:t>
            </w: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rPr>
              <w:t>Liabilities:</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1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6,183,215</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6,174,117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6,469,172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6,481,867</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6,329,512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6,350,449</w:t>
            </w:r>
          </w:p>
        </w:tc>
      </w:tr>
      <w:tr>
        <w:trPr>
          <w:trHeight w:val="202"/>
        </w:trPr>
        <w:tc>
          <w:tcPr>
            <w:tcW w:w="2480" w:type="dxa"/>
            <w:vAlign w:val="bottom"/>
          </w:tcPr>
          <w:p>
            <w:pPr>
              <w:ind w:left="200"/>
              <w:spacing w:after="0" w:line="201" w:lineRule="exact"/>
              <w:rPr>
                <w:sz w:val="20"/>
                <w:szCs w:val="20"/>
                <w:color w:val="auto"/>
              </w:rPr>
            </w:pPr>
            <w:r>
              <w:rPr>
                <w:rFonts w:ascii="Arial" w:cs="Arial" w:eastAsia="Arial" w:hAnsi="Arial"/>
                <w:sz w:val="18"/>
                <w:szCs w:val="18"/>
                <w:color w:val="auto"/>
              </w:rPr>
              <w:t>Federal Home Loan Bank</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480" w:type="dxa"/>
            <w:vAlign w:val="bottom"/>
          </w:tcPr>
          <w:p>
            <w:pPr>
              <w:ind w:left="400"/>
              <w:spacing w:after="0"/>
              <w:rPr>
                <w:sz w:val="20"/>
                <w:szCs w:val="20"/>
                <w:color w:val="auto"/>
              </w:rPr>
            </w:pPr>
            <w:r>
              <w:rPr>
                <w:rFonts w:ascii="Arial" w:cs="Arial" w:eastAsia="Arial" w:hAnsi="Arial"/>
                <w:sz w:val="18"/>
                <w:szCs w:val="18"/>
                <w:color w:val="auto"/>
              </w:rPr>
              <w:t>advances</w:t>
            </w:r>
          </w:p>
        </w:tc>
        <w:tc>
          <w:tcPr>
            <w:tcW w:w="1560" w:type="dxa"/>
            <w:vAlign w:val="bottom"/>
            <w:gridSpan w:val="3"/>
          </w:tcPr>
          <w:p>
            <w:pPr>
              <w:jc w:val="right"/>
              <w:ind w:right="360"/>
              <w:spacing w:after="0"/>
              <w:rPr>
                <w:sz w:val="20"/>
                <w:szCs w:val="20"/>
                <w:color w:val="auto"/>
              </w:rPr>
            </w:pPr>
            <w:r>
              <w:rPr>
                <w:rFonts w:ascii="Arial" w:cs="Arial" w:eastAsia="Arial" w:hAnsi="Arial"/>
                <w:sz w:val="18"/>
                <w:szCs w:val="18"/>
                <w:color w:val="auto"/>
              </w:rPr>
              <w:t>40,625</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43,763</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55,125</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59,498</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104,138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110,964</w:t>
            </w:r>
          </w:p>
        </w:tc>
      </w:tr>
      <w:tr>
        <w:trPr>
          <w:trHeight w:val="216"/>
        </w:trPr>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150,186</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140,771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150,146</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93,536</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150,106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122,949</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15 — Bulk Sale of Loans</w:t>
      </w:r>
    </w:p>
    <w:p>
      <w:pPr>
        <w:spacing w:after="0" w:line="189"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On April 18, 2011, United completed the bulk sale of $80.6 million of loans that were reported as held for sale at March 31, 2011. The proceeds from the bulk sale were $87.9 million which resulted in a reduction of charge-offs in the second quarter of 2011.</w:t>
      </w: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as amended, (the “Securities Act”),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United and its subsidiaries. We caution our shareholders and other readers not to place undue reliance on such statements.</w:t>
      </w:r>
    </w:p>
    <w:p>
      <w:pPr>
        <w:spacing w:after="0" w:line="129"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our Annual Report on Form 10-K for the year ended December 31, 2010, as well as the following:</w:t>
      </w:r>
    </w:p>
    <w:p>
      <w:pPr>
        <w:spacing w:after="0" w:line="144" w:lineRule="exact"/>
        <w:rPr>
          <w:sz w:val="20"/>
          <w:szCs w:val="20"/>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maintain profitability;</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fully realize our deferred tax asset balances, including net operating loss carryforwards;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condition of the banking system and financial markets;</w:t>
      </w:r>
    </w:p>
    <w:p>
      <w:pPr>
        <w:spacing w:after="0" w:line="198" w:lineRule="exact"/>
        <w:rPr>
          <w:rFonts w:ascii="Arial" w:cs="Arial" w:eastAsia="Arial" w:hAnsi="Arial"/>
          <w:sz w:val="18"/>
          <w:szCs w:val="18"/>
          <w:b w:val="1"/>
          <w:bCs w:val="1"/>
          <w:color w:val="auto"/>
        </w:rPr>
      </w:pPr>
    </w:p>
    <w:p>
      <w:pPr>
        <w:ind w:left="1080" w:right="159" w:hanging="370"/>
        <w:spacing w:after="0" w:line="277"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results of our most recent internal credit stress test may not accurately predict the impact on our financial condition if the economy was to continue to deteriorate;</w:t>
      </w:r>
    </w:p>
    <w:p>
      <w:pPr>
        <w:spacing w:after="0" w:line="129"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raise capital as may be necessary;</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maintain liquidity or access other sources of funding;</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changes in the cost and availability of funding;</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success of the local economies in which we operate;</w:t>
      </w:r>
    </w:p>
    <w:p>
      <w:pPr>
        <w:spacing w:after="0" w:line="184" w:lineRule="exact"/>
        <w:rPr>
          <w:rFonts w:ascii="Arial" w:cs="Arial" w:eastAsia="Arial" w:hAnsi="Arial"/>
          <w:sz w:val="18"/>
          <w:szCs w:val="18"/>
          <w:b w:val="1"/>
          <w:bCs w:val="1"/>
          <w:color w:val="auto"/>
        </w:rPr>
      </w:pPr>
    </w:p>
    <w:p>
      <w:pPr>
        <w:ind w:left="1080" w:right="179" w:hanging="370"/>
        <w:spacing w:after="0" w:line="277"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spacing w:after="0" w:line="143"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changes in prevailing interest rates may negatively affect our net income and the value of our assets;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accounting and reporting policies of United;</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if our allowance for loan losses is not sufficient to cover actual loan losses;</w:t>
      </w:r>
    </w:p>
    <w:p>
      <w:pPr>
        <w:spacing w:after="0" w:line="198" w:lineRule="exact"/>
        <w:rPr>
          <w:rFonts w:ascii="Arial" w:cs="Arial" w:eastAsia="Arial" w:hAnsi="Arial"/>
          <w:sz w:val="18"/>
          <w:szCs w:val="18"/>
          <w:b w:val="1"/>
          <w:bCs w:val="1"/>
          <w:color w:val="auto"/>
        </w:rPr>
      </w:pPr>
    </w:p>
    <w:p>
      <w:pPr>
        <w:ind w:left="1080" w:right="159" w:hanging="370"/>
        <w:spacing w:after="0" w:line="277"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we may be subject to losses due to fraudulent and negligent conduct of our loan customers, third party service providers or employees;</w:t>
      </w:r>
    </w:p>
    <w:p>
      <w:pPr>
        <w:spacing w:after="0" w:line="129"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competition from financial institutions and other financial service providers;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United States Department of Treasury may change the terms of our Series B Preferred Stock;</w:t>
      </w:r>
    </w:p>
    <w:p>
      <w:pPr>
        <w:spacing w:after="0" w:line="198"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risks with respect to future expansion and acquisitions;</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conditions in the stock market, the public debt market and other capital markets deteriorate;</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the impact of the Dodd-Frank Act and related regulations and other changes in financial services laws and regulations;</w:t>
      </w:r>
    </w:p>
    <w:p>
      <w:pPr>
        <w:spacing w:after="0" w:line="209" w:lineRule="exact"/>
        <w:rPr>
          <w:rFonts w:ascii="Arial" w:cs="Arial" w:eastAsia="Arial" w:hAnsi="Arial"/>
          <w:sz w:val="17"/>
          <w:szCs w:val="17"/>
          <w:b w:val="1"/>
          <w:bCs w:val="1"/>
          <w:color w:val="auto"/>
        </w:rPr>
      </w:pPr>
    </w:p>
    <w:p>
      <w:pPr>
        <w:ind w:left="1080" w:hanging="370"/>
        <w:spacing w:after="0"/>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failure of other financial institutions;</w:t>
      </w:r>
    </w:p>
    <w:p>
      <w:pPr>
        <w:spacing w:after="0" w:line="184" w:lineRule="exact"/>
        <w:rPr>
          <w:rFonts w:ascii="Arial" w:cs="Arial" w:eastAsia="Arial" w:hAnsi="Arial"/>
          <w:sz w:val="18"/>
          <w:szCs w:val="18"/>
          <w:b w:val="1"/>
          <w:bCs w:val="1"/>
          <w:color w:val="auto"/>
        </w:rPr>
      </w:pPr>
    </w:p>
    <w:p>
      <w:pPr>
        <w:ind w:left="1080" w:right="179" w:hanging="370"/>
        <w:spacing w:after="0" w:line="277"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 special assessment that may be imposed by the Federal Deposit Insurance Corporation (“FDIC”) on all FDIC-insured institutions in the future, similar to the assessment in 2009 that decreased our earnings; and</w:t>
      </w:r>
    </w:p>
    <w:p>
      <w:pPr>
        <w:spacing w:after="0" w:line="129" w:lineRule="exact"/>
        <w:rPr>
          <w:rFonts w:ascii="Arial" w:cs="Arial" w:eastAsia="Arial" w:hAnsi="Arial"/>
          <w:sz w:val="18"/>
          <w:szCs w:val="18"/>
          <w:b w:val="1"/>
          <w:bCs w:val="1"/>
          <w:color w:val="auto"/>
        </w:rPr>
      </w:pPr>
    </w:p>
    <w:p>
      <w:pPr>
        <w:jc w:val="both"/>
        <w:ind w:left="1080" w:right="159" w:hanging="370"/>
        <w:spacing w:after="0" w:line="264"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regulatory or judicial proceedings, board resolutions, informal memorandums of understanding or formal enforcement actions imposed by regulators that occur, or any such proceedings or enforcement actions that is more severe than we anticipate.</w:t>
      </w:r>
    </w:p>
    <w:p>
      <w:pPr>
        <w:spacing w:after="0" w:line="154"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ectPr>
          <w:pgSz w:w="11900" w:h="16838" w:orient="portrait"/>
          <w:cols w:equalWidth="0" w:num="1">
            <w:col w:w="10219"/>
          </w:cols>
          <w:pgMar w:left="240" w:top="419" w:right="1440" w:bottom="77" w:gutter="0" w:footer="0" w:header="0"/>
        </w:sectPr>
      </w:pPr>
    </w:p>
    <w:bookmarkStart w:id="31" w:name="page32"/>
    <w:bookmarkEnd w:id="31"/>
    <w:p>
      <w:pPr>
        <w:jc w:val="both"/>
        <w:ind w:right="159"/>
        <w:spacing w:after="0" w:line="264"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Community Bank, Inc. (“United”) and its subsidiaries and should be read in conjunction with the consolidated financial statements and accompanying notes.</w:t>
      </w: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United is a bank holding company registered with the Federal Reserve under the Bank Holding Company Act of 1956 that was incorporated under the laws of the state of Georgia in 1987 and commenced operations in 1988. At June 30, 2011 United had total consolidated assets of $7.41 billion, total loans of $4.16 billion, excluding the loans acquired from Southern Community Bank (“SCB”) that are covered by loss sharing agreements and therefore have a different risk profile. United also had total deposits of $6.18 billion and stockholders’ equity of $860 million.</w:t>
      </w:r>
    </w:p>
    <w:p>
      <w:pPr>
        <w:spacing w:after="0" w:line="161"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United’s activities are primarily conducted by its wholly owned Georgia banking subsidiary (the “Bank”). The Bank operations are conducted under a community bank model that operates 27 “community banks” with local bank presidents and boards in north Georgia, the Atlanta-Sandy Springs-Marietta, Georgia metropolitan statistical area (the “Atlanta MSA”), the Gainesville, Georgia metropolitan statistical area (the “Gainesville MSA”), coastal Georgia, western North Carolina, and east Tennessee.</w:t>
      </w:r>
    </w:p>
    <w:p>
      <w:pPr>
        <w:spacing w:after="0" w:line="131"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On March 31, 2010, United sold Brintech, Inc., (“Brintech”) a consulting services firm for the financial services industry, resulting in a pre-tax gain of $2.1 million, net of selling costs. The income statements for all periods presented reflect Brintech as a discontinued operation with revenue, expenses and income taxes related to Brintech removed from revenue, expenses, income taxes and loss from continuing operations. The balance sheet and cash flow statement have not been adjusted to reflect Brintech as a discontinued operation as Brintech’s assets and contribution to cash flows were not material.</w:t>
      </w:r>
    </w:p>
    <w:p>
      <w:pPr>
        <w:spacing w:after="0" w:line="132"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On June 17, 2011, United completed a 1-for-5 reverse stock split, whereby each 5 shares of United’s common stock was reclassified into one share of common stock, and each 5 shares of United’s non-voting common stock was reclassified into one share of non-voting common stock. All prior periods presented have been adjusted to reflect the reclassification.</w:t>
      </w:r>
    </w:p>
    <w:p>
      <w:pPr>
        <w:spacing w:after="0" w:line="154"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Operating income (loss) from continuing operations and operating income (loss) from continuing operations per diluted share are non-GAAP performance measures. United’s management believes that operating performance is useful in analyzing United’s financial performance trends since it excludes items that are non-recurring in nature and therefore most of the discussion in this section will refer to operating performance measures. A reconciliation of these operating performance measures to GAAP performance measures is included in the table on page 35.</w:t>
      </w:r>
    </w:p>
    <w:p>
      <w:pPr>
        <w:spacing w:after="0" w:line="148"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United reported net operating income from continuing operations of $7.62 million for the second quarter of 2011. This compared to a net operating loss from continuing operations of $59.5 million for the second quarter of 2010. Diluted operating income from continuing operations per common share was $.08 for the second quarter of 2011, compared to a diluted operating loss from continuing operations per common share of $3.29 for the second quarter of 2010. The loss on sale of nonperforming assets to Fletcher added approximately $1.59 per share to the diluted operating loss from continuing operations for the second quarter of 2010.</w:t>
      </w:r>
    </w:p>
    <w:p>
      <w:pPr>
        <w:spacing w:after="0" w:line="118"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For the six months ended June 30, 2011, United reported a net operating loss from continuing operations of $135 million. This compared to a net operating loss from continuing operations of $94.0 million for the first six months of 2010, which included the $30.0 million after-tax loss from the Fletcher transaction. Net loss for the six months ended June 30, 2010, which includes discontinued operations, totaled $92.8 million. Diluted operating loss from continuing operations per common share was $6.40 for the six months ended June 30, 2011, compared with diluted operating loss from continuing operations per common share of $5.25 for the same period in 2010.</w:t>
      </w:r>
    </w:p>
    <w:p>
      <w:pPr>
        <w:spacing w:after="0" w:line="166" w:lineRule="exact"/>
        <w:rPr>
          <w:sz w:val="20"/>
          <w:szCs w:val="20"/>
          <w:color w:val="auto"/>
        </w:rPr>
      </w:pPr>
    </w:p>
    <w:p>
      <w:pPr>
        <w:jc w:val="both"/>
        <w:ind w:left="340" w:right="159"/>
        <w:spacing w:after="0" w:line="268" w:lineRule="auto"/>
        <w:rPr>
          <w:sz w:val="20"/>
          <w:szCs w:val="20"/>
          <w:color w:val="auto"/>
        </w:rPr>
      </w:pPr>
      <w:r>
        <w:rPr>
          <w:rFonts w:ascii="Arial" w:cs="Arial" w:eastAsia="Arial" w:hAnsi="Arial"/>
          <w:sz w:val="17"/>
          <w:szCs w:val="17"/>
          <w:color w:val="auto"/>
        </w:rPr>
        <w:t>United’s operating provision for loan losses was $11.0 million for the three months ended June 30, 2011, compared to $61.5 million for the same period in 2010. Net charge-offs for the second quarter of 2011 were $16.5 million, compared to $61.3 million for the second quarter of 2010. For the six months ended June 30, 2011, United’s operating provision for loan losses was $201 million, compared to $137 million for the same period of 2010. Net charge-offs for the first six months of 2011 were $248 million, compared to $118 million for the first six months of 2010. During the first quarter of 2011, performing substandard loans with a pre-charge down carrying amount of $166 million and nonperforming loans with a pre-charge down carrying amount of $101 million were collectively written down to the expected sales proceeds of $80.6 million, in conjunction with a bulk transaction (the “Bulk Loan Sale”). United recognized net charge-offs of $186 million related to the transfer of loans to the held for sale classification in the first quarter. The Bulk Loan Sale was completed on April 18, 2011. Proceeds from the sale were greater than originally estimated, resulting in a reduction of second quarter charge-offs of $7.27 million. As of June 30, 2011, United’s allowance for loan losses was $128 million, or 3.07% of loans, compared to $174 million, or 3.57% of loans, at June 30, 2010. Nonperforming assets of $119 million, which excludes assets of SCB that are covered by loss sharing agreements with the FDIC, decreased to 1.60% of total assets at June 30, 2011, compared to 4.32% as of December 31, 2010 and 4.55% as of June 30, 2010. The decrease in this ratio was due to the execution of a plan to sell approximately $293 million in substandard and nonperforming loans, and to accelerate the disposition of approximately $142 million in foreclosed properties (the “Problem Asset Disposition Plan”) as well as a general improving trend in credit quality indicators.</w:t>
      </w:r>
    </w:p>
    <w:p>
      <w:pPr>
        <w:spacing w:after="0" w:line="140"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Taxable equivalent net interest revenue was $58.9 million for the second quarter of 2011, compared to $61.6 million for the same period of 2010. The decrease in net interest revenue was primarily the result of a 19 basis point decrease in the net interest margin offset by a $69.3 million increase in average interest earning assets. Average loans for the quarter declined $745 million from the second quarter of 2010. Net interest margin decreased from 3.60% for the three months ended June 30, 2010 to 3.41% for the same period in 2011. For the six months ended June 30, 2011, taxable equivalent net interest revenue was $115 million, compared to $123 million for the same period of 2010. Net interest margin decreased from 3.55% for the six months ended June 30, 2010 to 3.36% for the same period in 2011. Interest reversals on performing loans that were moved to held for sale accounted for 6 basis points of the 19 basis points decrease. Over the past year, United has maintained above normal levels of liquidity. The level of excess liquidity peaked in the first six months of 2011 and lowered the margin by approximately 49 basis points in the first quarter and 76 basis points in the second quarter. In order to reduce the amount of excess liquidity, United has called its callable brokered deposits and does not plan to replace any maturing brokered deposits. Additionally, United has lowered rates on retail certificates of deposit and other deposit products which is expected to result in some balance attrition.</w:t>
      </w:r>
    </w:p>
    <w:p>
      <w:pPr>
        <w:sectPr>
          <w:pgSz w:w="11900" w:h="16838" w:orient="portrait"/>
          <w:cols w:equalWidth="0" w:num="1">
            <w:col w:w="10219"/>
          </w:cols>
          <w:pgMar w:left="240" w:top="419" w:right="144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Operating fee revenue increased $2.33 million, or 20%, and $2.50 million, or 11% from the second quarter and first six months of 2010, respectively. The increase was primarily attributable to the acceleration of deferred gains related to the ineffectiveness of terminated cash flow hedges. This helped to offset a decline in service charges and fees, which were down $385,000 and $1.11 million, respectively, for the three and six month periods, due to regulatory changes.</w:t>
      </w:r>
    </w:p>
    <w:p>
      <w:pPr>
        <w:spacing w:after="0" w:line="160"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For the second quarter of 2011, operating expenses of $48.7 million were down $54.9 million from the second quarter of 2010. The loss on sale of nonperforming assets in 2010 represented $45.3 million of the decrease. Lower foreclosed property costs accounted for $12.6 million of the decrease. For the six months ended June 30, 2011, operating expenses of $164 million were up $5.52 million from the same period of 2010. The increase was primarily due to an increase in foreclosed property costs, in anticipation of the Bulk Loan Sale and other accelerated asset dispositions. Foreclosed property costs were up $41.4 million from the first six months of 2010.</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Developments</w:t>
      </w:r>
    </w:p>
    <w:p>
      <w:pPr>
        <w:spacing w:after="0" w:line="18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On June 16, 2011 shareholders approved the conversion of $195.9 million of Series F and $151.2 million of Series G Mandatorily Convertible Perpetual Preferred Stock into 20,618,090 shares of United’s common stock and 15,914,209 shares of United’s non-voting common stock, respectively. The conversion occurred as of the close of business on June 20, 2011 pursuant to the March 30, 2011 private placement agreements with a group of institutional investors.</w:t>
      </w:r>
    </w:p>
    <w:p>
      <w:pPr>
        <w:spacing w:after="0" w:line="160"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On February 22, 2011, the Company entered into a share exchange agreement with Elm Ridge Offshore Master Fund, Ltd. and Elm Ridge Value Partners, L.P. (collectively, the “Elm Ridge Parties”). Under the share exchange agreement, the Elm Ridge Parties agreed to transfer to the Company 1,551,126 shares of the Company’s common stock in exchange for 16,613 shares of the Company’s cumulative perpetual preferred stock, Series D and warrants to purchase 1,551,126 common shares. See Note 10 to the consolidated financial statements for further details of the share exchange agreement.</w:t>
      </w:r>
    </w:p>
    <w:p>
      <w:pPr>
        <w:spacing w:after="0" w:line="132"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Also during the first quarter of 2011, the Board of Directors approved the Problem Asset Disposition Plan. Accordingly, substandard and nonperforming loans were sold by the Bank for an aggregate purchase price of approximately $87.9 million in the Bulk Loan Sale on April 18, 2011 pursuant to an asset purchase and sale agreement (the “Asset Purchase Agreement”) entered into by the Bank, CF Southeast LLC (“CF Southeast”) and CF Southeast Trust 2011-1 (“CF Trust” and together with CF Southeast, the “Purchasers”).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jc w:val="both"/>
        <w:ind w:left="340" w:right="159"/>
        <w:spacing w:after="0" w:line="291" w:lineRule="auto"/>
        <w:rPr>
          <w:sz w:val="20"/>
          <w:szCs w:val="20"/>
          <w:color w:val="auto"/>
        </w:rPr>
      </w:pPr>
      <w:r>
        <w:rPr>
          <w:rFonts w:ascii="Arial" w:cs="Arial" w:eastAsia="Arial" w:hAnsi="Arial"/>
          <w:sz w:val="16"/>
          <w:szCs w:val="16"/>
          <w:color w:val="auto"/>
        </w:rPr>
        <w:t>The accounting and reporting policies of United are in accordance with accounting principles generally accepted in the United States of America (“GAAP”) and conform to general practices within the banking industry. The more critical accounting and reporting policies include United’s accounting for the allowance for loan losses, fair value measurements, and income taxes. In particular, United’s accounting policies related to allowance for loan losses, fair value measurements and income taxes involve the use of estimates and require significant judgment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GAAP Reconciliation and Explanation</w:t>
      </w:r>
    </w:p>
    <w:p>
      <w:pPr>
        <w:spacing w:after="0" w:line="189"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6"/>
          <w:szCs w:val="16"/>
          <w:color w:val="auto"/>
        </w:rPr>
        <w:t>This Form 10-Q contains non-GAAP financial measures, which are performance measures determined by methods other than in accordance with GAAP. Such non-GAAP financial measures include, among others the following: operating provision for loan losses, operating fee revenue, operating revenue, operating expense, operating (loss) income from continuing operations, operating (loss) income, operating earnings (loss) from continuing operations per share, operating earnings (loss) per share, operating earnings</w:t>
      </w:r>
    </w:p>
    <w:p>
      <w:pPr>
        <w:spacing w:after="0" w:line="2" w:lineRule="exact"/>
        <w:rPr>
          <w:sz w:val="20"/>
          <w:szCs w:val="20"/>
          <w:color w:val="auto"/>
        </w:rPr>
      </w:pPr>
    </w:p>
    <w:p>
      <w:pPr>
        <w:jc w:val="both"/>
        <w:ind w:left="340" w:right="159"/>
        <w:spacing w:after="0" w:line="268" w:lineRule="auto"/>
        <w:rPr>
          <w:sz w:val="20"/>
          <w:szCs w:val="20"/>
          <w:color w:val="auto"/>
        </w:rPr>
      </w:pPr>
      <w:r>
        <w:rPr>
          <w:rFonts w:ascii="Arial" w:cs="Arial" w:eastAsia="Arial" w:hAnsi="Arial"/>
          <w:sz w:val="17"/>
          <w:szCs w:val="17"/>
          <w:color w:val="auto"/>
        </w:rPr>
        <w:t>(loss) from continuing operations per diluted share and operating earnings (loss) per diluted share. Management uses these non-GAAP financial measures because it believes they are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in on the table on page 35.</w:t>
      </w:r>
    </w:p>
    <w:p>
      <w:pPr>
        <w:spacing w:after="0" w:line="200" w:lineRule="exact"/>
        <w:rPr>
          <w:sz w:val="20"/>
          <w:szCs w:val="20"/>
          <w:color w:val="auto"/>
        </w:rPr>
      </w:pPr>
    </w:p>
    <w:p>
      <w:pPr>
        <w:spacing w:after="0" w:line="34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202"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Effective March 31, 2010, United sold its Brintech subsidiary. As a result, the operations of Brintech are being accounted for as a discontinued operation. All revenue, including the gain from the sale, expenses and income taxes relating to Brintech have been deconsolidated from the consolidated statement of operations and are presented on one line titled “Loss from discontinued operations” for all periods presented. Because Brintech’s assets, liabilities and cash flows were not material to the consolidated balance sheet and statement of cash flows, no such adjustments have been made to those financial statements.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Transaction with Fletcher International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Description of Transaction</w:t>
      </w:r>
    </w:p>
    <w:p>
      <w:pPr>
        <w:spacing w:after="0" w:line="198"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On April 1, 2010, the Bank entered into an asset purchase and sale agreement (the “Asset Purchase Agreement”) with Fletcher International Inc. (“Fletcher Inc.”) and five separate limited liability companies (“LLCs”) affiliates of Fletcher Inc. for the purpose of acquiring nonperforming assets under the Asset Purchase Agreement. United has no ownership interest in the LLCs. The asset sale transaction was completed on April 30, 2010 with the Bank transferring nonperforming commercial and residential construction loans and foreclosed properties having a carrying value of $103 million in exchange for cash of $20.6 million and notes receivable for $82.5 million.</w:t>
      </w:r>
    </w:p>
    <w:p>
      <w:pPr>
        <w:spacing w:after="0" w:line="153" w:lineRule="exact"/>
        <w:rPr>
          <w:sz w:val="20"/>
          <w:szCs w:val="20"/>
          <w:color w:val="auto"/>
        </w:rPr>
      </w:pPr>
    </w:p>
    <w:p>
      <w:pPr>
        <w:jc w:val="both"/>
        <w:ind w:left="340" w:right="159"/>
        <w:spacing w:after="0" w:line="285" w:lineRule="auto"/>
        <w:rPr>
          <w:sz w:val="20"/>
          <w:szCs w:val="20"/>
          <w:color w:val="auto"/>
        </w:rPr>
      </w:pPr>
      <w:r>
        <w:rPr>
          <w:rFonts w:ascii="Arial" w:cs="Arial" w:eastAsia="Arial" w:hAnsi="Arial"/>
          <w:sz w:val="16"/>
          <w:szCs w:val="16"/>
          <w:color w:val="auto"/>
        </w:rPr>
        <w:t>The loans made to the LLCs in connection with their respective purchases are the same for all six loans. The loans have an initial term of five years and principal and interest payments are based on a 20-year amortization schedule. The assets in the LLCs are all cross-pledged as collateral on all six loans. Correspondingly, prepayments on the loans are required as properties are sold in order for the collateral to be released upon sale. The interest rate during the loan term is fixed at 3.50% for all loans and, accordingly, each loan was recorded at a discount as the interest rate was considered below market. At the time the LLCs were formed, they were capitalized with sufficient cash to make the required 20% down payment on the purchase and 17.5% of the purchase price in cash and securities to cover the first three years of required cash flows. According to the terms of the agreements, at least one year of estimated cash flow requirements must be held in cash. These funds are held in escrow as additional collateral on the loans and cannot be removed by Fletcher Inc. without United’s consent. The securities that can be held by the LLCs are marketable equity securities and funds managed by Fletcher affiliates. Carrying costs include debt service payments, servicing fees and other direct costs associated with holding and managing the underlying properties. Cash flow from expected sales of underlying assets (loans/foreclosed real estate) is expected to provide sufficient cash flow to service the loans beyond the first three years and through the remainder of the loan terms. While recent news articles and other sources have questioned the financial health of Fletcher and its affiliates, the loans to the LCCs have performed according to their contractual terms since inception and there have been no delinquencies to date. As a result, even though these loans represent our largest loan relationship, we consider these loans performing and have not established specific reserves related to them. Should our assessment of this loan relationship change, we would then take appropriate action.</w:t>
      </w:r>
    </w:p>
    <w:p>
      <w:pPr>
        <w:spacing w:after="0" w:line="137" w:lineRule="exact"/>
        <w:rPr>
          <w:sz w:val="20"/>
          <w:szCs w:val="20"/>
          <w:color w:val="auto"/>
        </w:rPr>
      </w:pPr>
    </w:p>
    <w:p>
      <w:pPr>
        <w:jc w:val="both"/>
        <w:ind w:left="340" w:right="159"/>
        <w:spacing w:after="0" w:line="287" w:lineRule="auto"/>
        <w:rPr>
          <w:sz w:val="20"/>
          <w:szCs w:val="20"/>
          <w:color w:val="auto"/>
        </w:rPr>
      </w:pPr>
      <w:r>
        <w:rPr>
          <w:rFonts w:ascii="Arial" w:cs="Arial" w:eastAsia="Arial" w:hAnsi="Arial"/>
          <w:sz w:val="16"/>
          <w:szCs w:val="16"/>
          <w:color w:val="auto"/>
        </w:rPr>
        <w:t>Also on April 1, 2010, United and Fletcher International Ltd (“Fletcher Ltd”, together with Fletcher Inc. and their affiliates, “Fletcher”), entered into a securities purchase agreement (the “Securities Purchase Agreement”) pursuant to which Fletcher Ltd. agreed to purchase from United, and United agreed to issue and sell to Fletcher Ltd., 65,000 shares of United’s Series C convertible preferred stock, par value $1.00 per share (the “Convertible Preferred Stock”), at a purchase price of $1,000 per share, for an aggregate purchase price of $65 million. The Convertible Preferred Stock will bear interest at an annual rate equal to the lesser of 8% or LIBOR + 4%. If all conditions precedent to Fletcher Ltd.’s obligations to purchase the Convertible Preferred Stock have been satisfied and Fletcher Ltd. had not purchased all of the Convertible Preferred Stock by May 31, 2011, it was required to pay United 5% of the commitment amount not purchased by such date, and it must pay United an additional 5% of any commitment amount not purchased by May 31, 2012. Fletcher has paid United $3.25 million as it had not purchased the Series C Convertible Preferred Stock as of May 31, 2011. As such penalty payment is associated with Fletcher’s option to purchase preferred stock and is therefore considered an equity transaction, it was recorded as an increase to capital surplus in shareholders’ equity.</w:t>
      </w:r>
    </w:p>
    <w:p>
      <w:pPr>
        <w:spacing w:after="0" w:line="146" w:lineRule="exact"/>
        <w:rPr>
          <w:sz w:val="20"/>
          <w:szCs w:val="20"/>
          <w:color w:val="auto"/>
        </w:rPr>
      </w:pPr>
    </w:p>
    <w:p>
      <w:pPr>
        <w:jc w:val="both"/>
        <w:ind w:left="340" w:right="179"/>
        <w:spacing w:after="0" w:line="276" w:lineRule="auto"/>
        <w:rPr>
          <w:sz w:val="20"/>
          <w:szCs w:val="20"/>
          <w:color w:val="auto"/>
        </w:rPr>
      </w:pPr>
      <w:r>
        <w:rPr>
          <w:rFonts w:ascii="Arial" w:cs="Arial" w:eastAsia="Arial" w:hAnsi="Arial"/>
          <w:sz w:val="17"/>
          <w:szCs w:val="17"/>
          <w:color w:val="auto"/>
        </w:rPr>
        <w:t>The Convertible Preferred Stock is redeemable by Fletcher Ltd. at any time into common stock or non-voting Common Stock Equivalent Junior Preferred Stock (“Junior Preferred Stock”) of United, at an equivalent price of $26.25 per share of common stock (equal to 2,476,190 shares of common stock), subject to certain adjustments. After May 26, 2015, if the closing stock price for United’s common stock is above $60.20, United has the right to require conversion and it is United’s intent to convert all of the then outstanding Convertible Preferred Stock into an equivalent amount of common stock or Junior Preferred Stock.</w:t>
      </w:r>
    </w:p>
    <w:p>
      <w:pPr>
        <w:spacing w:after="0" w:line="200" w:lineRule="exact"/>
        <w:rPr>
          <w:sz w:val="20"/>
          <w:szCs w:val="20"/>
          <w:color w:val="auto"/>
        </w:rPr>
      </w:pP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Concurrently with the payment of the $10 million deposit under the Asset Purchase Agreement by Fletcher, United granted a warrant to Fletcher to purchase Junior Preferred Stock. The warrant was initially equal to $15 million and was increased to $30 million upon the completion of the asset sale pursuant to the Asset Purchase Agreement. An additional $35 million warrant will be issued on a dollar for dollar basis by the aggregate dollar amount of the Convertible Preferred Stock purchased under the Securities Purchase Agreement in excess of $30 million. The $30 million warrant price is equivalent to $21.25 per common share (cash exercise equal to 1,411,765 shares of common stock). The warrant has a nine year term and expires on May 26, 2019. To date, the warrant has not been exercised. The $35 million warrant price is equivalent to $30.10 per common share (cash exercise equal to 1,162,791 shares of common stock). The warrants may only be exercised by net share settlement (cashless exercise) and are exercisable for nine years from April 1, 2010, subject to limited extension upon certain events specified in the warrant agreement. All of the warrants settle on a cashless basis and the net shares to be issued to Fletcher Ltd. upon exercise of the warrants will be less than the total shares that would have been issuable if the warrants had been exercised for cash payments.</w:t>
      </w:r>
    </w:p>
    <w:p>
      <w:pPr>
        <w:spacing w:after="0" w:line="156"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Also, as part of the transaction, United and Fletcher entered into a servicing agreement whereby United will act as servicer of the nonperforming assets for Fletcher in exchange for a servicing fee of 20 basis points. Because the servicing arrangement is considered a normal servicing arrangement and the fee is appropriate for the services provided, United did not recognize a servicing asset or liability related to the servicing agreement.</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85" w:lineRule="exact"/>
        <w:rPr>
          <w:sz w:val="20"/>
          <w:szCs w:val="20"/>
          <w:color w:val="auto"/>
        </w:rPr>
      </w:pPr>
    </w:p>
    <w:p>
      <w:pPr>
        <w:jc w:val="both"/>
        <w:ind w:left="340" w:right="159"/>
        <w:spacing w:after="0" w:line="268" w:lineRule="auto"/>
        <w:rPr>
          <w:sz w:val="20"/>
          <w:szCs w:val="20"/>
          <w:color w:val="auto"/>
        </w:rPr>
      </w:pPr>
      <w:r>
        <w:rPr>
          <w:rFonts w:ascii="Arial" w:cs="Arial" w:eastAsia="Arial" w:hAnsi="Arial"/>
          <w:sz w:val="17"/>
          <w:szCs w:val="17"/>
          <w:color w:val="auto"/>
        </w:rPr>
        <w:t>Although the Asset Purchase Agreement and the Securities Purchase Agreement are two separate agreements, they were accounted for as part of one transaction because they were entered into simultaneously and the Securities Purchase Agreement was dependent upon the sale of nonperforming assets. United evaluated this transaction to determine whether the transfer should be accounted for as a sale or a secured borrowing and whether the Fletcher LLCs should be consolidated with United. When evaluating whether the transfer should be accounted for as a sale, United primarily evaluated whether control had been surrendered, the rights of Fletcher to exchange and pledge the assets, and whether United retains effective control, which included evaluating any continuing involvement in the assets. Based on the evaluation, the transfer of assets under the Asset Purchase Agreement meets the definition as a sale under current accounting standards and was accounted for as such. United further evaluated whether the Fletcher LLCs should be consolidated which included evaluating whether United has a controlling financial interest and is therefore the primary beneficiary. This evaluation principally included determining whether United directs the activities that have the most significant impact on the LLCs economic performance and whether United has an obligation to absorb losses or the right to receive benefits that could be significant to the LLCs. Based on that evaluation, the LLCs have not been included as part of the consolidated group of subsidiaries in United’s consolidated financial statements.</w:t>
      </w:r>
    </w:p>
    <w:p>
      <w:pPr>
        <w:spacing w:after="0" w:line="161"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 addition to evaluating the accounting for the transfer of assets, United considered whether the warrant and the option to purchase convertible preferred stock with an additional warrant should be accounted for as liabilities or equity instruments. In making this evaluation, United considered whether Fletcher or any subsequent holders of the instruments could require settlement of the instruments in cash or other assets rather than common or preferred stock. Because the transaction was structured so that the warrants and option to purchase convertible preferred stock and the additional warrant can only be settled through the issuance of common or preferred stock, United concluded that the warrant and option to purchase convertible preferred stock with an additional warrant should be accounted for as equity instruments.</w:t>
      </w:r>
    </w:p>
    <w:p>
      <w:pPr>
        <w:spacing w:after="0" w:line="14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All of the components of the transaction, including all equity instruments issued under the Securities Purchase Agreement and the notes receivable received as consideration from the sale of nonperforming assets were recorded at fair value. Because the value of the equity instruments and assets exchanged in the transaction exceeded the value of the cash and notes receivable received, United recorded a loss of $45.3 million on the transaction with Fletcher.</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 xml:space="preserve">The table below presents a summary of the assets and equity instruments transferred and received at their respective fair values </w:t>
      </w:r>
      <w:r>
        <w:rPr>
          <w:rFonts w:ascii="Arial" w:cs="Arial" w:eastAsia="Arial" w:hAnsi="Arial"/>
          <w:sz w:val="18"/>
          <w:szCs w:val="18"/>
          <w:i w:val="1"/>
          <w:iCs w:val="1"/>
          <w:color w:val="auto"/>
        </w:rPr>
        <w:t>($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amounts)</w:t>
      </w:r>
      <w:r>
        <w:rPr>
          <w:rFonts w:ascii="Arial" w:cs="Arial" w:eastAsia="Arial" w:hAnsi="Arial"/>
          <w:sz w:val="18"/>
          <w:szCs w:val="18"/>
          <w:color w:val="auto"/>
        </w:rPr>
        <w: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Fair</w:t>
            </w:r>
          </w:p>
        </w:tc>
      </w:tr>
      <w:tr>
        <w:trPr>
          <w:trHeight w:val="234"/>
        </w:trPr>
        <w:tc>
          <w:tcPr>
            <w:tcW w:w="5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ind w:left="20"/>
              <w:spacing w:after="0"/>
              <w:rPr>
                <w:sz w:val="20"/>
                <w:szCs w:val="20"/>
                <w:color w:val="auto"/>
              </w:rPr>
            </w:pPr>
            <w:r>
              <w:rPr>
                <w:rFonts w:ascii="Arial" w:cs="Arial" w:eastAsia="Arial" w:hAnsi="Arial"/>
                <w:sz w:val="18"/>
                <w:szCs w:val="18"/>
                <w:b w:val="1"/>
                <w:bCs w:val="1"/>
                <w:color w:val="auto"/>
                <w:w w:val="90"/>
              </w:rPr>
              <w:t>Valuation Approach</w:t>
            </w:r>
          </w:p>
        </w:tc>
        <w:tc>
          <w:tcPr>
            <w:tcW w:w="2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Heirarchy</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Warrants Issued / Assets Transferred to Fletcher at Fair Value:</w:t>
            </w:r>
          </w:p>
        </w:tc>
        <w:tc>
          <w:tcPr>
            <w:tcW w:w="14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2"/>
        </w:trPr>
        <w:tc>
          <w:tcPr>
            <w:tcW w:w="5300" w:type="dxa"/>
            <w:vAlign w:val="bottom"/>
          </w:tcPr>
          <w:p>
            <w:pPr>
              <w:ind w:left="200"/>
              <w:spacing w:after="0" w:line="201" w:lineRule="exact"/>
              <w:rPr>
                <w:sz w:val="20"/>
                <w:szCs w:val="20"/>
                <w:color w:val="auto"/>
              </w:rPr>
            </w:pPr>
            <w:r>
              <w:rPr>
                <w:rFonts w:ascii="Arial" w:cs="Arial" w:eastAsia="Arial" w:hAnsi="Arial"/>
                <w:sz w:val="18"/>
                <w:szCs w:val="18"/>
                <w:color w:val="auto"/>
              </w:rPr>
              <w:t>Warrant to purchase $30 million in common stock at $21.25 per</w:t>
            </w: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300" w:type="dxa"/>
            <w:vAlign w:val="bottom"/>
          </w:tcPr>
          <w:p>
            <w:pPr>
              <w:ind w:left="400"/>
              <w:spacing w:after="0"/>
              <w:rPr>
                <w:sz w:val="20"/>
                <w:szCs w:val="20"/>
                <w:color w:val="auto"/>
              </w:rPr>
            </w:pPr>
            <w:r>
              <w:rPr>
                <w:rFonts w:ascii="Arial" w:cs="Arial" w:eastAsia="Arial" w:hAnsi="Arial"/>
                <w:sz w:val="18"/>
                <w:szCs w:val="18"/>
                <w:color w:val="auto"/>
              </w:rPr>
              <w:t>share</w:t>
            </w:r>
          </w:p>
        </w:tc>
        <w:tc>
          <w:tcPr>
            <w:tcW w:w="1720" w:type="dxa"/>
            <w:vAlign w:val="bottom"/>
            <w:gridSpan w:val="2"/>
          </w:tcPr>
          <w:p>
            <w:pPr>
              <w:ind w:left="140"/>
              <w:spacing w:after="0"/>
              <w:rPr>
                <w:sz w:val="20"/>
                <w:szCs w:val="20"/>
                <w:color w:val="auto"/>
              </w:rPr>
            </w:pPr>
            <w:r>
              <w:rPr>
                <w:rFonts w:ascii="Arial" w:cs="Arial" w:eastAsia="Arial" w:hAnsi="Arial"/>
                <w:sz w:val="18"/>
                <w:szCs w:val="18"/>
                <w:color w:val="auto"/>
              </w:rPr>
              <w:t>Black-Scholes</w:t>
            </w:r>
          </w:p>
        </w:tc>
        <w:tc>
          <w:tcPr>
            <w:tcW w:w="2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Level 3</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17,577</w:t>
            </w:r>
            <w:r>
              <w:rPr>
                <w:rFonts w:ascii="Arial" w:cs="Arial" w:eastAsia="Arial" w:hAnsi="Arial"/>
                <w:sz w:val="15"/>
                <w:szCs w:val="15"/>
                <w:color w:val="auto"/>
              </w:rPr>
              <w:t>(1)</w:t>
            </w:r>
          </w:p>
        </w:tc>
      </w:tr>
      <w:tr>
        <w:trPr>
          <w:trHeight w:val="202"/>
        </w:trPr>
        <w:tc>
          <w:tcPr>
            <w:tcW w:w="5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Option to purchase convertible preferred stock and warrant</w:t>
            </w:r>
          </w:p>
        </w:tc>
        <w:tc>
          <w:tcPr>
            <w:tcW w:w="172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Monte-Carlo</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3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Simulation</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3</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22,236</w:t>
            </w:r>
            <w:r>
              <w:rPr>
                <w:rFonts w:ascii="Arial" w:cs="Arial" w:eastAsia="Arial" w:hAnsi="Arial"/>
                <w:sz w:val="15"/>
                <w:szCs w:val="15"/>
                <w:color w:val="auto"/>
              </w:rPr>
              <w:t>(2)</w:t>
            </w:r>
          </w:p>
        </w:tc>
      </w:tr>
      <w:tr>
        <w:trPr>
          <w:trHeight w:val="230"/>
        </w:trPr>
        <w:tc>
          <w:tcPr>
            <w:tcW w:w="5300" w:type="dxa"/>
            <w:vAlign w:val="bottom"/>
          </w:tcPr>
          <w:p>
            <w:pPr>
              <w:ind w:left="400"/>
              <w:spacing w:after="0"/>
              <w:rPr>
                <w:sz w:val="20"/>
                <w:szCs w:val="20"/>
                <w:color w:val="auto"/>
              </w:rPr>
            </w:pPr>
            <w:r>
              <w:rPr>
                <w:rFonts w:ascii="Arial" w:cs="Arial" w:eastAsia="Arial" w:hAnsi="Arial"/>
                <w:sz w:val="18"/>
                <w:szCs w:val="18"/>
                <w:b w:val="1"/>
                <w:bCs w:val="1"/>
                <w:color w:val="auto"/>
                <w:w w:val="92"/>
              </w:rPr>
              <w:t>Fair value of equity instruments recognized in capital surplus</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39,813</w:t>
            </w:r>
          </w:p>
        </w:tc>
        <w:tc>
          <w:tcPr>
            <w:tcW w:w="200" w:type="dxa"/>
            <w:vAlign w:val="bottom"/>
          </w:tcPr>
          <w:p>
            <w:pPr>
              <w:spacing w:after="0"/>
              <w:rPr>
                <w:sz w:val="20"/>
                <w:szCs w:val="20"/>
                <w:color w:val="auto"/>
              </w:rPr>
            </w:pPr>
          </w:p>
        </w:tc>
      </w:tr>
      <w:tr>
        <w:trPr>
          <w:trHeight w:val="216"/>
        </w:trPr>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Foreclosed properties transferred under Asset Purchase Agreement</w:t>
            </w:r>
          </w:p>
        </w:tc>
        <w:tc>
          <w:tcPr>
            <w:tcW w:w="1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Appraised Value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33,434</w:t>
            </w:r>
            <w:r>
              <w:rPr>
                <w:rFonts w:ascii="Arial" w:cs="Arial" w:eastAsia="Arial" w:hAnsi="Arial"/>
                <w:sz w:val="15"/>
                <w:szCs w:val="15"/>
                <w:color w:val="auto"/>
              </w:rPr>
              <w:t>(3)</w:t>
            </w:r>
          </w:p>
        </w:tc>
      </w:tr>
      <w:tr>
        <w:trPr>
          <w:trHeight w:val="202"/>
        </w:trPr>
        <w:tc>
          <w:tcPr>
            <w:tcW w:w="5300" w:type="dxa"/>
            <w:vAlign w:val="bottom"/>
          </w:tcPr>
          <w:p>
            <w:pPr>
              <w:ind w:left="200"/>
              <w:spacing w:after="0" w:line="201" w:lineRule="exact"/>
              <w:rPr>
                <w:sz w:val="20"/>
                <w:szCs w:val="20"/>
                <w:color w:val="auto"/>
              </w:rPr>
            </w:pPr>
            <w:r>
              <w:rPr>
                <w:rFonts w:ascii="Arial" w:cs="Arial" w:eastAsia="Arial" w:hAnsi="Arial"/>
                <w:sz w:val="18"/>
                <w:szCs w:val="18"/>
                <w:color w:val="auto"/>
                <w:w w:val="95"/>
              </w:rPr>
              <w:t>Nonperforming loans transferred under Asset Purchase Agreement</w:t>
            </w:r>
          </w:p>
        </w:tc>
        <w:tc>
          <w:tcPr>
            <w:tcW w:w="172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6"/>
              </w:rPr>
              <w:t>Collateral Appraised</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300" w:type="dxa"/>
            <w:vAlign w:val="bottom"/>
          </w:tcPr>
          <w:p>
            <w:pPr>
              <w:spacing w:after="0"/>
              <w:rPr>
                <w:sz w:val="20"/>
                <w:szCs w:val="20"/>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color w:val="auto"/>
              </w:rPr>
              <w:t>Value</w:t>
            </w:r>
          </w:p>
        </w:tc>
        <w:tc>
          <w:tcPr>
            <w:tcW w:w="2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69,655</w:t>
            </w:r>
            <w:r>
              <w:rPr>
                <w:rFonts w:ascii="Arial" w:cs="Arial" w:eastAsia="Arial" w:hAnsi="Arial"/>
                <w:sz w:val="15"/>
                <w:szCs w:val="15"/>
                <w:color w:val="auto"/>
              </w:rPr>
              <w:t>(3)</w:t>
            </w:r>
          </w:p>
        </w:tc>
      </w:tr>
      <w:tr>
        <w:trPr>
          <w:trHeight w:val="27"/>
        </w:trPr>
        <w:tc>
          <w:tcPr>
            <w:tcW w:w="5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3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nonperforming assets transferred</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103,089</w:t>
            </w:r>
          </w:p>
        </w:tc>
      </w:tr>
      <w:tr>
        <w:trPr>
          <w:trHeight w:val="223"/>
        </w:trPr>
        <w:tc>
          <w:tcPr>
            <w:tcW w:w="5300" w:type="dxa"/>
            <w:vAlign w:val="bottom"/>
          </w:tcPr>
          <w:p>
            <w:pPr>
              <w:ind w:left="600"/>
              <w:spacing w:after="0"/>
              <w:rPr>
                <w:sz w:val="20"/>
                <w:szCs w:val="20"/>
                <w:color w:val="auto"/>
              </w:rPr>
            </w:pPr>
            <w:r>
              <w:rPr>
                <w:rFonts w:ascii="Arial" w:cs="Arial" w:eastAsia="Arial" w:hAnsi="Arial"/>
                <w:sz w:val="18"/>
                <w:szCs w:val="18"/>
                <w:color w:val="auto"/>
              </w:rPr>
              <w:t>Total value of assets and equity instruments transferred</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142,902</w:t>
            </w:r>
          </w:p>
        </w:tc>
        <w:tc>
          <w:tcPr>
            <w:tcW w:w="200" w:type="dxa"/>
            <w:vAlign w:val="bottom"/>
          </w:tcPr>
          <w:p>
            <w:pPr>
              <w:spacing w:after="0"/>
              <w:rPr>
                <w:sz w:val="19"/>
                <w:szCs w:val="19"/>
                <w:color w:val="auto"/>
              </w:rPr>
            </w:pPr>
          </w:p>
        </w:tc>
      </w:tr>
      <w:tr>
        <w:trPr>
          <w:trHeight w:val="223"/>
        </w:trPr>
        <w:tc>
          <w:tcPr>
            <w:tcW w:w="5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Cash and Notes Receivable Received in Exchange at Fair Value:</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300" w:type="dxa"/>
            <w:vAlign w:val="bottom"/>
          </w:tcPr>
          <w:p>
            <w:pPr>
              <w:ind w:left="200"/>
              <w:spacing w:after="0"/>
              <w:rPr>
                <w:sz w:val="20"/>
                <w:szCs w:val="20"/>
                <w:color w:val="auto"/>
              </w:rPr>
            </w:pPr>
            <w:r>
              <w:rPr>
                <w:rFonts w:ascii="Arial" w:cs="Arial" w:eastAsia="Arial" w:hAnsi="Arial"/>
                <w:sz w:val="18"/>
                <w:szCs w:val="18"/>
                <w:color w:val="auto"/>
              </w:rPr>
              <w:t>Cash down payment received from asset sale</w:t>
            </w:r>
          </w:p>
        </w:tc>
        <w:tc>
          <w:tcPr>
            <w:tcW w:w="172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20,618</w:t>
            </w:r>
          </w:p>
        </w:tc>
      </w:tr>
      <w:tr>
        <w:trPr>
          <w:trHeight w:val="202"/>
        </w:trPr>
        <w:tc>
          <w:tcPr>
            <w:tcW w:w="5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Notes receivable (par value $82,471, net of $4,531 discount)</w:t>
            </w:r>
          </w:p>
        </w:tc>
        <w:tc>
          <w:tcPr>
            <w:tcW w:w="172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Discounted Cash</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3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Flows</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3</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77,940</w:t>
            </w:r>
            <w:r>
              <w:rPr>
                <w:rFonts w:ascii="Arial" w:cs="Arial" w:eastAsia="Arial" w:hAnsi="Arial"/>
                <w:sz w:val="15"/>
                <w:szCs w:val="15"/>
                <w:color w:val="auto"/>
              </w:rPr>
              <w:t>(4)</w:t>
            </w:r>
          </w:p>
        </w:tc>
      </w:tr>
      <w:tr>
        <w:trPr>
          <w:trHeight w:val="223"/>
        </w:trPr>
        <w:tc>
          <w:tcPr>
            <w:tcW w:w="5300" w:type="dxa"/>
            <w:vAlign w:val="bottom"/>
          </w:tcPr>
          <w:p>
            <w:pPr>
              <w:ind w:left="600"/>
              <w:spacing w:after="0"/>
              <w:rPr>
                <w:sz w:val="20"/>
                <w:szCs w:val="20"/>
                <w:color w:val="auto"/>
              </w:rPr>
            </w:pPr>
            <w:r>
              <w:rPr>
                <w:rFonts w:ascii="Arial" w:cs="Arial" w:eastAsia="Arial" w:hAnsi="Arial"/>
                <w:sz w:val="18"/>
                <w:szCs w:val="18"/>
                <w:color w:val="auto"/>
              </w:rPr>
              <w:t>Total value of cash and notes receivable received</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98,558</w:t>
            </w:r>
          </w:p>
        </w:tc>
        <w:tc>
          <w:tcPr>
            <w:tcW w:w="200" w:type="dxa"/>
            <w:vAlign w:val="bottom"/>
          </w:tcPr>
          <w:p>
            <w:pPr>
              <w:spacing w:after="0"/>
              <w:rPr>
                <w:sz w:val="19"/>
                <w:szCs w:val="19"/>
                <w:color w:val="auto"/>
              </w:rPr>
            </w:pPr>
          </w:p>
        </w:tc>
      </w:tr>
      <w:tr>
        <w:trPr>
          <w:trHeight w:val="223"/>
        </w:trPr>
        <w:tc>
          <w:tcPr>
            <w:tcW w:w="5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2"/>
        </w:trPr>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Fair value of assets and equity instruments transferred in excess of cash</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notes received</w:t>
            </w: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44,344</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Transaction fees</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1,005</w:t>
            </w:r>
          </w:p>
        </w:tc>
      </w:tr>
      <w:tr>
        <w:trPr>
          <w:trHeight w:val="27"/>
        </w:trPr>
        <w:tc>
          <w:tcPr>
            <w:tcW w:w="5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3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Loss recognized on Fletcher transaction</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45,349</w:t>
            </w:r>
          </w:p>
        </w:tc>
      </w:tr>
      <w:tr>
        <w:trPr>
          <w:trHeight w:val="432"/>
        </w:trPr>
        <w:tc>
          <w:tcPr>
            <w:tcW w:w="5300" w:type="dxa"/>
            <w:vAlign w:val="bottom"/>
          </w:tcPr>
          <w:p>
            <w:pPr>
              <w:spacing w:after="0"/>
              <w:rPr>
                <w:sz w:val="20"/>
                <w:szCs w:val="20"/>
                <w:color w:val="auto"/>
              </w:rPr>
            </w:pPr>
            <w:r>
              <w:rPr>
                <w:rFonts w:ascii="Arial" w:cs="Arial" w:eastAsia="Arial" w:hAnsi="Arial"/>
                <w:sz w:val="18"/>
                <w:szCs w:val="18"/>
                <w:color w:val="auto"/>
              </w:rPr>
              <w:t>Tax benefit</w:t>
            </w: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(15,367)</w:t>
            </w:r>
          </w:p>
        </w:tc>
      </w:tr>
      <w:tr>
        <w:trPr>
          <w:trHeight w:val="27"/>
        </w:trPr>
        <w:tc>
          <w:tcPr>
            <w:tcW w:w="5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3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After tax loss</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29,982</w:t>
            </w:r>
          </w:p>
        </w:tc>
      </w:tr>
      <w:tr>
        <w:trPr>
          <w:trHeight w:val="20"/>
        </w:trPr>
        <w:tc>
          <w:tcPr>
            <w:tcW w:w="5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Notes</w:t>
      </w:r>
    </w:p>
    <w:p>
      <w:pPr>
        <w:spacing w:after="0" w:line="77" w:lineRule="exact"/>
        <w:rPr>
          <w:sz w:val="20"/>
          <w:szCs w:val="20"/>
          <w:color w:val="auto"/>
        </w:rPr>
      </w:pPr>
    </w:p>
    <w:p>
      <w:pPr>
        <w:jc w:val="both"/>
        <w:ind w:left="720" w:right="159" w:hanging="388"/>
        <w:spacing w:after="0" w:line="279" w:lineRule="auto"/>
        <w:tabs>
          <w:tab w:leader="none" w:pos="720" w:val="left"/>
        </w:tabs>
        <w:numPr>
          <w:ilvl w:val="0"/>
          <w:numId w:val="8"/>
        </w:numPr>
        <w:rPr>
          <w:rFonts w:ascii="Arial" w:cs="Arial" w:eastAsia="Arial" w:hAnsi="Arial"/>
          <w:sz w:val="14"/>
          <w:szCs w:val="14"/>
          <w:color w:val="auto"/>
        </w:rPr>
      </w:pPr>
      <w:r>
        <w:rPr>
          <w:rFonts w:ascii="Arial" w:cs="Arial" w:eastAsia="Arial" w:hAnsi="Arial"/>
          <w:sz w:val="17"/>
          <w:szCs w:val="17"/>
          <w:color w:val="auto"/>
        </w:rPr>
        <w:t>The $17.6 million value of the $30 million warrant was determined as of April 1, 2010, the date the terms were agreed to and signed. The following modeling assumptions were used: dividend yield — 0%; risk-free interest rate — 3.89%; current stock price — $23.85; term — 9 years; and volatility — 33%. Although most of the modeling assumptions were based on observable data, because of the subjectivity involved in estimating expected volatility, the valuation is considered Level 3.</w:t>
      </w:r>
    </w:p>
    <w:p>
      <w:pPr>
        <w:spacing w:after="0" w:line="22" w:lineRule="exact"/>
        <w:rPr>
          <w:rFonts w:ascii="Arial" w:cs="Arial" w:eastAsia="Arial" w:hAnsi="Arial"/>
          <w:sz w:val="14"/>
          <w:szCs w:val="14"/>
          <w:color w:val="auto"/>
        </w:rPr>
      </w:pPr>
    </w:p>
    <w:p>
      <w:pPr>
        <w:jc w:val="both"/>
        <w:ind w:left="720" w:right="159" w:hanging="388"/>
        <w:spacing w:after="0" w:line="276" w:lineRule="auto"/>
        <w:tabs>
          <w:tab w:leader="none" w:pos="720" w:val="left"/>
        </w:tabs>
        <w:numPr>
          <w:ilvl w:val="0"/>
          <w:numId w:val="8"/>
        </w:numPr>
        <w:rPr>
          <w:rFonts w:ascii="Arial" w:cs="Arial" w:eastAsia="Arial" w:hAnsi="Arial"/>
          <w:sz w:val="14"/>
          <w:szCs w:val="14"/>
          <w:color w:val="auto"/>
        </w:rPr>
      </w:pPr>
      <w:r>
        <w:rPr>
          <w:rFonts w:ascii="Arial" w:cs="Arial" w:eastAsia="Arial" w:hAnsi="Arial"/>
          <w:sz w:val="17"/>
          <w:szCs w:val="17"/>
          <w:color w:val="auto"/>
        </w:rPr>
        <w:t>The $22.2 million value of the option to purchase convertible preferred stock and warrant was determined by an independent valuation firm using a Monte Carlo Simulation method appropriate for valuing complex securities with derivatives. The model uses 50,000 simulations of daily stock price paths using geometric Brownian motion and incorporates in a unified way all conversion, exercise and contingency conditions. Because of the significant assumptions involved in the valuation process, not all of which were based on observable data, the valuation is considered to be Level 3.</w:t>
      </w:r>
    </w:p>
    <w:p>
      <w:pPr>
        <w:spacing w:after="0" w:line="23" w:lineRule="exact"/>
        <w:rPr>
          <w:rFonts w:ascii="Arial" w:cs="Arial" w:eastAsia="Arial" w:hAnsi="Arial"/>
          <w:sz w:val="14"/>
          <w:szCs w:val="14"/>
          <w:color w:val="auto"/>
        </w:rPr>
      </w:pPr>
    </w:p>
    <w:p>
      <w:pPr>
        <w:jc w:val="both"/>
        <w:ind w:left="720" w:right="159" w:hanging="388"/>
        <w:spacing w:after="0" w:line="264" w:lineRule="auto"/>
        <w:tabs>
          <w:tab w:leader="none" w:pos="72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$103 million of nonperforming assets sold were transferred at United’s carrying value which had been written down to appraised value. Because the appraisals were based on sales of similar assets (observable data), the valuation is considered to be Level 2.</w:t>
      </w:r>
    </w:p>
    <w:p>
      <w:pPr>
        <w:spacing w:after="0" w:line="32" w:lineRule="exact"/>
        <w:rPr>
          <w:rFonts w:ascii="Arial" w:cs="Arial" w:eastAsia="Arial" w:hAnsi="Arial"/>
          <w:sz w:val="15"/>
          <w:szCs w:val="15"/>
          <w:color w:val="auto"/>
        </w:rPr>
      </w:pPr>
    </w:p>
    <w:p>
      <w:pPr>
        <w:jc w:val="both"/>
        <w:ind w:left="720" w:right="159" w:hanging="388"/>
        <w:spacing w:after="0" w:line="272" w:lineRule="auto"/>
        <w:tabs>
          <w:tab w:leader="none" w:pos="720" w:val="left"/>
        </w:tabs>
        <w:numPr>
          <w:ilvl w:val="0"/>
          <w:numId w:val="8"/>
        </w:numPr>
        <w:rPr>
          <w:rFonts w:ascii="Arial" w:cs="Arial" w:eastAsia="Arial" w:hAnsi="Arial"/>
          <w:sz w:val="14"/>
          <w:szCs w:val="14"/>
          <w:color w:val="auto"/>
        </w:rPr>
      </w:pPr>
      <w:r>
        <w:rPr>
          <w:rFonts w:ascii="Arial" w:cs="Arial" w:eastAsia="Arial" w:hAnsi="Arial"/>
          <w:sz w:val="17"/>
          <w:szCs w:val="17"/>
          <w:color w:val="auto"/>
        </w:rPr>
        <w:t>The $82.5 million of notes receivable were recorded at their estimated fair value of $77.9 million, net of a $4.5 million interest discount, which was determined based on discounted expected cash flows over the term at a rate commensurate with the credit risk inherent in the notes. The contractual rate on the notes is fixed at 3.5% for five years. The discount rate used for purposes of determining the fair value of the notes was 5.48% based on the terms, structure and risk profile of the notes. Note prepayments were estimated based on the expected marketing times for the underlying collateral since the notes require that principal be reduced as the underlying assets are sold. The valuation is considered Level 3 due to estimated prepayments which have a significant impact on the value and are not based on observable data.</w:t>
      </w: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 — Financial Highlights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Selected Financial Information</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2010</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Second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3"/>
                <w:szCs w:val="13"/>
                <w:color w:val="auto"/>
              </w:rPr>
            </w:pPr>
          </w:p>
        </w:tc>
        <w:tc>
          <w:tcPr>
            <w:tcW w:w="1600" w:type="dxa"/>
            <w:vAlign w:val="bottom"/>
            <w:gridSpan w:val="6"/>
          </w:tcPr>
          <w:p>
            <w:pPr>
              <w:jc w:val="right"/>
              <w:ind w:right="620"/>
              <w:spacing w:after="0" w:line="158" w:lineRule="exact"/>
              <w:rPr>
                <w:sz w:val="20"/>
                <w:szCs w:val="20"/>
                <w:color w:val="auto"/>
              </w:rPr>
            </w:pPr>
            <w:r>
              <w:rPr>
                <w:rFonts w:ascii="Arial" w:cs="Arial" w:eastAsia="Arial" w:hAnsi="Arial"/>
                <w:sz w:val="14"/>
                <w:szCs w:val="14"/>
                <w:b w:val="1"/>
                <w:bCs w:val="1"/>
                <w:color w:val="auto"/>
              </w:rPr>
              <w:t>For the Six</w:t>
            </w:r>
          </w:p>
        </w:tc>
        <w:tc>
          <w:tcPr>
            <w:tcW w:w="40" w:type="dxa"/>
            <w:vAlign w:val="bottom"/>
          </w:tcPr>
          <w:p>
            <w:pPr>
              <w:spacing w:after="0"/>
              <w:rPr>
                <w:sz w:val="13"/>
                <w:szCs w:val="13"/>
                <w:color w:val="auto"/>
              </w:rPr>
            </w:pPr>
          </w:p>
        </w:tc>
        <w:tc>
          <w:tcPr>
            <w:tcW w:w="7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YTD</w:t>
            </w:r>
          </w:p>
        </w:tc>
        <w:tc>
          <w:tcPr>
            <w:tcW w:w="0" w:type="dxa"/>
            <w:vAlign w:val="bottom"/>
          </w:tcPr>
          <w:p>
            <w:pPr>
              <w:spacing w:after="0"/>
              <w:rPr>
                <w:sz w:val="1"/>
                <w:szCs w:val="1"/>
                <w:color w:val="auto"/>
              </w:rPr>
            </w:pPr>
          </w:p>
        </w:tc>
      </w:tr>
      <w:tr>
        <w:trPr>
          <w:trHeight w:val="142"/>
        </w:trPr>
        <w:tc>
          <w:tcPr>
            <w:tcW w:w="228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 except per share</w:t>
            </w:r>
          </w:p>
        </w:tc>
        <w:tc>
          <w:tcPr>
            <w:tcW w:w="74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4"/>
              </w:rPr>
              <w:t>Second</w:t>
            </w:r>
          </w:p>
        </w:tc>
        <w:tc>
          <w:tcPr>
            <w:tcW w:w="80" w:type="dxa"/>
            <w:vAlign w:val="bottom"/>
          </w:tcPr>
          <w:p>
            <w:pPr>
              <w:spacing w:after="0"/>
              <w:rPr>
                <w:sz w:val="12"/>
                <w:szCs w:val="12"/>
                <w:color w:val="auto"/>
              </w:rPr>
            </w:pPr>
          </w:p>
        </w:tc>
        <w:tc>
          <w:tcPr>
            <w:tcW w:w="54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2"/>
                <w:szCs w:val="12"/>
                <w:color w:val="auto"/>
              </w:rPr>
            </w:pPr>
          </w:p>
        </w:tc>
        <w:tc>
          <w:tcPr>
            <w:tcW w:w="78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Fourth</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Third</w:t>
            </w:r>
          </w:p>
        </w:tc>
        <w:tc>
          <w:tcPr>
            <w:tcW w:w="40" w:type="dxa"/>
            <w:vAlign w:val="bottom"/>
          </w:tcPr>
          <w:p>
            <w:pPr>
              <w:spacing w:after="0"/>
              <w:rPr>
                <w:sz w:val="12"/>
                <w:szCs w:val="12"/>
                <w:color w:val="auto"/>
              </w:rPr>
            </w:pPr>
          </w:p>
        </w:tc>
        <w:tc>
          <w:tcPr>
            <w:tcW w:w="580" w:type="dxa"/>
            <w:vAlign w:val="bottom"/>
            <w:gridSpan w:val="2"/>
          </w:tcPr>
          <w:p>
            <w:pPr>
              <w:jc w:val="right"/>
              <w:ind w:right="8"/>
              <w:spacing w:after="0" w:line="142" w:lineRule="exact"/>
              <w:rPr>
                <w:sz w:val="20"/>
                <w:szCs w:val="20"/>
                <w:color w:val="auto"/>
              </w:rPr>
            </w:pPr>
            <w:r>
              <w:rPr>
                <w:rFonts w:ascii="Arial" w:cs="Arial" w:eastAsia="Arial" w:hAnsi="Arial"/>
                <w:sz w:val="14"/>
                <w:szCs w:val="14"/>
                <w:b w:val="1"/>
                <w:bCs w:val="1"/>
                <w:color w:val="auto"/>
                <w:w w:val="94"/>
              </w:rPr>
              <w:t>Second</w:t>
            </w:r>
          </w:p>
        </w:tc>
        <w:tc>
          <w:tcPr>
            <w:tcW w:w="240" w:type="dxa"/>
            <w:vAlign w:val="bottom"/>
          </w:tcPr>
          <w:p>
            <w:pPr>
              <w:spacing w:after="0"/>
              <w:rPr>
                <w:sz w:val="12"/>
                <w:szCs w:val="12"/>
                <w:color w:val="auto"/>
              </w:rPr>
            </w:pPr>
          </w:p>
        </w:tc>
        <w:tc>
          <w:tcPr>
            <w:tcW w:w="8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9"/>
              </w:rPr>
              <w:t>2011-2010</w:t>
            </w:r>
          </w:p>
        </w:tc>
        <w:tc>
          <w:tcPr>
            <w:tcW w:w="100" w:type="dxa"/>
            <w:vAlign w:val="bottom"/>
          </w:tcPr>
          <w:p>
            <w:pPr>
              <w:spacing w:after="0"/>
              <w:rPr>
                <w:sz w:val="12"/>
                <w:szCs w:val="12"/>
                <w:color w:val="auto"/>
              </w:rPr>
            </w:pPr>
          </w:p>
        </w:tc>
        <w:tc>
          <w:tcPr>
            <w:tcW w:w="1600" w:type="dxa"/>
            <w:vAlign w:val="bottom"/>
            <w:gridSpan w:val="6"/>
          </w:tcPr>
          <w:p>
            <w:pPr>
              <w:jc w:val="right"/>
              <w:ind w:right="500"/>
              <w:spacing w:after="0" w:line="142" w:lineRule="exact"/>
              <w:rPr>
                <w:sz w:val="20"/>
                <w:szCs w:val="20"/>
                <w:color w:val="auto"/>
              </w:rPr>
            </w:pPr>
            <w:r>
              <w:rPr>
                <w:rFonts w:ascii="Arial" w:cs="Arial" w:eastAsia="Arial" w:hAnsi="Arial"/>
                <w:sz w:val="14"/>
                <w:szCs w:val="14"/>
                <w:b w:val="1"/>
                <w:bCs w:val="1"/>
                <w:color w:val="auto"/>
              </w:rPr>
              <w:t>Months Ended</w:t>
            </w:r>
          </w:p>
        </w:tc>
        <w:tc>
          <w:tcPr>
            <w:tcW w:w="82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89"/>
              </w:rPr>
              <w:t>2011-2010</w:t>
            </w:r>
          </w:p>
        </w:tc>
        <w:tc>
          <w:tcPr>
            <w:tcW w:w="0" w:type="dxa"/>
            <w:vAlign w:val="bottom"/>
          </w:tcPr>
          <w:p>
            <w:pPr>
              <w:spacing w:after="0"/>
              <w:rPr>
                <w:sz w:val="1"/>
                <w:szCs w:val="1"/>
                <w:color w:val="auto"/>
              </w:rPr>
            </w:pPr>
          </w:p>
        </w:tc>
      </w:tr>
      <w:tr>
        <w:trPr>
          <w:trHeight w:val="142"/>
        </w:trPr>
        <w:tc>
          <w:tcPr>
            <w:tcW w:w="22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i w:val="1"/>
                <w:iCs w:val="1"/>
                <w:color w:val="auto"/>
              </w:rPr>
              <w:t>data; taxable equivalent)</w:t>
            </w:r>
          </w:p>
        </w:tc>
        <w:tc>
          <w:tcPr>
            <w:tcW w:w="60" w:type="dxa"/>
            <w:vAlign w:val="bottom"/>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INCOME SUMMARY</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Interest revenue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76,931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75,965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81,215</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84,360</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87,699</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152,896</w:t>
            </w:r>
          </w:p>
        </w:tc>
        <w:tc>
          <w:tcPr>
            <w:tcW w:w="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177,548</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17,985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19,573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21,083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24,346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26,072</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37,558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54,642</w:t>
            </w: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8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Net interest revenue</w:t>
            </w: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58,946</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56,392</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60,132</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60,014</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61,627</w:t>
            </w:r>
          </w:p>
        </w:tc>
        <w:tc>
          <w:tcPr>
            <w:tcW w:w="240" w:type="dxa"/>
            <w:vAlign w:val="bottom"/>
          </w:tcPr>
          <w:p>
            <w:pPr>
              <w:spacing w:after="0"/>
              <w:rPr>
                <w:sz w:val="13"/>
                <w:szCs w:val="13"/>
                <w:color w:val="auto"/>
              </w:rPr>
            </w:pP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115,338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122,906</w:t>
            </w:r>
          </w:p>
        </w:tc>
        <w:tc>
          <w:tcPr>
            <w:tcW w:w="220" w:type="dxa"/>
            <w:vAlign w:val="bottom"/>
          </w:tcPr>
          <w:p>
            <w:pPr>
              <w:spacing w:after="0"/>
              <w:rPr>
                <w:sz w:val="13"/>
                <w:szCs w:val="13"/>
                <w:color w:val="auto"/>
              </w:rPr>
            </w:pPr>
          </w:p>
        </w:tc>
        <w:tc>
          <w:tcPr>
            <w:tcW w:w="82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6"/>
              </w:rPr>
              <w:t xml:space="preserve">Operating provision for loan losses </w:t>
            </w:r>
            <w:r>
              <w:rPr>
                <w:rFonts w:ascii="Arial" w:cs="Arial" w:eastAsia="Arial" w:hAnsi="Arial"/>
                <w:sz w:val="12"/>
                <w:szCs w:val="12"/>
                <w:color w:val="auto"/>
                <w:w w:val="96"/>
              </w:rPr>
              <w:t>(1)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190,000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47,750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50,500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61,500</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201,000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136,500</w:t>
            </w: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Fee revenue </w:t>
            </w: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13,905</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11,838</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12,442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12,861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11,579</w:t>
            </w:r>
          </w:p>
        </w:tc>
        <w:tc>
          <w:tcPr>
            <w:tcW w:w="2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25,743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23,245</w:t>
            </w: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2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b w:val="1"/>
                <w:bCs w:val="1"/>
                <w:color w:val="auto"/>
                <w:w w:val="96"/>
              </w:rPr>
              <w:t xml:space="preserve">Total operating revenue </w:t>
            </w:r>
            <w:r>
              <w:rPr>
                <w:rFonts w:ascii="Arial" w:cs="Arial" w:eastAsia="Arial" w:hAnsi="Arial"/>
                <w:sz w:val="12"/>
                <w:szCs w:val="12"/>
                <w:color w:val="auto"/>
                <w:w w:val="96"/>
              </w:rPr>
              <w:t>(1)(2)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61,851</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(121,770)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24,824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22,375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11,706</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(59,919)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9,651</w:t>
            </w: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Operating expenses </w:t>
            </w:r>
            <w:r>
              <w:rPr>
                <w:rFonts w:ascii="Arial" w:cs="Arial" w:eastAsia="Arial" w:hAnsi="Arial"/>
                <w:sz w:val="12"/>
                <w:szCs w:val="12"/>
                <w:color w:val="auto"/>
              </w:rPr>
              <w:t>(3)</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48,728</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115,271</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64,918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64,906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58,308</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163,999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113,128</w:t>
            </w: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Loss on sale of nonperforming assets</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45,349</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45,349</w:t>
            </w: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280" w:type="dxa"/>
            <w:vAlign w:val="bottom"/>
            <w:gridSpan w:val="2"/>
          </w:tcPr>
          <w:p>
            <w:pPr>
              <w:ind w:left="200"/>
              <w:spacing w:after="0" w:line="137" w:lineRule="exact"/>
              <w:rPr>
                <w:sz w:val="20"/>
                <w:szCs w:val="20"/>
                <w:color w:val="auto"/>
              </w:rPr>
            </w:pPr>
            <w:r>
              <w:rPr>
                <w:rFonts w:ascii="Arial" w:cs="Arial" w:eastAsia="Arial" w:hAnsi="Arial"/>
                <w:sz w:val="14"/>
                <w:szCs w:val="14"/>
                <w:color w:val="auto"/>
              </w:rPr>
              <w:t>Operating income (loss) from</w:t>
            </w: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continuing operations before</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400"/>
              <w:spacing w:after="0"/>
              <w:rPr>
                <w:sz w:val="20"/>
                <w:szCs w:val="20"/>
                <w:color w:val="auto"/>
              </w:rPr>
            </w:pPr>
            <w:r>
              <w:rPr>
                <w:rFonts w:ascii="Arial" w:cs="Arial" w:eastAsia="Arial" w:hAnsi="Arial"/>
                <w:sz w:val="14"/>
                <w:szCs w:val="14"/>
                <w:color w:val="auto"/>
              </w:rPr>
              <w:t>income taxes</w:t>
            </w: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13,123</w:t>
            </w: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(237,041)</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5"/>
              </w:rPr>
              <w:t>(40,094)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(42,531)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(91,951)</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(223,918)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(148,826)</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Operating income tax expense</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(benefit)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5,506</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(94,555)</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5"/>
              </w:rPr>
              <w:t>(16,520)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(16,706)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(32,419)</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(89,049)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(54,836)</w:t>
            </w: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80" w:type="dxa"/>
            <w:vAlign w:val="bottom"/>
            <w:gridSpan w:val="2"/>
          </w:tcPr>
          <w:p>
            <w:pPr>
              <w:ind w:left="400"/>
              <w:spacing w:after="0" w:line="133" w:lineRule="exact"/>
              <w:rPr>
                <w:sz w:val="20"/>
                <w:szCs w:val="20"/>
                <w:color w:val="auto"/>
              </w:rPr>
            </w:pPr>
            <w:r>
              <w:rPr>
                <w:rFonts w:ascii="Arial" w:cs="Arial" w:eastAsia="Arial" w:hAnsi="Arial"/>
                <w:sz w:val="14"/>
                <w:szCs w:val="14"/>
                <w:b w:val="1"/>
                <w:bCs w:val="1"/>
                <w:color w:val="auto"/>
              </w:rPr>
              <w:t>Net operating income</w:t>
            </w: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600"/>
              <w:spacing w:after="0" w:line="149" w:lineRule="exact"/>
              <w:rPr>
                <w:sz w:val="20"/>
                <w:szCs w:val="20"/>
                <w:color w:val="auto"/>
              </w:rPr>
            </w:pPr>
            <w:r>
              <w:rPr>
                <w:rFonts w:ascii="Arial" w:cs="Arial" w:eastAsia="Arial" w:hAnsi="Arial"/>
                <w:sz w:val="14"/>
                <w:szCs w:val="14"/>
                <w:b w:val="1"/>
                <w:bCs w:val="1"/>
                <w:color w:val="auto"/>
              </w:rPr>
              <w:t>(loss) from continuing</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gridSpan w:val="2"/>
          </w:tcPr>
          <w:p>
            <w:pPr>
              <w:ind w:left="600"/>
              <w:spacing w:after="0"/>
              <w:rPr>
                <w:sz w:val="20"/>
                <w:szCs w:val="20"/>
                <w:color w:val="auto"/>
              </w:rPr>
            </w:pPr>
            <w:r>
              <w:rPr>
                <w:rFonts w:ascii="Arial" w:cs="Arial" w:eastAsia="Arial" w:hAnsi="Arial"/>
                <w:sz w:val="14"/>
                <w:szCs w:val="14"/>
                <w:b w:val="1"/>
                <w:bCs w:val="1"/>
                <w:color w:val="auto"/>
              </w:rPr>
              <w:t xml:space="preserve">operations </w:t>
            </w:r>
            <w:r>
              <w:rPr>
                <w:rFonts w:ascii="Arial" w:cs="Arial" w:eastAsia="Arial" w:hAnsi="Arial"/>
                <w:sz w:val="12"/>
                <w:szCs w:val="12"/>
                <w:color w:val="auto"/>
              </w:rPr>
              <w:t>(1)(2)(3)</w:t>
            </w: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7,617</w:t>
            </w: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(142,486)</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5"/>
              </w:rPr>
              <w:t>(23,574)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(25,825)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(59,532)</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(134,869)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(93,990)</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5"/>
              </w:rPr>
              <w:t>Noncash goodwill impairment charges</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(210,590)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80" w:type="dxa"/>
            <w:vAlign w:val="bottom"/>
            <w:gridSpan w:val="2"/>
          </w:tcPr>
          <w:p>
            <w:pPr>
              <w:spacing w:after="0" w:line="130" w:lineRule="exact"/>
              <w:rPr>
                <w:sz w:val="20"/>
                <w:szCs w:val="20"/>
                <w:color w:val="auto"/>
              </w:rPr>
            </w:pPr>
            <w:r>
              <w:rPr>
                <w:rFonts w:ascii="Arial" w:cs="Arial" w:eastAsia="Arial" w:hAnsi="Arial"/>
                <w:sz w:val="14"/>
                <w:szCs w:val="14"/>
                <w:color w:val="auto"/>
              </w:rPr>
              <w:t>Partial reversal of fraud loss</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200"/>
              <w:spacing w:after="0"/>
              <w:rPr>
                <w:sz w:val="20"/>
                <w:szCs w:val="20"/>
                <w:color w:val="auto"/>
              </w:rPr>
            </w:pPr>
            <w:r>
              <w:rPr>
                <w:rFonts w:ascii="Arial" w:cs="Arial" w:eastAsia="Arial" w:hAnsi="Arial"/>
                <w:sz w:val="14"/>
                <w:szCs w:val="14"/>
                <w:color w:val="auto"/>
              </w:rPr>
              <w:t>provision, net of income tax</w:t>
            </w: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7,179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Loss from discontinued operations,</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of income tax</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(101)</w:t>
            </w: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80" w:type="dxa"/>
            <w:vAlign w:val="bottom"/>
            <w:gridSpan w:val="2"/>
          </w:tcPr>
          <w:p>
            <w:pPr>
              <w:spacing w:after="0" w:line="130" w:lineRule="exact"/>
              <w:rPr>
                <w:sz w:val="20"/>
                <w:szCs w:val="20"/>
                <w:color w:val="auto"/>
              </w:rPr>
            </w:pPr>
            <w:r>
              <w:rPr>
                <w:rFonts w:ascii="Arial" w:cs="Arial" w:eastAsia="Arial" w:hAnsi="Arial"/>
                <w:sz w:val="14"/>
                <w:szCs w:val="14"/>
                <w:color w:val="auto"/>
              </w:rPr>
              <w:t>Gain from sale of subsidiary, net</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200"/>
              <w:spacing w:after="0"/>
              <w:rPr>
                <w:sz w:val="20"/>
                <w:szCs w:val="20"/>
                <w:color w:val="auto"/>
              </w:rPr>
            </w:pPr>
            <w:r>
              <w:rPr>
                <w:rFonts w:ascii="Arial" w:cs="Arial" w:eastAsia="Arial" w:hAnsi="Arial"/>
                <w:sz w:val="14"/>
                <w:szCs w:val="14"/>
                <w:color w:val="auto"/>
              </w:rPr>
              <w:t>income tax</w:t>
            </w: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1,266</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Net income (loss)</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7,617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(142,486)</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(16,395)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(236,415)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(59,532)</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(134,869)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(92,825)</w:t>
            </w: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80" w:type="dxa"/>
            <w:vAlign w:val="bottom"/>
            <w:gridSpan w:val="2"/>
          </w:tcPr>
          <w:p>
            <w:pPr>
              <w:spacing w:after="0" w:line="130" w:lineRule="exact"/>
              <w:rPr>
                <w:sz w:val="20"/>
                <w:szCs w:val="20"/>
                <w:color w:val="auto"/>
              </w:rPr>
            </w:pPr>
            <w:r>
              <w:rPr>
                <w:rFonts w:ascii="Arial" w:cs="Arial" w:eastAsia="Arial" w:hAnsi="Arial"/>
                <w:sz w:val="14"/>
                <w:szCs w:val="14"/>
                <w:color w:val="auto"/>
              </w:rPr>
              <w:t>Preferred dividends and discount</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280" w:type="dxa"/>
            <w:vAlign w:val="bottom"/>
            <w:gridSpan w:val="2"/>
          </w:tcPr>
          <w:p>
            <w:pPr>
              <w:ind w:left="200"/>
              <w:spacing w:after="0"/>
              <w:rPr>
                <w:sz w:val="20"/>
                <w:szCs w:val="20"/>
                <w:color w:val="auto"/>
              </w:rPr>
            </w:pPr>
            <w:r>
              <w:rPr>
                <w:rFonts w:ascii="Arial" w:cs="Arial" w:eastAsia="Arial" w:hAnsi="Arial"/>
                <w:sz w:val="14"/>
                <w:szCs w:val="14"/>
                <w:color w:val="auto"/>
              </w:rPr>
              <w:t>accretion</w:t>
            </w:r>
          </w:p>
        </w:tc>
        <w:tc>
          <w:tcPr>
            <w:tcW w:w="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3,016</w:t>
            </w:r>
          </w:p>
        </w:tc>
        <w:tc>
          <w:tcPr>
            <w:tcW w:w="8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2,778</w:t>
            </w:r>
          </w:p>
        </w:tc>
        <w:tc>
          <w:tcPr>
            <w:tcW w:w="10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2,586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2,581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2,577</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5,794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5,149</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8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Net income (loss) available to</w:t>
            </w: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3"/>
              </w:rPr>
              <w:t>(145,264)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5"/>
              </w:rPr>
              <w:t>(18,981)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3"/>
              </w:rPr>
              <w:t>(238,996)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(62,109)</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3"/>
              </w:rPr>
              <w:t>(140,663)</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(97,974)</w:t>
            </w: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PERFORMANCE MEASURES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2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Per common share:</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80" w:type="dxa"/>
            <w:vAlign w:val="bottom"/>
            <w:gridSpan w:val="2"/>
          </w:tcPr>
          <w:p>
            <w:pPr>
              <w:ind w:left="400"/>
              <w:spacing w:after="0" w:line="130" w:lineRule="exact"/>
              <w:rPr>
                <w:sz w:val="20"/>
                <w:szCs w:val="20"/>
                <w:color w:val="auto"/>
              </w:rPr>
            </w:pPr>
            <w:r>
              <w:rPr>
                <w:rFonts w:ascii="Arial" w:cs="Arial" w:eastAsia="Arial" w:hAnsi="Arial"/>
                <w:sz w:val="14"/>
                <w:szCs w:val="14"/>
                <w:color w:val="auto"/>
              </w:rPr>
              <w:t>Diluted operating income</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(loss) from continuing</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600"/>
              <w:spacing w:after="0"/>
              <w:rPr>
                <w:sz w:val="20"/>
                <w:szCs w:val="20"/>
                <w:color w:val="auto"/>
              </w:rPr>
            </w:pPr>
            <w:r>
              <w:rPr>
                <w:rFonts w:ascii="Arial" w:cs="Arial" w:eastAsia="Arial" w:hAnsi="Arial"/>
                <w:sz w:val="14"/>
                <w:szCs w:val="14"/>
                <w:color w:val="auto"/>
              </w:rPr>
              <w:t xml:space="preserve">operations </w:t>
            </w:r>
            <w:r>
              <w:rPr>
                <w:rFonts w:ascii="Arial" w:cs="Arial" w:eastAsia="Arial" w:hAnsi="Arial"/>
                <w:sz w:val="12"/>
                <w:szCs w:val="12"/>
                <w:color w:val="auto"/>
              </w:rPr>
              <w:t>(1)(2)(3)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.08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(7.87)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(1.38)</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(1.50)</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(3.29)</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(6.40)</w:t>
            </w:r>
          </w:p>
        </w:tc>
        <w:tc>
          <w:tcPr>
            <w:tcW w:w="1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(5.25)</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8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Diluted income (loss) from</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continuing operations</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(7.87)</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(12.62)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(3.29)</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(6.40)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(5.25)</w:t>
            </w: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Diluted income (loss)</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.08</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(7.87)</w:t>
            </w: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(12.62)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(3.29)</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(5.19)</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Book value</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11.59</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14.78</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24.18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25.70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38.55</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11.59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38.55</w:t>
            </w:r>
          </w:p>
        </w:tc>
        <w:tc>
          <w:tcPr>
            <w:tcW w:w="8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2"/>
        </w:trPr>
        <w:tc>
          <w:tcPr>
            <w:tcW w:w="2280" w:type="dxa"/>
            <w:vAlign w:val="bottom"/>
            <w:gridSpan w:val="2"/>
          </w:tcPr>
          <w:p>
            <w:pPr>
              <w:ind w:left="400"/>
              <w:spacing w:after="0"/>
              <w:rPr>
                <w:sz w:val="20"/>
                <w:szCs w:val="20"/>
                <w:color w:val="auto"/>
              </w:rPr>
            </w:pPr>
            <w:r>
              <w:rPr>
                <w:rFonts w:ascii="Arial" w:cs="Arial" w:eastAsia="Arial" w:hAnsi="Arial"/>
                <w:sz w:val="14"/>
                <w:szCs w:val="14"/>
                <w:color w:val="auto"/>
              </w:rPr>
              <w:t xml:space="preserve">Tangible book value </w:t>
            </w:r>
            <w:r>
              <w:rPr>
                <w:rFonts w:ascii="Arial" w:cs="Arial" w:eastAsia="Arial" w:hAnsi="Arial"/>
                <w:sz w:val="12"/>
                <w:szCs w:val="12"/>
                <w:color w:val="auto"/>
              </w:rPr>
              <w:t>(5)</w:t>
            </w:r>
          </w:p>
        </w:tc>
        <w:tc>
          <w:tcPr>
            <w:tcW w:w="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11.47</w:t>
            </w:r>
          </w:p>
        </w:tc>
        <w:tc>
          <w:tcPr>
            <w:tcW w:w="8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14.44</w:t>
            </w:r>
          </w:p>
        </w:tc>
        <w:tc>
          <w:tcPr>
            <w:tcW w:w="10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23.78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25.26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26.95</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11.47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26.95</w:t>
            </w: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15"/>
        </w:trPr>
        <w:tc>
          <w:tcPr>
            <w:tcW w:w="2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Key performance ratios: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 xml:space="preserve">Return on equity </w:t>
            </w:r>
            <w:r>
              <w:rPr>
                <w:rFonts w:ascii="Arial" w:cs="Arial" w:eastAsia="Arial" w:hAnsi="Arial"/>
                <w:sz w:val="12"/>
                <w:szCs w:val="12"/>
                <w:color w:val="auto"/>
              </w:rPr>
              <w:t>(4)(6)</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5.34%</w:t>
            </w: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(147.11)%</w:t>
            </w:r>
          </w:p>
        </w:tc>
        <w:tc>
          <w:tcPr>
            <w:tcW w:w="10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(17.16)%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(148.04)%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(35.89)%</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(76.07)%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(27.87)%</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 xml:space="preserve">Return on assets </w:t>
            </w:r>
            <w:r>
              <w:rPr>
                <w:rFonts w:ascii="Arial" w:cs="Arial" w:eastAsia="Arial" w:hAnsi="Arial"/>
                <w:sz w:val="12"/>
                <w:szCs w:val="12"/>
                <w:color w:val="auto"/>
              </w:rPr>
              <w:t>(6)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(7.61)</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(12.47)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(3.10)</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(2.39)</w:t>
            </w: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2"/>
                <w:szCs w:val="12"/>
                <w:color w:val="auto"/>
              </w:rPr>
              <w:t>(6)</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3.41</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3.30</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3.60</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3.55</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8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w w:val="99"/>
              </w:rPr>
              <w:t>Operating efficiency ratio from</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w w:val="99"/>
              </w:rPr>
              <w:t xml:space="preserve">continuing operations </w:t>
            </w:r>
            <w:r>
              <w:rPr>
                <w:rFonts w:ascii="Arial" w:cs="Arial" w:eastAsia="Arial" w:hAnsi="Arial"/>
                <w:sz w:val="12"/>
                <w:szCs w:val="12"/>
                <w:color w:val="auto"/>
                <w:w w:val="99"/>
              </w:rPr>
              <w:t>(2)(3)</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66.88</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169.08</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89.45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89.38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141.60</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116.28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108.48</w:t>
            </w: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Equity to assets</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11.21</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8.82</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11.84</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11.87</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 xml:space="preserve">Tangible equity to assets </w:t>
            </w:r>
            <w:r>
              <w:rPr>
                <w:rFonts w:ascii="Arial" w:cs="Arial" w:eastAsia="Arial" w:hAnsi="Arial"/>
                <w:sz w:val="12"/>
                <w:szCs w:val="12"/>
                <w:color w:val="auto"/>
              </w:rPr>
              <w:t>(5)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8.73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8.75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9.26</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9.94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9.32</w:t>
            </w: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80" w:type="dxa"/>
            <w:vAlign w:val="bottom"/>
            <w:gridSpan w:val="2"/>
          </w:tcPr>
          <w:p>
            <w:pPr>
              <w:ind w:left="400"/>
              <w:spacing w:after="0" w:line="130" w:lineRule="exact"/>
              <w:rPr>
                <w:sz w:val="20"/>
                <w:szCs w:val="20"/>
                <w:color w:val="auto"/>
              </w:rPr>
            </w:pPr>
            <w:r>
              <w:rPr>
                <w:rFonts w:ascii="Arial" w:cs="Arial" w:eastAsia="Arial" w:hAnsi="Arial"/>
                <w:sz w:val="14"/>
                <w:szCs w:val="14"/>
                <w:color w:val="auto"/>
              </w:rPr>
              <w:t>Tangible common equity to</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600"/>
              <w:spacing w:after="0"/>
              <w:rPr>
                <w:sz w:val="20"/>
                <w:szCs w:val="20"/>
                <w:color w:val="auto"/>
              </w:rPr>
            </w:pPr>
            <w:r>
              <w:rPr>
                <w:rFonts w:ascii="Arial" w:cs="Arial" w:eastAsia="Arial" w:hAnsi="Arial"/>
                <w:sz w:val="14"/>
                <w:szCs w:val="14"/>
                <w:color w:val="auto"/>
              </w:rPr>
              <w:t xml:space="preserve">assets </w:t>
            </w:r>
            <w:r>
              <w:rPr>
                <w:rFonts w:ascii="Arial" w:cs="Arial" w:eastAsia="Arial" w:hAnsi="Arial"/>
                <w:sz w:val="12"/>
                <w:szCs w:val="12"/>
                <w:color w:val="auto"/>
              </w:rPr>
              <w:t>(5)</w:t>
            </w: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4.79</w:t>
            </w: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6.35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6.78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6.91</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5.15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7.02</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8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Tangible common equity to</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 xml:space="preserve">risk-weighted assets </w:t>
            </w:r>
            <w:r>
              <w:rPr>
                <w:rFonts w:ascii="Arial" w:cs="Arial" w:eastAsia="Arial" w:hAnsi="Arial"/>
                <w:sz w:val="12"/>
                <w:szCs w:val="12"/>
                <w:color w:val="auto"/>
              </w:rPr>
              <w:t>(5)</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14.26</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6.40</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9.05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9.60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9.97</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14.26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9.97</w:t>
            </w: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ASSET QUALITY *</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Non-performing loans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71,065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83,769</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0"/>
              </w:rPr>
              <w:t>179,094</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217,766</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224,335</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71,065</w:t>
            </w:r>
          </w:p>
        </w:tc>
        <w:tc>
          <w:tcPr>
            <w:tcW w:w="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224,335</w:t>
            </w: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Foreclosed properties</w:t>
            </w:r>
          </w:p>
        </w:tc>
        <w:tc>
          <w:tcPr>
            <w:tcW w:w="80" w:type="dxa"/>
            <w:vAlign w:val="bottom"/>
          </w:tcPr>
          <w:p>
            <w:pPr>
              <w:spacing w:after="0"/>
              <w:rPr>
                <w:sz w:val="13"/>
                <w:szCs w:val="13"/>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47,584</w:t>
            </w:r>
          </w:p>
        </w:tc>
        <w:tc>
          <w:tcPr>
            <w:tcW w:w="80" w:type="dxa"/>
            <w:vAlign w:val="bottom"/>
          </w:tcPr>
          <w:p>
            <w:pPr>
              <w:spacing w:after="0"/>
              <w:rPr>
                <w:sz w:val="13"/>
                <w:szCs w:val="13"/>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54,378</w:t>
            </w:r>
          </w:p>
        </w:tc>
        <w:tc>
          <w:tcPr>
            <w:tcW w:w="100" w:type="dxa"/>
            <w:vAlign w:val="bottom"/>
          </w:tcPr>
          <w:p>
            <w:pPr>
              <w:spacing w:after="0"/>
              <w:rPr>
                <w:sz w:val="13"/>
                <w:szCs w:val="13"/>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0"/>
              </w:rPr>
              <w:t>142,208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129,964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123,910</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47,584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123,910</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28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Total non-performing assets</w:t>
            </w: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(NPAs)</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0"/>
              </w:rPr>
              <w:t>118,649</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138,147</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0"/>
              </w:rPr>
              <w:t>321,302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347,730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4"/>
              </w:rPr>
              <w:t>348,245</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118,649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348,245</w:t>
            </w: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Allowance for loan losses</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0"/>
              </w:rPr>
              <w:t>127,638</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133,121</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0"/>
              </w:rPr>
              <w:t>174,695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174,613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174,111</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127,638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8"/>
              </w:rPr>
              <w:t>174,111</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 xml:space="preserve">Operating net charge-offs </w:t>
            </w: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16,483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231,574</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47,668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49,998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61,323</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248,057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8"/>
              </w:rPr>
              <w:t>117,991</w:t>
            </w: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7"/>
              </w:rPr>
              <w:t>Allowance for loan losses to loans</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3.07%</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3.17%</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3.57%</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3.57%</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8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Operating net charge-offs to</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xml:space="preserve">average loans </w:t>
            </w:r>
            <w:r>
              <w:rPr>
                <w:rFonts w:ascii="Arial" w:cs="Arial" w:eastAsia="Arial" w:hAnsi="Arial"/>
                <w:sz w:val="12"/>
                <w:szCs w:val="12"/>
                <w:color w:val="auto"/>
              </w:rPr>
              <w:t>(1)(6)</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1.58</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20.71</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4.98</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11.46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4.75</w:t>
            </w: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8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NPAs to loans and foreclosed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400"/>
              <w:spacing w:after="0"/>
              <w:rPr>
                <w:sz w:val="20"/>
                <w:szCs w:val="20"/>
                <w:color w:val="auto"/>
              </w:rPr>
            </w:pPr>
            <w:r>
              <w:rPr>
                <w:rFonts w:ascii="Arial" w:cs="Arial" w:eastAsia="Arial" w:hAnsi="Arial"/>
                <w:sz w:val="14"/>
                <w:szCs w:val="14"/>
                <w:color w:val="auto"/>
              </w:rPr>
              <w:t>properties</w:t>
            </w:r>
          </w:p>
        </w:tc>
        <w:tc>
          <w:tcPr>
            <w:tcW w:w="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2.82</w:t>
            </w: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6.77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7.11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6.97</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2.82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6.97</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NPAs to total assets</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4.55</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4.55</w:t>
            </w: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AVERAGE BALANCES </w:t>
            </w:r>
            <w:r>
              <w:rPr>
                <w:rFonts w:ascii="Arial" w:cs="Arial" w:eastAsia="Arial" w:hAnsi="Arial"/>
                <w:sz w:val="14"/>
                <w:szCs w:val="14"/>
                <w:i w:val="1"/>
                <w:iCs w:val="1"/>
                <w:color w:val="auto"/>
              </w:rPr>
              <w:t>($ in</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200"/>
              <w:spacing w:after="0"/>
              <w:rPr>
                <w:sz w:val="20"/>
                <w:szCs w:val="20"/>
                <w:color w:val="auto"/>
              </w:rPr>
            </w:pPr>
            <w:r>
              <w:rPr>
                <w:rFonts w:ascii="Arial" w:cs="Arial" w:eastAsia="Arial" w:hAnsi="Arial"/>
                <w:sz w:val="14"/>
                <w:szCs w:val="14"/>
                <w:i w:val="1"/>
                <w:iCs w:val="1"/>
                <w:color w:val="auto"/>
              </w:rPr>
              <w:t>millions)</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Loans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4,599</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4,768</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4,896</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5,011</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4,432</w:t>
            </w:r>
          </w:p>
        </w:tc>
        <w:tc>
          <w:tcPr>
            <w:tcW w:w="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5,091</w:t>
            </w:r>
          </w:p>
        </w:tc>
        <w:tc>
          <w:tcPr>
            <w:tcW w:w="8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2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2,074</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1,625</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1,354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1,411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1,532</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1,851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1,525</w:t>
            </w: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Earning assets</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6,924</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6,902</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6,680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6,676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6,854</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6,913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6,969</w:t>
            </w:r>
          </w:p>
        </w:tc>
        <w:tc>
          <w:tcPr>
            <w:tcW w:w="8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2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7,624</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7,595</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7,338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7,704</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7,609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7,825</w:t>
            </w: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Deposits</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6,372</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6,560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6,294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6,257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6,375</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6,465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6,472</w:t>
            </w: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Shareholders’ equity</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854</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670</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855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912</w:t>
            </w:r>
          </w:p>
        </w:tc>
        <w:tc>
          <w:tcPr>
            <w:tcW w:w="2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763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929</w:t>
            </w: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0"/>
        </w:trPr>
        <w:tc>
          <w:tcPr>
            <w:tcW w:w="228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Common shares — basic</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gridSpan w:val="2"/>
            <w:shd w:val="clear" w:color="auto" w:fill="CCEEFF"/>
          </w:tcPr>
          <w:p>
            <w:pPr>
              <w:ind w:left="400"/>
              <w:spacing w:after="0"/>
              <w:rPr>
                <w:sz w:val="20"/>
                <w:szCs w:val="20"/>
                <w:color w:val="auto"/>
              </w:rPr>
            </w:pPr>
            <w:r>
              <w:rPr>
                <w:rFonts w:ascii="Arial" w:cs="Arial" w:eastAsia="Arial" w:hAnsi="Arial"/>
                <w:sz w:val="14"/>
                <w:szCs w:val="14"/>
                <w:i w:val="1"/>
                <w:iCs w:val="1"/>
                <w:color w:val="auto"/>
              </w:rPr>
              <w:t>(thousands)</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25,427</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18,466</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18,984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18,936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18,905</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21,965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18,891</w:t>
            </w: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8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Common shares — diluted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280" w:type="dxa"/>
            <w:vAlign w:val="bottom"/>
            <w:gridSpan w:val="2"/>
          </w:tcPr>
          <w:p>
            <w:pPr>
              <w:ind w:left="400"/>
              <w:spacing w:after="0"/>
              <w:rPr>
                <w:sz w:val="20"/>
                <w:szCs w:val="20"/>
                <w:color w:val="auto"/>
              </w:rPr>
            </w:pPr>
            <w:r>
              <w:rPr>
                <w:rFonts w:ascii="Arial" w:cs="Arial" w:eastAsia="Arial" w:hAnsi="Arial"/>
                <w:sz w:val="14"/>
                <w:szCs w:val="14"/>
                <w:i w:val="1"/>
                <w:iCs w:val="1"/>
                <w:color w:val="auto"/>
              </w:rPr>
              <w:t>(thousands)</w:t>
            </w:r>
          </w:p>
        </w:tc>
        <w:tc>
          <w:tcPr>
            <w:tcW w:w="8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57,543</w:t>
            </w:r>
          </w:p>
        </w:tc>
        <w:tc>
          <w:tcPr>
            <w:tcW w:w="8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18,466</w:t>
            </w:r>
          </w:p>
        </w:tc>
        <w:tc>
          <w:tcPr>
            <w:tcW w:w="10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18,984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18,936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18,905</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21,965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18,891</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AT PERIOD END </w:t>
            </w:r>
            <w:r>
              <w:rPr>
                <w:rFonts w:ascii="Arial" w:cs="Arial" w:eastAsia="Arial" w:hAnsi="Arial"/>
                <w:sz w:val="14"/>
                <w:szCs w:val="14"/>
                <w:i w:val="1"/>
                <w:iCs w:val="1"/>
                <w:color w:val="auto"/>
              </w:rPr>
              <w:t>($ in millions)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Loans *</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4,163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4,194</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4,604</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4,760</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4,873</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4,163</w:t>
            </w:r>
          </w:p>
        </w:tc>
        <w:tc>
          <w:tcPr>
            <w:tcW w:w="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4,873</w:t>
            </w: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 securities</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2,188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1,884</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1,490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1,310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1,488</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2,188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1,488</w:t>
            </w: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2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7,410</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7,974</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7,443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7,013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7,652</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7,652</w:t>
            </w: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Deposits</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6,183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6,598</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6,469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5,999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6,330</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6,183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6,330</w:t>
            </w:r>
          </w:p>
        </w:tc>
        <w:tc>
          <w:tcPr>
            <w:tcW w:w="8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2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Shareholders’ equity</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860</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850</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904</w:t>
            </w:r>
          </w:p>
        </w:tc>
        <w:tc>
          <w:tcPr>
            <w:tcW w:w="2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904</w:t>
            </w:r>
          </w:p>
        </w:tc>
        <w:tc>
          <w:tcPr>
            <w:tcW w:w="8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0"/>
        </w:trPr>
        <w:tc>
          <w:tcPr>
            <w:tcW w:w="228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Common shares outstanding</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gridSpan w:val="2"/>
            <w:shd w:val="clear" w:color="auto" w:fill="CCEEFF"/>
          </w:tcPr>
          <w:p>
            <w:pPr>
              <w:ind w:left="400"/>
              <w:spacing w:after="0"/>
              <w:rPr>
                <w:sz w:val="20"/>
                <w:szCs w:val="20"/>
                <w:color w:val="auto"/>
              </w:rPr>
            </w:pPr>
            <w:r>
              <w:rPr>
                <w:rFonts w:ascii="Arial" w:cs="Arial" w:eastAsia="Arial" w:hAnsi="Arial"/>
                <w:sz w:val="14"/>
                <w:szCs w:val="14"/>
                <w:i w:val="1"/>
                <w:iCs w:val="1"/>
                <w:color w:val="auto"/>
              </w:rPr>
              <w:t>(thousands)</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57,469</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20,903</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18,937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18,887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18,856</w:t>
            </w: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57,469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18,856</w:t>
            </w: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720" w:right="159" w:hanging="388"/>
        <w:spacing w:after="0" w:line="264" w:lineRule="auto"/>
        <w:tabs>
          <w:tab w:leader="none" w:pos="720" w:val="left"/>
        </w:tabs>
        <w:numPr>
          <w:ilvl w:val="0"/>
          <w:numId w:val="9"/>
        </w:numPr>
        <w:rPr>
          <w:rFonts w:ascii="Arial" w:cs="Arial" w:eastAsia="Arial" w:hAnsi="Arial"/>
          <w:sz w:val="15"/>
          <w:szCs w:val="15"/>
          <w:color w:val="auto"/>
        </w:rPr>
      </w:pPr>
      <w:r>
        <w:rPr>
          <w:rFonts w:ascii="Arial" w:cs="Arial" w:eastAsia="Arial" w:hAnsi="Arial"/>
          <w:sz w:val="18"/>
          <w:szCs w:val="18"/>
          <w:color w:val="auto"/>
        </w:rPr>
        <w:t>Excludes the partial reversal of a previously established provision for fraud-related loan losses of $11.8 million, net of tax expense of $4.6 million in the fourth quarter of 2010. Operating charge-offs also exclude the $11.8 million related partial recovery of the previously charged off amount.</w:t>
      </w:r>
    </w:p>
    <w:p>
      <w:pPr>
        <w:spacing w:after="0" w:line="32" w:lineRule="exact"/>
        <w:rPr>
          <w:rFonts w:ascii="Arial" w:cs="Arial" w:eastAsia="Arial" w:hAnsi="Arial"/>
          <w:sz w:val="15"/>
          <w:szCs w:val="15"/>
          <w:color w:val="auto"/>
        </w:rPr>
      </w:pPr>
    </w:p>
    <w:p>
      <w:pPr>
        <w:ind w:left="720" w:hanging="388"/>
        <w:spacing w:after="0"/>
        <w:tabs>
          <w:tab w:leader="none" w:pos="720" w:val="left"/>
        </w:tabs>
        <w:numPr>
          <w:ilvl w:val="0"/>
          <w:numId w:val="9"/>
        </w:numPr>
        <w:rPr>
          <w:rFonts w:ascii="Arial" w:cs="Arial" w:eastAsia="Arial" w:hAnsi="Arial"/>
          <w:sz w:val="15"/>
          <w:szCs w:val="15"/>
          <w:color w:val="auto"/>
        </w:rPr>
      </w:pPr>
      <w:r>
        <w:rPr>
          <w:rFonts w:ascii="Arial" w:cs="Arial" w:eastAsia="Arial" w:hAnsi="Arial"/>
          <w:sz w:val="18"/>
          <w:szCs w:val="18"/>
          <w:color w:val="auto"/>
        </w:rPr>
        <w:t>Excludes revenue generated by discontinued operations in the first quarter of 2010.</w:t>
      </w:r>
    </w:p>
    <w:p>
      <w:pPr>
        <w:sectPr>
          <w:pgSz w:w="11900" w:h="16838" w:orient="portrait"/>
          <w:cols w:equalWidth="0" w:num="1">
            <w:col w:w="10219"/>
          </w:cols>
          <w:pgMar w:left="240" w:top="419" w:right="1440" w:bottom="0" w:gutter="0" w:footer="0" w:header="0"/>
        </w:sectPr>
      </w:pPr>
    </w:p>
    <w:bookmarkStart w:id="38" w:name="page39"/>
    <w:bookmarkEnd w:id="38"/>
    <w:p>
      <w:pPr>
        <w:ind w:left="388" w:right="159" w:hanging="388"/>
        <w:spacing w:after="0" w:line="190" w:lineRule="auto"/>
        <w:tabs>
          <w:tab w:leader="none" w:pos="388" w:val="left"/>
        </w:tabs>
        <w:numPr>
          <w:ilvl w:val="0"/>
          <w:numId w:val="10"/>
        </w:numPr>
        <w:rPr>
          <w:rFonts w:ascii="Arial" w:cs="Arial" w:eastAsia="Arial" w:hAnsi="Arial"/>
          <w:sz w:val="31"/>
          <w:szCs w:val="31"/>
          <w:color w:val="auto"/>
          <w:vertAlign w:val="superscript"/>
        </w:rPr>
      </w:pPr>
      <w:r>
        <w:rPr>
          <w:rFonts w:ascii="Arial" w:cs="Arial" w:eastAsia="Arial" w:hAnsi="Arial"/>
          <w:sz w:val="18"/>
          <w:szCs w:val="18"/>
          <w:color w:val="auto"/>
        </w:rPr>
        <w:t>Excludes the goodwill impairment charge of $211 million in the third quarter of 2010 and expenses relating to discontinued operations in the first quarter of 2010.</w:t>
      </w:r>
    </w:p>
    <w:p>
      <w:pPr>
        <w:spacing w:after="0" w:line="53" w:lineRule="exact"/>
        <w:rPr>
          <w:rFonts w:ascii="Arial" w:cs="Arial" w:eastAsia="Arial" w:hAnsi="Arial"/>
          <w:sz w:val="31"/>
          <w:szCs w:val="31"/>
          <w:color w:val="auto"/>
          <w:vertAlign w:val="superscript"/>
        </w:rPr>
      </w:pPr>
    </w:p>
    <w:p>
      <w:pPr>
        <w:ind w:left="388" w:right="159" w:hanging="388"/>
        <w:spacing w:after="0" w:line="277" w:lineRule="auto"/>
        <w:tabs>
          <w:tab w:leader="none" w:pos="388" w:val="left"/>
        </w:tabs>
        <w:numPr>
          <w:ilvl w:val="0"/>
          <w:numId w:val="10"/>
        </w:numPr>
        <w:rPr>
          <w:rFonts w:ascii="Arial" w:cs="Arial" w:eastAsia="Arial" w:hAnsi="Arial"/>
          <w:sz w:val="15"/>
          <w:szCs w:val="15"/>
          <w:color w:val="auto"/>
        </w:rPr>
      </w:pPr>
      <w:r>
        <w:rPr>
          <w:rFonts w:ascii="Arial" w:cs="Arial" w:eastAsia="Arial" w:hAnsi="Arial"/>
          <w:sz w:val="18"/>
          <w:szCs w:val="18"/>
          <w:color w:val="auto"/>
        </w:rPr>
        <w:t>Net loss available to common shareholders, which is net of preferred stock dividends, divided by average realized common equity, which excludes accumulated other comprehensive income (loss).</w:t>
      </w:r>
    </w:p>
    <w:p>
      <w:pPr>
        <w:spacing w:after="0" w:line="21" w:lineRule="exact"/>
        <w:rPr>
          <w:rFonts w:ascii="Arial" w:cs="Arial" w:eastAsia="Arial" w:hAnsi="Arial"/>
          <w:sz w:val="15"/>
          <w:szCs w:val="15"/>
          <w:color w:val="auto"/>
        </w:rPr>
      </w:pPr>
    </w:p>
    <w:p>
      <w:pPr>
        <w:ind w:left="388" w:hanging="388"/>
        <w:spacing w:after="0"/>
        <w:tabs>
          <w:tab w:leader="none" w:pos="388" w:val="left"/>
        </w:tabs>
        <w:numPr>
          <w:ilvl w:val="0"/>
          <w:numId w:val="10"/>
        </w:numPr>
        <w:rPr>
          <w:rFonts w:ascii="Arial" w:cs="Arial" w:eastAsia="Arial" w:hAnsi="Arial"/>
          <w:sz w:val="15"/>
          <w:szCs w:val="15"/>
          <w:color w:val="auto"/>
        </w:rPr>
      </w:pPr>
      <w:r>
        <w:rPr>
          <w:rFonts w:ascii="Arial" w:cs="Arial" w:eastAsia="Arial" w:hAnsi="Arial"/>
          <w:sz w:val="18"/>
          <w:szCs w:val="18"/>
          <w:color w:val="auto"/>
        </w:rPr>
        <w:t>Excludes effect of acquisition related intangibles and associated amortization.</w:t>
      </w:r>
    </w:p>
    <w:p>
      <w:pPr>
        <w:spacing w:after="0" w:line="76" w:lineRule="exact"/>
        <w:rPr>
          <w:rFonts w:ascii="Arial" w:cs="Arial" w:eastAsia="Arial" w:hAnsi="Arial"/>
          <w:sz w:val="15"/>
          <w:szCs w:val="15"/>
          <w:color w:val="auto"/>
        </w:rPr>
      </w:pPr>
    </w:p>
    <w:p>
      <w:pPr>
        <w:ind w:left="388" w:hanging="388"/>
        <w:spacing w:after="0"/>
        <w:tabs>
          <w:tab w:leader="none" w:pos="388" w:val="left"/>
        </w:tabs>
        <w:numPr>
          <w:ilvl w:val="0"/>
          <w:numId w:val="10"/>
        </w:numPr>
        <w:rPr>
          <w:rFonts w:ascii="Arial" w:cs="Arial" w:eastAsia="Arial" w:hAnsi="Arial"/>
          <w:sz w:val="15"/>
          <w:szCs w:val="15"/>
          <w:color w:val="auto"/>
        </w:rPr>
      </w:pPr>
      <w:r>
        <w:rPr>
          <w:rFonts w:ascii="Arial" w:cs="Arial" w:eastAsia="Arial" w:hAnsi="Arial"/>
          <w:sz w:val="18"/>
          <w:szCs w:val="18"/>
          <w:color w:val="auto"/>
        </w:rPr>
        <w:t>Annualized.</w:t>
      </w:r>
    </w:p>
    <w:p>
      <w:pPr>
        <w:spacing w:after="0" w:line="77" w:lineRule="exact"/>
        <w:rPr>
          <w:sz w:val="20"/>
          <w:szCs w:val="20"/>
          <w:color w:val="auto"/>
        </w:rPr>
      </w:pPr>
    </w:p>
    <w:p>
      <w:pPr>
        <w:ind w:left="4768" w:right="2819" w:hanging="4768"/>
        <w:spacing w:after="0" w:line="951" w:lineRule="auto"/>
        <w:tabs>
          <w:tab w:leader="none" w:pos="3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loans and foreclosed properties covered by loss sharing agreements with the FDIC.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-253365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25" w:right="1440" w:bottom="1440" w:gutter="0" w:footer="0" w:header="0"/>
        </w:sectPr>
      </w:pPr>
    </w:p>
    <w:bookmarkStart w:id="39" w:name="page40"/>
    <w:bookmarkEnd w:id="39"/>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right="4019"/>
        <w:spacing w:after="0" w:line="282" w:lineRule="auto"/>
        <w:rPr>
          <w:sz w:val="20"/>
          <w:szCs w:val="20"/>
          <w:color w:val="auto"/>
        </w:rPr>
      </w:pPr>
      <w:r>
        <w:rPr>
          <w:rFonts w:ascii="Arial" w:cs="Arial" w:eastAsia="Arial" w:hAnsi="Arial"/>
          <w:sz w:val="18"/>
          <w:szCs w:val="18"/>
          <w:b w:val="1"/>
          <w:bCs w:val="1"/>
          <w:color w:val="auto"/>
        </w:rPr>
        <w:t>Table 1 Continued — Operating Earnings to GAAP Earnings Reconciliation Selected Financial Information</w:t>
      </w:r>
    </w:p>
    <w:p>
      <w:pPr>
        <w:spacing w:after="0" w:line="9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4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2010</w:t>
            </w: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9"/>
              </w:rPr>
              <w:t>For the Six Months Ended</w:t>
            </w:r>
          </w:p>
        </w:tc>
        <w:tc>
          <w:tcPr>
            <w:tcW w:w="0" w:type="dxa"/>
            <w:vAlign w:val="bottom"/>
          </w:tcPr>
          <w:p>
            <w:pPr>
              <w:spacing w:after="0"/>
              <w:rPr>
                <w:sz w:val="1"/>
                <w:szCs w:val="1"/>
                <w:color w:val="auto"/>
              </w:rPr>
            </w:pPr>
          </w:p>
        </w:tc>
      </w:tr>
      <w:tr>
        <w:trPr>
          <w:trHeight w:val="142"/>
        </w:trPr>
        <w:tc>
          <w:tcPr>
            <w:tcW w:w="3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0"/>
              </w:rPr>
              <w:t>Second</w:t>
            </w:r>
          </w:p>
        </w:tc>
        <w:tc>
          <w:tcPr>
            <w:tcW w:w="80" w:type="dxa"/>
            <w:vAlign w:val="bottom"/>
          </w:tcPr>
          <w:p>
            <w:pPr>
              <w:spacing w:after="0"/>
              <w:rPr>
                <w:sz w:val="12"/>
                <w:szCs w:val="12"/>
                <w:color w:val="auto"/>
              </w:rPr>
            </w:pPr>
          </w:p>
        </w:tc>
        <w:tc>
          <w:tcPr>
            <w:tcW w:w="60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Fourth</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08"/>
              <w:spacing w:after="0" w:line="142" w:lineRule="exact"/>
              <w:rPr>
                <w:sz w:val="20"/>
                <w:szCs w:val="20"/>
                <w:color w:val="auto"/>
              </w:rPr>
            </w:pPr>
            <w:r>
              <w:rPr>
                <w:rFonts w:ascii="Arial" w:cs="Arial" w:eastAsia="Arial" w:hAnsi="Arial"/>
                <w:sz w:val="14"/>
                <w:szCs w:val="14"/>
                <w:b w:val="1"/>
                <w:bCs w:val="1"/>
                <w:color w:val="auto"/>
              </w:rPr>
              <w:t>Third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0"/>
              </w:rPr>
              <w:t>Second</w:t>
            </w:r>
          </w:p>
        </w:tc>
        <w:tc>
          <w:tcPr>
            <w:tcW w:w="220" w:type="dxa"/>
            <w:vAlign w:val="bottom"/>
          </w:tcPr>
          <w:p>
            <w:pPr>
              <w:spacing w:after="0"/>
              <w:rPr>
                <w:sz w:val="12"/>
                <w:szCs w:val="12"/>
                <w:color w:val="auto"/>
              </w:rPr>
            </w:pPr>
          </w:p>
        </w:tc>
        <w:tc>
          <w:tcPr>
            <w:tcW w:w="174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line="142" w:lineRule="exact"/>
              <w:rPr>
                <w:sz w:val="20"/>
                <w:szCs w:val="20"/>
                <w:color w:val="auto"/>
              </w:rPr>
            </w:pPr>
            <w:r>
              <w:rPr>
                <w:rFonts w:ascii="Arial" w:cs="Arial" w:eastAsia="Arial" w:hAnsi="Arial"/>
                <w:sz w:val="14"/>
                <w:szCs w:val="14"/>
                <w:i w:val="1"/>
                <w:iCs w:val="1"/>
                <w:color w:val="auto"/>
              </w:rPr>
              <w:t>data; taxable equivalent)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4"/>
              </w:rPr>
              <w:t>Quarter</w:t>
            </w:r>
          </w:p>
        </w:tc>
        <w:tc>
          <w:tcPr>
            <w:tcW w:w="80" w:type="dxa"/>
            <w:vAlign w:val="bottom"/>
          </w:tcPr>
          <w:p>
            <w:pPr>
              <w:spacing w:after="0"/>
              <w:rPr>
                <w:sz w:val="12"/>
                <w:szCs w:val="12"/>
                <w:color w:val="auto"/>
              </w:rPr>
            </w:pPr>
          </w:p>
        </w:tc>
        <w:tc>
          <w:tcPr>
            <w:tcW w:w="820" w:type="dxa"/>
            <w:vAlign w:val="bottom"/>
            <w:gridSpan w:val="2"/>
          </w:tcPr>
          <w:p>
            <w:pPr>
              <w:jc w:val="right"/>
              <w:ind w:right="228"/>
              <w:spacing w:after="0" w:line="142" w:lineRule="exact"/>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2"/>
                <w:szCs w:val="12"/>
                <w:color w:val="auto"/>
              </w:rPr>
            </w:pPr>
          </w:p>
        </w:tc>
        <w:tc>
          <w:tcPr>
            <w:tcW w:w="760" w:type="dxa"/>
            <w:vAlign w:val="bottom"/>
            <w:gridSpan w:val="2"/>
          </w:tcPr>
          <w:p>
            <w:pPr>
              <w:jc w:val="right"/>
              <w:ind w:right="219"/>
              <w:spacing w:after="0" w:line="142" w:lineRule="exact"/>
              <w:rPr>
                <w:sz w:val="20"/>
                <w:szCs w:val="20"/>
                <w:color w:val="auto"/>
              </w:rPr>
            </w:pPr>
            <w:r>
              <w:rPr>
                <w:rFonts w:ascii="Arial" w:cs="Arial" w:eastAsia="Arial" w:hAnsi="Arial"/>
                <w:sz w:val="14"/>
                <w:szCs w:val="14"/>
                <w:b w:val="1"/>
                <w:bCs w:val="1"/>
                <w:color w:val="auto"/>
                <w:w w:val="94"/>
              </w:rPr>
              <w:t>Quarter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88"/>
              <w:spacing w:after="0" w:line="142" w:lineRule="exact"/>
              <w:rPr>
                <w:sz w:val="20"/>
                <w:szCs w:val="20"/>
                <w:color w:val="auto"/>
              </w:rPr>
            </w:pPr>
            <w:r>
              <w:rPr>
                <w:rFonts w:ascii="Arial" w:cs="Arial" w:eastAsia="Arial" w:hAnsi="Arial"/>
                <w:sz w:val="14"/>
                <w:szCs w:val="14"/>
                <w:b w:val="1"/>
                <w:bCs w:val="1"/>
                <w:color w:val="auto"/>
                <w:w w:val="98"/>
              </w:rPr>
              <w:t>Quarter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59"/>
              <w:spacing w:after="0" w:line="142" w:lineRule="exact"/>
              <w:rPr>
                <w:sz w:val="20"/>
                <w:szCs w:val="20"/>
                <w:color w:val="auto"/>
              </w:rPr>
            </w:pPr>
            <w:r>
              <w:rPr>
                <w:rFonts w:ascii="Arial" w:cs="Arial" w:eastAsia="Arial" w:hAnsi="Arial"/>
                <w:sz w:val="14"/>
                <w:szCs w:val="14"/>
                <w:b w:val="1"/>
                <w:bCs w:val="1"/>
                <w:color w:val="auto"/>
                <w:w w:val="98"/>
              </w:rPr>
              <w:t>Quarter</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revenue reconciliation</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Interest revenue — taxable equivalent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76,931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75,965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81,215</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84,360</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87,699</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152,896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177,548</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Taxable equivalent adjustment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(435)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(497)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(511)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(864)</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156"/>
        </w:trPr>
        <w:tc>
          <w:tcPr>
            <w:tcW w:w="3420" w:type="dxa"/>
            <w:vAlign w:val="bottom"/>
          </w:tcPr>
          <w:p>
            <w:pPr>
              <w:ind w:left="200"/>
              <w:spacing w:after="0" w:line="155" w:lineRule="exact"/>
              <w:rPr>
                <w:sz w:val="20"/>
                <w:szCs w:val="20"/>
                <w:color w:val="auto"/>
              </w:rPr>
            </w:pPr>
            <w:r>
              <w:rPr>
                <w:rFonts w:ascii="Arial" w:cs="Arial" w:eastAsia="Arial" w:hAnsi="Arial"/>
                <w:sz w:val="14"/>
                <w:szCs w:val="14"/>
                <w:color w:val="auto"/>
              </w:rPr>
              <w:t>Interest revenue (GAAP)</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76,502</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75,530</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80,718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83,849</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87,199</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152,032</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176,555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revenue reconciliation</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Net interest revenue — taxable equivalent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58,946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56,392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60,132</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60,014</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61,627</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115,338</w:t>
            </w:r>
          </w:p>
        </w:tc>
        <w:tc>
          <w:tcPr>
            <w:tcW w:w="22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122,906</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Taxable equivalent adjustment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(435)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(497)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(511)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(864)</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156"/>
        </w:trPr>
        <w:tc>
          <w:tcPr>
            <w:tcW w:w="3420" w:type="dxa"/>
            <w:vAlign w:val="bottom"/>
          </w:tcPr>
          <w:p>
            <w:pPr>
              <w:ind w:left="200"/>
              <w:spacing w:after="0" w:line="155" w:lineRule="exact"/>
              <w:rPr>
                <w:sz w:val="20"/>
                <w:szCs w:val="20"/>
                <w:color w:val="auto"/>
              </w:rPr>
            </w:pPr>
            <w:r>
              <w:rPr>
                <w:rFonts w:ascii="Arial" w:cs="Arial" w:eastAsia="Arial" w:hAnsi="Arial"/>
                <w:sz w:val="14"/>
                <w:szCs w:val="14"/>
                <w:color w:val="auto"/>
              </w:rPr>
              <w:t>Net interest revenue (GAAP)</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58,517</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55,957</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59,635</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59,503</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61,127</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114,474</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121,913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Provision for loan losses reconciliation</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Operating provision for loan losses</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11,000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190,000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47,750</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50,500</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61,500</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201,000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136,500</w:t>
            </w:r>
          </w:p>
        </w:tc>
        <w:tc>
          <w:tcPr>
            <w:tcW w:w="0" w:type="dxa"/>
            <w:vAlign w:val="bottom"/>
          </w:tcPr>
          <w:p>
            <w:pPr>
              <w:spacing w:after="0"/>
              <w:rPr>
                <w:sz w:val="1"/>
                <w:szCs w:val="1"/>
                <w:color w:val="auto"/>
              </w:rPr>
            </w:pPr>
          </w:p>
        </w:tc>
      </w:tr>
      <w:tr>
        <w:trPr>
          <w:trHeight w:val="130"/>
        </w:trPr>
        <w:tc>
          <w:tcPr>
            <w:tcW w:w="3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Partial reversal of special fraud-related provision for loan</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loss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(11,750)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420" w:type="dxa"/>
            <w:vAlign w:val="bottom"/>
          </w:tcPr>
          <w:p>
            <w:pPr>
              <w:ind w:left="200"/>
              <w:spacing w:after="0" w:line="155" w:lineRule="exact"/>
              <w:rPr>
                <w:sz w:val="20"/>
                <w:szCs w:val="20"/>
                <w:color w:val="auto"/>
              </w:rPr>
            </w:pPr>
            <w:r>
              <w:rPr>
                <w:rFonts w:ascii="Arial" w:cs="Arial" w:eastAsia="Arial" w:hAnsi="Arial"/>
                <w:sz w:val="14"/>
                <w:szCs w:val="14"/>
                <w:color w:val="auto"/>
              </w:rPr>
              <w:t>Provision for loan losses (GAAP)</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11,000</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190,000</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36,000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50,500</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61,500</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201,000</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136,500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revenue reconciliation</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Total operating revenue</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61,851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(121,770)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24,824</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22,375</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11,706</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(59,919)</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9,651</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Taxable equivalent adjustment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(435)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(497)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(511)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(864)</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130"/>
        </w:trPr>
        <w:tc>
          <w:tcPr>
            <w:tcW w:w="3420" w:type="dxa"/>
            <w:vAlign w:val="bottom"/>
          </w:tcPr>
          <w:p>
            <w:pPr>
              <w:spacing w:after="0" w:line="130" w:lineRule="exact"/>
              <w:rPr>
                <w:sz w:val="20"/>
                <w:szCs w:val="20"/>
                <w:color w:val="auto"/>
              </w:rPr>
            </w:pPr>
            <w:r>
              <w:rPr>
                <w:rFonts w:ascii="Arial" w:cs="Arial" w:eastAsia="Arial" w:hAnsi="Arial"/>
                <w:sz w:val="14"/>
                <w:szCs w:val="14"/>
                <w:color w:val="auto"/>
                <w:w w:val="97"/>
              </w:rPr>
              <w:t>Partial reversal of special fraud-related provision for loan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20" w:type="dxa"/>
            <w:vAlign w:val="bottom"/>
          </w:tcPr>
          <w:p>
            <w:pPr>
              <w:ind w:left="200"/>
              <w:spacing w:after="0"/>
              <w:rPr>
                <w:sz w:val="20"/>
                <w:szCs w:val="20"/>
                <w:color w:val="auto"/>
              </w:rPr>
            </w:pPr>
            <w:r>
              <w:rPr>
                <w:rFonts w:ascii="Arial" w:cs="Arial" w:eastAsia="Arial" w:hAnsi="Arial"/>
                <w:sz w:val="14"/>
                <w:szCs w:val="14"/>
                <w:color w:val="auto"/>
              </w:rPr>
              <w:t>loss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11,750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revenue (GAAP)</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61,422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(122,205)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36,077</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21,864</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11,206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(60,783)</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8,658</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Expense reconciliation</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48,728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115,271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64,918</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64,906</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103,657</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163,999</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158,477</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Noncash goodwill impairment charge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210,590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Operating expense (GAAP)</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48,728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115,271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64,918</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275,496</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103,657</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163,999</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158,477</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w w:val="93"/>
              </w:rPr>
              <w:t>Income (loss) from continuing operations before taxes</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4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3420" w:type="dxa"/>
            <w:vAlign w:val="bottom"/>
          </w:tcPr>
          <w:p>
            <w:pPr>
              <w:ind w:left="200"/>
              <w:spacing w:after="0"/>
              <w:rPr>
                <w:sz w:val="20"/>
                <w:szCs w:val="20"/>
                <w:color w:val="auto"/>
              </w:rPr>
            </w:pPr>
            <w:r>
              <w:rPr>
                <w:rFonts w:ascii="Arial" w:cs="Arial" w:eastAsia="Arial" w:hAnsi="Arial"/>
                <w:sz w:val="14"/>
                <w:szCs w:val="14"/>
                <w:b w:val="1"/>
                <w:bCs w:val="1"/>
                <w:color w:val="auto"/>
              </w:rPr>
              <w:t>reconciliation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Operating income (loss) from continuing operations before</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taxes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13,123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(237,041)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(40,094)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(42,531)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(91,951)</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(223,918)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(148,826)</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Taxable equivalent adjustment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(429)</w:t>
            </w:r>
          </w:p>
        </w:tc>
        <w:tc>
          <w:tcPr>
            <w:tcW w:w="80" w:type="dxa"/>
            <w:vAlign w:val="bottom"/>
          </w:tcPr>
          <w:p>
            <w:pPr>
              <w:spacing w:after="0"/>
              <w:rPr>
                <w:sz w:val="12"/>
                <w:szCs w:val="12"/>
                <w:color w:val="auto"/>
              </w:rPr>
            </w:pPr>
          </w:p>
        </w:tc>
        <w:tc>
          <w:tcPr>
            <w:tcW w:w="8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(435)</w:t>
            </w:r>
          </w:p>
        </w:tc>
        <w:tc>
          <w:tcPr>
            <w:tcW w:w="80" w:type="dxa"/>
            <w:vAlign w:val="bottom"/>
          </w:tcPr>
          <w:p>
            <w:pPr>
              <w:spacing w:after="0"/>
              <w:rPr>
                <w:sz w:val="12"/>
                <w:szCs w:val="12"/>
                <w:color w:val="auto"/>
              </w:rPr>
            </w:pPr>
          </w:p>
        </w:tc>
        <w:tc>
          <w:tcPr>
            <w:tcW w:w="7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(497)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(511)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(500)</w:t>
            </w:r>
          </w:p>
        </w:tc>
        <w:tc>
          <w:tcPr>
            <w:tcW w:w="120" w:type="dxa"/>
            <w:vAlign w:val="bottom"/>
          </w:tcPr>
          <w:p>
            <w:pPr>
              <w:spacing w:after="0"/>
              <w:rPr>
                <w:sz w:val="12"/>
                <w:szCs w:val="12"/>
                <w:color w:val="auto"/>
              </w:rPr>
            </w:pPr>
          </w:p>
        </w:tc>
        <w:tc>
          <w:tcPr>
            <w:tcW w:w="80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(864)</w:t>
            </w:r>
          </w:p>
        </w:tc>
        <w:tc>
          <w:tcPr>
            <w:tcW w:w="120" w:type="dxa"/>
            <w:vAlign w:val="bottom"/>
          </w:tcPr>
          <w:p>
            <w:pPr>
              <w:spacing w:after="0"/>
              <w:rPr>
                <w:sz w:val="12"/>
                <w:szCs w:val="12"/>
                <w:color w:val="auto"/>
              </w:rPr>
            </w:pPr>
          </w:p>
        </w:tc>
        <w:tc>
          <w:tcPr>
            <w:tcW w:w="7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goodwill impairment charge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(210,590)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20" w:type="dxa"/>
            <w:vAlign w:val="bottom"/>
          </w:tcPr>
          <w:p>
            <w:pPr>
              <w:spacing w:after="0" w:line="130" w:lineRule="exact"/>
              <w:rPr>
                <w:sz w:val="20"/>
                <w:szCs w:val="20"/>
                <w:color w:val="auto"/>
              </w:rPr>
            </w:pPr>
            <w:r>
              <w:rPr>
                <w:rFonts w:ascii="Arial" w:cs="Arial" w:eastAsia="Arial" w:hAnsi="Arial"/>
                <w:sz w:val="14"/>
                <w:szCs w:val="14"/>
                <w:color w:val="auto"/>
                <w:w w:val="97"/>
              </w:rPr>
              <w:t>Partial reversal of special fraud-related provision for loan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420" w:type="dxa"/>
            <w:vAlign w:val="bottom"/>
          </w:tcPr>
          <w:p>
            <w:pPr>
              <w:ind w:left="200"/>
              <w:spacing w:after="0"/>
              <w:rPr>
                <w:sz w:val="20"/>
                <w:szCs w:val="20"/>
                <w:color w:val="auto"/>
              </w:rPr>
            </w:pPr>
            <w:r>
              <w:rPr>
                <w:rFonts w:ascii="Arial" w:cs="Arial" w:eastAsia="Arial" w:hAnsi="Arial"/>
                <w:sz w:val="14"/>
                <w:szCs w:val="14"/>
                <w:color w:val="auto"/>
              </w:rPr>
              <w:t>loss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11,750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5"/>
              </w:rPr>
              <w:t>Income (loss) from continuing operations before taxes</w:t>
            </w: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(GAAP)</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12,694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(237,476)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(28,841)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(253,632)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(92,451)</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(224,782)</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(149,819)</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Income tax expense (benefit) reconciliation</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tax expense (benefit)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5,506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(94,555)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(16,520)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(16,706)</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(32,419)</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(89,049)</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(54,836)</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Taxable equivalent adjustment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(429)</w:t>
            </w:r>
          </w:p>
        </w:tc>
        <w:tc>
          <w:tcPr>
            <w:tcW w:w="80" w:type="dxa"/>
            <w:vAlign w:val="bottom"/>
          </w:tcPr>
          <w:p>
            <w:pPr>
              <w:spacing w:after="0"/>
              <w:rPr>
                <w:sz w:val="12"/>
                <w:szCs w:val="12"/>
                <w:color w:val="auto"/>
              </w:rPr>
            </w:pPr>
          </w:p>
        </w:tc>
        <w:tc>
          <w:tcPr>
            <w:tcW w:w="8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(435)</w:t>
            </w:r>
          </w:p>
        </w:tc>
        <w:tc>
          <w:tcPr>
            <w:tcW w:w="80" w:type="dxa"/>
            <w:vAlign w:val="bottom"/>
          </w:tcPr>
          <w:p>
            <w:pPr>
              <w:spacing w:after="0"/>
              <w:rPr>
                <w:sz w:val="12"/>
                <w:szCs w:val="12"/>
                <w:color w:val="auto"/>
              </w:rPr>
            </w:pPr>
          </w:p>
        </w:tc>
        <w:tc>
          <w:tcPr>
            <w:tcW w:w="7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(497)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(511)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(500)</w:t>
            </w:r>
          </w:p>
        </w:tc>
        <w:tc>
          <w:tcPr>
            <w:tcW w:w="120" w:type="dxa"/>
            <w:vAlign w:val="bottom"/>
          </w:tcPr>
          <w:p>
            <w:pPr>
              <w:spacing w:after="0"/>
              <w:rPr>
                <w:sz w:val="12"/>
                <w:szCs w:val="12"/>
                <w:color w:val="auto"/>
              </w:rPr>
            </w:pPr>
          </w:p>
        </w:tc>
        <w:tc>
          <w:tcPr>
            <w:tcW w:w="80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(864)</w:t>
            </w:r>
          </w:p>
        </w:tc>
        <w:tc>
          <w:tcPr>
            <w:tcW w:w="120" w:type="dxa"/>
            <w:vAlign w:val="bottom"/>
          </w:tcPr>
          <w:p>
            <w:pPr>
              <w:spacing w:after="0"/>
              <w:rPr>
                <w:sz w:val="12"/>
                <w:szCs w:val="12"/>
                <w:color w:val="auto"/>
              </w:rPr>
            </w:pPr>
          </w:p>
        </w:tc>
        <w:tc>
          <w:tcPr>
            <w:tcW w:w="7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130"/>
        </w:trPr>
        <w:tc>
          <w:tcPr>
            <w:tcW w:w="3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Partial reversal of special fraud-related provision for loan</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loss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4,571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420" w:type="dxa"/>
            <w:vAlign w:val="bottom"/>
          </w:tcPr>
          <w:p>
            <w:pPr>
              <w:ind w:left="200"/>
              <w:spacing w:after="0" w:line="155" w:lineRule="exact"/>
              <w:rPr>
                <w:sz w:val="20"/>
                <w:szCs w:val="20"/>
                <w:color w:val="auto"/>
              </w:rPr>
            </w:pPr>
            <w:r>
              <w:rPr>
                <w:rFonts w:ascii="Arial" w:cs="Arial" w:eastAsia="Arial" w:hAnsi="Arial"/>
                <w:sz w:val="14"/>
                <w:szCs w:val="14"/>
                <w:color w:val="auto"/>
              </w:rPr>
              <w:t>Income tax expense (benefit) (GAAP)</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5,077</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(94,990</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(12,446</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(17,217</w:t>
            </w:r>
          </w:p>
        </w:tc>
        <w:tc>
          <w:tcPr>
            <w:tcW w:w="180" w:type="dxa"/>
            <w:vAlign w:val="bottom"/>
          </w:tcPr>
          <w:p>
            <w:pPr>
              <w:jc w:val="right"/>
              <w:ind w:right="48"/>
              <w:spacing w:after="0" w:line="155" w:lineRule="exact"/>
              <w:rPr>
                <w:sz w:val="20"/>
                <w:szCs w:val="20"/>
                <w:color w:val="auto"/>
              </w:rPr>
            </w:pPr>
            <w:r>
              <w:rPr>
                <w:rFonts w:ascii="Arial" w:cs="Arial" w:eastAsia="Arial" w:hAnsi="Arial"/>
                <w:sz w:val="14"/>
                <w:szCs w:val="14"/>
                <w:color w:val="auto"/>
                <w:w w:val="84"/>
              </w:rPr>
              <w:t>)</w:t>
            </w: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(32,919</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(89,913</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(55,829</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3"/>
              </w:rPr>
              <w:t>Diluted earnings (loss) from continuing operations per</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common share reconciliation</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20" w:type="dxa"/>
            <w:vAlign w:val="bottom"/>
          </w:tcPr>
          <w:p>
            <w:pPr>
              <w:spacing w:after="0" w:line="130" w:lineRule="exact"/>
              <w:rPr>
                <w:sz w:val="20"/>
                <w:szCs w:val="20"/>
                <w:color w:val="auto"/>
              </w:rPr>
            </w:pPr>
            <w:r>
              <w:rPr>
                <w:rFonts w:ascii="Arial" w:cs="Arial" w:eastAsia="Arial" w:hAnsi="Arial"/>
                <w:sz w:val="14"/>
                <w:szCs w:val="14"/>
                <w:color w:val="auto"/>
              </w:rPr>
              <w:t>Diluted operating earnings (loss) from continuing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20" w:type="dxa"/>
            <w:vAlign w:val="bottom"/>
          </w:tcPr>
          <w:p>
            <w:pPr>
              <w:ind w:left="200"/>
              <w:spacing w:after="0"/>
              <w:rPr>
                <w:sz w:val="20"/>
                <w:szCs w:val="20"/>
                <w:color w:val="auto"/>
              </w:rPr>
            </w:pPr>
            <w:r>
              <w:rPr>
                <w:rFonts w:ascii="Arial" w:cs="Arial" w:eastAsia="Arial" w:hAnsi="Arial"/>
                <w:sz w:val="14"/>
                <w:szCs w:val="14"/>
                <w:color w:val="auto"/>
              </w:rPr>
              <w:t>operations per common share</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.08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88"/>
              <w:spacing w:after="0"/>
              <w:rPr>
                <w:sz w:val="20"/>
                <w:szCs w:val="20"/>
                <w:color w:val="auto"/>
              </w:rPr>
            </w:pPr>
            <w:r>
              <w:rPr>
                <w:rFonts w:ascii="Arial" w:cs="Arial" w:eastAsia="Arial" w:hAnsi="Arial"/>
                <w:sz w:val="14"/>
                <w:szCs w:val="14"/>
                <w:color w:val="auto"/>
              </w:rPr>
              <w:t>(7.87)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79"/>
              <w:spacing w:after="0"/>
              <w:rPr>
                <w:sz w:val="20"/>
                <w:szCs w:val="20"/>
                <w:color w:val="auto"/>
              </w:rPr>
            </w:pPr>
            <w:r>
              <w:rPr>
                <w:rFonts w:ascii="Arial" w:cs="Arial" w:eastAsia="Arial" w:hAnsi="Arial"/>
                <w:sz w:val="14"/>
                <w:szCs w:val="14"/>
                <w:color w:val="auto"/>
              </w:rPr>
              <w:t>(1.38)</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8"/>
              <w:spacing w:after="0"/>
              <w:rPr>
                <w:sz w:val="20"/>
                <w:szCs w:val="20"/>
                <w:color w:val="auto"/>
              </w:rPr>
            </w:pPr>
            <w:r>
              <w:rPr>
                <w:rFonts w:ascii="Arial" w:cs="Arial" w:eastAsia="Arial" w:hAnsi="Arial"/>
                <w:sz w:val="14"/>
                <w:szCs w:val="14"/>
                <w:color w:val="auto"/>
              </w:rPr>
              <w:t>(1.50)</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39"/>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39"/>
              <w:spacing w:after="0"/>
              <w:rPr>
                <w:sz w:val="20"/>
                <w:szCs w:val="20"/>
                <w:color w:val="auto"/>
              </w:rPr>
            </w:pPr>
            <w:r>
              <w:rPr>
                <w:rFonts w:ascii="Arial" w:cs="Arial" w:eastAsia="Arial" w:hAnsi="Arial"/>
                <w:sz w:val="14"/>
                <w:szCs w:val="14"/>
                <w:color w:val="auto"/>
              </w:rPr>
              <w:t>(6.40)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9"/>
              <w:spacing w:after="0"/>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goodwill impairment charge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(11.12)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20" w:type="dxa"/>
            <w:vAlign w:val="bottom"/>
          </w:tcPr>
          <w:p>
            <w:pPr>
              <w:spacing w:after="0" w:line="130" w:lineRule="exact"/>
              <w:rPr>
                <w:sz w:val="20"/>
                <w:szCs w:val="20"/>
                <w:color w:val="auto"/>
              </w:rPr>
            </w:pPr>
            <w:r>
              <w:rPr>
                <w:rFonts w:ascii="Arial" w:cs="Arial" w:eastAsia="Arial" w:hAnsi="Arial"/>
                <w:sz w:val="14"/>
                <w:szCs w:val="14"/>
                <w:color w:val="auto"/>
                <w:w w:val="97"/>
              </w:rPr>
              <w:t>Partial reversal of special fraud-related provision for loan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420" w:type="dxa"/>
            <w:vAlign w:val="bottom"/>
          </w:tcPr>
          <w:p>
            <w:pPr>
              <w:ind w:left="200"/>
              <w:spacing w:after="0"/>
              <w:rPr>
                <w:sz w:val="20"/>
                <w:szCs w:val="20"/>
                <w:color w:val="auto"/>
              </w:rPr>
            </w:pPr>
            <w:r>
              <w:rPr>
                <w:rFonts w:ascii="Arial" w:cs="Arial" w:eastAsia="Arial" w:hAnsi="Arial"/>
                <w:sz w:val="14"/>
                <w:szCs w:val="14"/>
                <w:color w:val="auto"/>
              </w:rPr>
              <w:t>loss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19"/>
              <w:spacing w:after="0"/>
              <w:rPr>
                <w:sz w:val="20"/>
                <w:szCs w:val="20"/>
                <w:color w:val="auto"/>
              </w:rPr>
            </w:pPr>
            <w:r>
              <w:rPr>
                <w:rFonts w:ascii="Arial" w:cs="Arial" w:eastAsia="Arial" w:hAnsi="Arial"/>
                <w:sz w:val="14"/>
                <w:szCs w:val="14"/>
                <w:color w:val="auto"/>
              </w:rPr>
              <w:t>.38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6"/>
              </w:rPr>
              <w:t>Diluted earnings (loss) from continuing operations per</w:t>
            </w: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common share (GAAP)</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(7.87)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(1.00)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(12.62)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(6.40)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Book value per common share reconciliation</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Tangible book value per common share</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11.47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14.44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23.78</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25.26</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26.95</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26.95</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Effect of goodwill and other intangibles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.34</w:t>
            </w:r>
          </w:p>
        </w:tc>
        <w:tc>
          <w:tcPr>
            <w:tcW w:w="80" w:type="dxa"/>
            <w:vAlign w:val="bottom"/>
          </w:tcPr>
          <w:p>
            <w:pPr>
              <w:spacing w:after="0"/>
              <w:rPr>
                <w:sz w:val="12"/>
                <w:szCs w:val="12"/>
                <w:color w:val="auto"/>
              </w:rPr>
            </w:pPr>
          </w:p>
        </w:tc>
        <w:tc>
          <w:tcPr>
            <w:tcW w:w="7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.40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.44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11.60</w:t>
            </w:r>
          </w:p>
        </w:tc>
        <w:tc>
          <w:tcPr>
            <w:tcW w:w="120" w:type="dxa"/>
            <w:vAlign w:val="bottom"/>
          </w:tcPr>
          <w:p>
            <w:pPr>
              <w:spacing w:after="0"/>
              <w:rPr>
                <w:sz w:val="12"/>
                <w:szCs w:val="12"/>
                <w:color w:val="auto"/>
              </w:rPr>
            </w:pPr>
          </w:p>
        </w:tc>
        <w:tc>
          <w:tcPr>
            <w:tcW w:w="8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7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Book value per common share (GAAP)</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14.78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24.18</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25.70</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38.55</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38.55</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Efficiency ratio from continuing operations</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4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3420" w:type="dxa"/>
            <w:vAlign w:val="bottom"/>
          </w:tcPr>
          <w:p>
            <w:pPr>
              <w:ind w:left="200"/>
              <w:spacing w:after="0"/>
              <w:rPr>
                <w:sz w:val="20"/>
                <w:szCs w:val="20"/>
                <w:color w:val="auto"/>
              </w:rPr>
            </w:pPr>
            <w:r>
              <w:rPr>
                <w:rFonts w:ascii="Arial" w:cs="Arial" w:eastAsia="Arial" w:hAnsi="Arial"/>
                <w:sz w:val="14"/>
                <w:szCs w:val="14"/>
                <w:b w:val="1"/>
                <w:bCs w:val="1"/>
                <w:color w:val="auto"/>
              </w:rPr>
              <w:t>reconciliation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efficiency ratio from continuing operations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66.88%</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169.08%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89.45%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89.38%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141.60%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116.28%</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108.48%</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Noncash goodwill impairment charge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290.00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Efficiency ratio from continuing operations (GAAP)</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66.88%</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169.08%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89.45%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379.38%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141.60%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116.28%</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108.48%</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Average equity to assets reconciliation</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Tangible common equity to assets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5.51%</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6.91%</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5.15%</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Effect of preferred equity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6.34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3.22</w:t>
            </w:r>
          </w:p>
        </w:tc>
        <w:tc>
          <w:tcPr>
            <w:tcW w:w="80" w:type="dxa"/>
            <w:vAlign w:val="bottom"/>
          </w:tcPr>
          <w:p>
            <w:pPr>
              <w:spacing w:after="0"/>
              <w:rPr>
                <w:sz w:val="12"/>
                <w:szCs w:val="12"/>
                <w:color w:val="auto"/>
              </w:rPr>
            </w:pPr>
          </w:p>
        </w:tc>
        <w:tc>
          <w:tcPr>
            <w:tcW w:w="7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2.40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2.41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2.35</w:t>
            </w:r>
          </w:p>
        </w:tc>
        <w:tc>
          <w:tcPr>
            <w:tcW w:w="120" w:type="dxa"/>
            <w:vAlign w:val="bottom"/>
          </w:tcPr>
          <w:p>
            <w:pPr>
              <w:spacing w:after="0"/>
              <w:rPr>
                <w:sz w:val="12"/>
                <w:szCs w:val="12"/>
                <w:color w:val="auto"/>
              </w:rPr>
            </w:pPr>
          </w:p>
        </w:tc>
        <w:tc>
          <w:tcPr>
            <w:tcW w:w="8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4.79</w:t>
            </w:r>
          </w:p>
        </w:tc>
        <w:tc>
          <w:tcPr>
            <w:tcW w:w="120" w:type="dxa"/>
            <w:vAlign w:val="bottom"/>
          </w:tcPr>
          <w:p>
            <w:pPr>
              <w:spacing w:after="0"/>
              <w:rPr>
                <w:sz w:val="12"/>
                <w:szCs w:val="12"/>
                <w:color w:val="auto"/>
              </w:rPr>
            </w:pPr>
          </w:p>
        </w:tc>
        <w:tc>
          <w:tcPr>
            <w:tcW w:w="7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Tangible equity to assets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8.73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8.75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9.19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9.26</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9.94</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Effect of goodwill and other intangibles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.09</w:t>
            </w:r>
          </w:p>
        </w:tc>
        <w:tc>
          <w:tcPr>
            <w:tcW w:w="80" w:type="dxa"/>
            <w:vAlign w:val="bottom"/>
          </w:tcPr>
          <w:p>
            <w:pPr>
              <w:spacing w:after="0"/>
              <w:rPr>
                <w:sz w:val="12"/>
                <w:szCs w:val="12"/>
                <w:color w:val="auto"/>
              </w:rPr>
            </w:pPr>
          </w:p>
        </w:tc>
        <w:tc>
          <w:tcPr>
            <w:tcW w:w="7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2.58</w:t>
            </w:r>
          </w:p>
        </w:tc>
        <w:tc>
          <w:tcPr>
            <w:tcW w:w="120" w:type="dxa"/>
            <w:vAlign w:val="bottom"/>
          </w:tcPr>
          <w:p>
            <w:pPr>
              <w:spacing w:after="0"/>
              <w:rPr>
                <w:sz w:val="12"/>
                <w:szCs w:val="12"/>
                <w:color w:val="auto"/>
              </w:rPr>
            </w:pPr>
          </w:p>
        </w:tc>
        <w:tc>
          <w:tcPr>
            <w:tcW w:w="8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.08</w:t>
            </w:r>
          </w:p>
        </w:tc>
        <w:tc>
          <w:tcPr>
            <w:tcW w:w="120" w:type="dxa"/>
            <w:vAlign w:val="bottom"/>
          </w:tcPr>
          <w:p>
            <w:pPr>
              <w:spacing w:after="0"/>
              <w:rPr>
                <w:sz w:val="12"/>
                <w:szCs w:val="12"/>
                <w:color w:val="auto"/>
              </w:rPr>
            </w:pPr>
          </w:p>
        </w:tc>
        <w:tc>
          <w:tcPr>
            <w:tcW w:w="7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to assets (GAAP)</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11.21%</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8.82%</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11.84%</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10.02%</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w w:val="92"/>
              </w:rPr>
              <w:t>Actual tangible common equity to risk-weighted assets</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4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3420" w:type="dxa"/>
            <w:vAlign w:val="bottom"/>
          </w:tcPr>
          <w:p>
            <w:pPr>
              <w:ind w:left="200"/>
              <w:spacing w:after="0"/>
              <w:rPr>
                <w:sz w:val="20"/>
                <w:szCs w:val="20"/>
                <w:color w:val="auto"/>
              </w:rPr>
            </w:pPr>
            <w:r>
              <w:rPr>
                <w:rFonts w:ascii="Arial" w:cs="Arial" w:eastAsia="Arial" w:hAnsi="Arial"/>
                <w:sz w:val="14"/>
                <w:szCs w:val="14"/>
                <w:b w:val="1"/>
                <w:bCs w:val="1"/>
                <w:color w:val="auto"/>
              </w:rPr>
              <w:t>reconciliation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Tangible common equity to risk-weighted assets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14.26%</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6.40%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9.97%</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14.26%</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Effect of other comprehensive income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w:t>
            </w:r>
          </w:p>
        </w:tc>
        <w:tc>
          <w:tcPr>
            <w:tcW w:w="80" w:type="dxa"/>
            <w:vAlign w:val="bottom"/>
          </w:tcPr>
          <w:p>
            <w:pPr>
              <w:spacing w:after="0"/>
              <w:rPr>
                <w:sz w:val="12"/>
                <w:szCs w:val="12"/>
                <w:color w:val="auto"/>
              </w:rPr>
            </w:pPr>
          </w:p>
        </w:tc>
        <w:tc>
          <w:tcPr>
            <w:tcW w:w="8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(.58)</w:t>
            </w:r>
          </w:p>
        </w:tc>
        <w:tc>
          <w:tcPr>
            <w:tcW w:w="80" w:type="dxa"/>
            <w:vAlign w:val="bottom"/>
          </w:tcPr>
          <w:p>
            <w:pPr>
              <w:spacing w:after="0"/>
              <w:rPr>
                <w:sz w:val="12"/>
                <w:szCs w:val="12"/>
                <w:color w:val="auto"/>
              </w:rPr>
            </w:pPr>
          </w:p>
        </w:tc>
        <w:tc>
          <w:tcPr>
            <w:tcW w:w="7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(.62)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(.87)</w:t>
            </w:r>
          </w:p>
        </w:tc>
        <w:tc>
          <w:tcPr>
            <w:tcW w:w="120" w:type="dxa"/>
            <w:vAlign w:val="bottom"/>
          </w:tcPr>
          <w:p>
            <w:pPr>
              <w:spacing w:after="0"/>
              <w:rPr>
                <w:sz w:val="12"/>
                <w:szCs w:val="12"/>
                <w:color w:val="auto"/>
              </w:rPr>
            </w:pPr>
          </w:p>
        </w:tc>
        <w:tc>
          <w:tcPr>
            <w:tcW w:w="80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(.65)</w:t>
            </w:r>
          </w:p>
        </w:tc>
        <w:tc>
          <w:tcPr>
            <w:tcW w:w="120" w:type="dxa"/>
            <w:vAlign w:val="bottom"/>
          </w:tcPr>
          <w:p>
            <w:pPr>
              <w:spacing w:after="0"/>
              <w:rPr>
                <w:sz w:val="12"/>
                <w:szCs w:val="12"/>
                <w:color w:val="auto"/>
              </w:rPr>
            </w:pPr>
          </w:p>
        </w:tc>
        <w:tc>
          <w:tcPr>
            <w:tcW w:w="7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deferred tax limitation</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(5.04)</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(5.10)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(3.34)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(2.94)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(5.04)</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Effect of trust preferred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1.14</w:t>
            </w:r>
          </w:p>
        </w:tc>
        <w:tc>
          <w:tcPr>
            <w:tcW w:w="80" w:type="dxa"/>
            <w:vAlign w:val="bottom"/>
          </w:tcPr>
          <w:p>
            <w:pPr>
              <w:spacing w:after="0"/>
              <w:rPr>
                <w:sz w:val="12"/>
                <w:szCs w:val="12"/>
                <w:color w:val="auto"/>
              </w:rPr>
            </w:pP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1.12</w:t>
            </w:r>
          </w:p>
        </w:tc>
        <w:tc>
          <w:tcPr>
            <w:tcW w:w="80" w:type="dxa"/>
            <w:vAlign w:val="bottom"/>
          </w:tcPr>
          <w:p>
            <w:pPr>
              <w:spacing w:after="0"/>
              <w:rPr>
                <w:sz w:val="12"/>
                <w:szCs w:val="12"/>
                <w:color w:val="auto"/>
              </w:rPr>
            </w:pPr>
          </w:p>
        </w:tc>
        <w:tc>
          <w:tcPr>
            <w:tcW w:w="7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1.06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1.03</w:t>
            </w:r>
          </w:p>
        </w:tc>
        <w:tc>
          <w:tcPr>
            <w:tcW w:w="120" w:type="dxa"/>
            <w:vAlign w:val="bottom"/>
          </w:tcPr>
          <w:p>
            <w:pPr>
              <w:spacing w:after="0"/>
              <w:rPr>
                <w:sz w:val="12"/>
                <w:szCs w:val="12"/>
                <w:color w:val="auto"/>
              </w:rPr>
            </w:pPr>
          </w:p>
        </w:tc>
        <w:tc>
          <w:tcPr>
            <w:tcW w:w="8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1.14</w:t>
            </w:r>
          </w:p>
        </w:tc>
        <w:tc>
          <w:tcPr>
            <w:tcW w:w="120" w:type="dxa"/>
            <w:vAlign w:val="bottom"/>
          </w:tcPr>
          <w:p>
            <w:pPr>
              <w:spacing w:after="0"/>
              <w:rPr>
                <w:sz w:val="12"/>
                <w:szCs w:val="12"/>
                <w:color w:val="auto"/>
              </w:rPr>
            </w:pPr>
          </w:p>
        </w:tc>
        <w:tc>
          <w:tcPr>
            <w:tcW w:w="7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preferred equity</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5.97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3.52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3.51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20"/>
        </w:trPr>
        <w:tc>
          <w:tcPr>
            <w:tcW w:w="3420" w:type="dxa"/>
            <w:vAlign w:val="bottom"/>
            <w:vMerge w:val="restart"/>
          </w:tcPr>
          <w:p>
            <w:pPr>
              <w:ind w:left="200"/>
              <w:spacing w:after="0"/>
              <w:rPr>
                <w:sz w:val="20"/>
                <w:szCs w:val="20"/>
                <w:color w:val="auto"/>
              </w:rPr>
            </w:pPr>
            <w:r>
              <w:rPr>
                <w:rFonts w:ascii="Arial" w:cs="Arial" w:eastAsia="Arial" w:hAnsi="Arial"/>
                <w:sz w:val="14"/>
                <w:szCs w:val="14"/>
                <w:color w:val="auto"/>
              </w:rPr>
              <w:t>Tier I capital ratio (Regulatory)</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13.88%</w:t>
            </w:r>
          </w:p>
        </w:tc>
        <w:tc>
          <w:tcPr>
            <w:tcW w:w="80" w:type="dxa"/>
            <w:vAlign w:val="bottom"/>
          </w:tcPr>
          <w:p>
            <w:pPr>
              <w:spacing w:after="0"/>
              <w:rPr>
                <w:sz w:val="13"/>
                <w:szCs w:val="13"/>
                <w:color w:val="auto"/>
              </w:rPr>
            </w:pPr>
          </w:p>
        </w:tc>
        <w:tc>
          <w:tcPr>
            <w:tcW w:w="820" w:type="dxa"/>
            <w:vAlign w:val="bottom"/>
            <w:gridSpan w:val="2"/>
          </w:tcPr>
          <w:p>
            <w:pPr>
              <w:jc w:val="right"/>
              <w:ind w:right="28"/>
              <w:spacing w:after="0" w:line="155" w:lineRule="exact"/>
              <w:rPr>
                <w:sz w:val="20"/>
                <w:szCs w:val="20"/>
                <w:color w:val="auto"/>
              </w:rPr>
            </w:pPr>
            <w:r>
              <w:rPr>
                <w:rFonts w:ascii="Arial" w:cs="Arial" w:eastAsia="Arial" w:hAnsi="Arial"/>
                <w:sz w:val="14"/>
                <w:szCs w:val="14"/>
                <w:color w:val="auto"/>
              </w:rPr>
              <w:t>7.81%</w:t>
            </w:r>
          </w:p>
        </w:tc>
        <w:tc>
          <w:tcPr>
            <w:tcW w:w="80" w:type="dxa"/>
            <w:vAlign w:val="bottom"/>
          </w:tcPr>
          <w:p>
            <w:pPr>
              <w:spacing w:after="0"/>
              <w:rPr>
                <w:sz w:val="13"/>
                <w:szCs w:val="13"/>
                <w:color w:val="auto"/>
              </w:rPr>
            </w:pP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9.67%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10.42%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59"/>
              <w:spacing w:after="0" w:line="155" w:lineRule="exact"/>
              <w:rPr>
                <w:sz w:val="20"/>
                <w:szCs w:val="20"/>
                <w:color w:val="auto"/>
              </w:rPr>
            </w:pPr>
            <w:r>
              <w:rPr>
                <w:rFonts w:ascii="Arial" w:cs="Arial" w:eastAsia="Arial" w:hAnsi="Arial"/>
                <w:sz w:val="14"/>
                <w:szCs w:val="14"/>
                <w:color w:val="auto"/>
              </w:rPr>
              <w:t>11.07%</w:t>
            </w:r>
          </w:p>
        </w:tc>
        <w:tc>
          <w:tcPr>
            <w:tcW w:w="120" w:type="dxa"/>
            <w:vAlign w:val="bottom"/>
          </w:tcPr>
          <w:p>
            <w:pPr>
              <w:spacing w:after="0"/>
              <w:rPr>
                <w:sz w:val="13"/>
                <w:szCs w:val="13"/>
                <w:color w:val="auto"/>
              </w:rPr>
            </w:pPr>
          </w:p>
        </w:tc>
        <w:tc>
          <w:tcPr>
            <w:tcW w:w="800" w:type="dxa"/>
            <w:vAlign w:val="bottom"/>
            <w:gridSpan w:val="2"/>
          </w:tcPr>
          <w:p>
            <w:pPr>
              <w:jc w:val="right"/>
              <w:ind w:right="59"/>
              <w:spacing w:after="0" w:line="155" w:lineRule="exact"/>
              <w:rPr>
                <w:sz w:val="20"/>
                <w:szCs w:val="20"/>
                <w:color w:val="auto"/>
              </w:rPr>
            </w:pPr>
            <w:r>
              <w:rPr>
                <w:rFonts w:ascii="Arial" w:cs="Arial" w:eastAsia="Arial" w:hAnsi="Arial"/>
                <w:sz w:val="14"/>
                <w:szCs w:val="14"/>
                <w:color w:val="auto"/>
              </w:rPr>
              <w:t>13.88%</w:t>
            </w:r>
          </w:p>
        </w:tc>
        <w:tc>
          <w:tcPr>
            <w:tcW w:w="120" w:type="dxa"/>
            <w:vAlign w:val="bottom"/>
          </w:tcPr>
          <w:p>
            <w:pPr>
              <w:spacing w:after="0"/>
              <w:rPr>
                <w:sz w:val="13"/>
                <w:szCs w:val="13"/>
                <w:color w:val="auto"/>
              </w:rPr>
            </w:pP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11.07%</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charge-offs reconciliation</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Operating net charge-offs</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16,483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231,574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47,668</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49,998</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61,323</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248,057</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117,991</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Subsequent partial recovery of fraud-related charge-off</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(11,750)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420" w:type="dxa"/>
            <w:vAlign w:val="bottom"/>
          </w:tcPr>
          <w:p>
            <w:pPr>
              <w:ind w:left="200"/>
              <w:spacing w:after="0" w:line="155" w:lineRule="exact"/>
              <w:rPr>
                <w:sz w:val="20"/>
                <w:szCs w:val="20"/>
                <w:color w:val="auto"/>
              </w:rPr>
            </w:pPr>
            <w:r>
              <w:rPr>
                <w:rFonts w:ascii="Arial" w:cs="Arial" w:eastAsia="Arial" w:hAnsi="Arial"/>
                <w:sz w:val="14"/>
                <w:szCs w:val="14"/>
                <w:color w:val="auto"/>
              </w:rPr>
              <w:t>Net charge-offs (GAAP)</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16,483</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231,574</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35,918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49,998</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61,323</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248,057</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117,991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charge-offs to average loans reconciliation</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Operating net charge-offs to average loans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1.58%</w:t>
            </w:r>
          </w:p>
        </w:tc>
        <w:tc>
          <w:tcPr>
            <w:tcW w:w="80" w:type="dxa"/>
            <w:vAlign w:val="bottom"/>
          </w:tcPr>
          <w:p>
            <w:pPr>
              <w:spacing w:after="0"/>
              <w:rPr>
                <w:sz w:val="12"/>
                <w:szCs w:val="12"/>
                <w:color w:val="auto"/>
              </w:rPr>
            </w:pPr>
          </w:p>
        </w:tc>
        <w:tc>
          <w:tcPr>
            <w:tcW w:w="8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20.71%</w:t>
            </w: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4.98%</w:t>
            </w:r>
          </w:p>
        </w:tc>
        <w:tc>
          <w:tcPr>
            <w:tcW w:w="120" w:type="dxa"/>
            <w:vAlign w:val="bottom"/>
          </w:tcPr>
          <w:p>
            <w:pPr>
              <w:spacing w:after="0"/>
              <w:rPr>
                <w:sz w:val="12"/>
                <w:szCs w:val="12"/>
                <w:color w:val="auto"/>
              </w:rPr>
            </w:pP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11.46%</w:t>
            </w: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84"/>
        </w:trPr>
        <w:tc>
          <w:tcPr>
            <w:tcW w:w="3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0219"/>
          </w:cols>
          <w:pgMar w:left="240" w:top="419" w:right="1440"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shd w:val="clear" w:color="auto" w:fill="CCEEFF"/>
          </w:tcPr>
          <w:p>
            <w:pPr>
              <w:spacing w:after="0"/>
              <w:rPr>
                <w:sz w:val="20"/>
                <w:szCs w:val="20"/>
                <w:color w:val="auto"/>
              </w:rPr>
            </w:pPr>
            <w:r>
              <w:rPr>
                <w:rFonts w:ascii="Arial" w:cs="Arial" w:eastAsia="Arial" w:hAnsi="Arial"/>
                <w:sz w:val="14"/>
                <w:szCs w:val="14"/>
                <w:color w:val="auto"/>
              </w:rPr>
              <w:t>Subsequent partial recovery of fraud-related charge-off</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200"/>
              <w:spacing w:after="0"/>
              <w:rPr>
                <w:sz w:val="20"/>
                <w:szCs w:val="20"/>
                <w:color w:val="auto"/>
              </w:rPr>
            </w:pPr>
            <w:r>
              <w:rPr>
                <w:rFonts w:ascii="Arial" w:cs="Arial" w:eastAsia="Arial" w:hAnsi="Arial"/>
                <w:sz w:val="14"/>
                <w:szCs w:val="14"/>
                <w:color w:val="auto"/>
              </w:rPr>
              <w:t>Net charge-offs to average loans (GAAP)</w:t>
            </w: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20" w:type="dxa"/>
            <w:vAlign w:val="bottom"/>
            <w:vMerge w:val="continue"/>
          </w:tcPr>
          <w:p>
            <w:pPr>
              <w:spacing w:after="0"/>
              <w:rPr>
                <w:sz w:val="13"/>
                <w:szCs w:val="13"/>
                <w:color w:val="auto"/>
              </w:rPr>
            </w:pPr>
          </w:p>
        </w:tc>
        <w:tc>
          <w:tcPr>
            <w:tcW w:w="8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1.58%</w:t>
            </w:r>
          </w:p>
        </w:tc>
        <w:tc>
          <w:tcPr>
            <w:tcW w:w="9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20.71%</w:t>
            </w:r>
          </w:p>
        </w:tc>
        <w:tc>
          <w:tcPr>
            <w:tcW w:w="9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3.03%</w:t>
            </w:r>
          </w:p>
        </w:tc>
        <w:tc>
          <w:tcPr>
            <w:tcW w:w="8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4.12%</w:t>
            </w:r>
          </w:p>
        </w:tc>
        <w:tc>
          <w:tcPr>
            <w:tcW w:w="9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4.98%</w:t>
            </w:r>
          </w:p>
        </w:tc>
        <w:tc>
          <w:tcPr>
            <w:tcW w:w="9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11.46%</w:t>
            </w: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7"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340" w:right="159"/>
        <w:spacing w:after="0" w:line="289" w:lineRule="auto"/>
        <w:rPr>
          <w:sz w:val="20"/>
          <w:szCs w:val="20"/>
          <w:color w:val="auto"/>
        </w:rPr>
      </w:pPr>
      <w:r>
        <w:rPr>
          <w:rFonts w:ascii="Arial" w:cs="Arial" w:eastAsia="Arial" w:hAnsi="Arial"/>
          <w:sz w:val="16"/>
          <w:szCs w:val="16"/>
          <w:color w:val="auto"/>
        </w:rPr>
        <w:t>United reported net operating income from continuing operations of $7.62 million for the second quarter of 2011. This compared to a net operating loss from continuing operations of $59.5 million for the same period in 2010, which included an after-tax loss of $30.0 million resulting from the sale of nonperforming assets to a private equity firm. For the second quarter of 2011, diluted operating income from continuing operations per share was $.08. This compared to diluted operating loss from continuing operations per share of $3.29 for the second quarter of 2010, which included $1.59 in loss per share related to the sale of nonperforming assets. For the six months ended June 30, 2011, United reported a net operating loss from continuing operations of $135 million compared to a net operating loss from continuing operations of $94.0 million for the same period in 2010. The operating loss for the six months ended June 30, 2011 reflects the Board of Director’s decision in the first quarter to adopt the Problem Asset Disposition Plan to quickly dispose of problem assets following United’s successful Private Placement at the end of the first quarter.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Interest Revenue (Taxable Equivalent)</w:t>
      </w:r>
    </w:p>
    <w:p>
      <w:pPr>
        <w:spacing w:after="0" w:line="189"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Net interest revenue (the difference between the interest earned on assets and the interest paid on deposits and borrowed funds) is the single largest component of total revenue. United actively manages this revenue source to provide optimal levels of revenue while balancing interest rate, credit and liquidity risks. Taxable equivalent net interest revenue for the three months ended June 30, 2011 was $58.9 million, down $2.68 million, or 4%, from the second quarter of 2010. The decrease in net interest revenue for the second quarter of 2011 compared to the second quarter of 2010 was mostly due to lower average loan balances. United continues its intense focus on loan and deposit pricing, in an effort to maintain a steady level of net interest revenue.</w:t>
      </w:r>
    </w:p>
    <w:p>
      <w:pPr>
        <w:spacing w:after="0" w:line="151"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Average loans decreased $745 million, or 15%, from the second quarter of last year. The decrease in the loan portfolio was a result of the weak economy as well as the Bulk Loan Sale completed in April 2011. Loan charge-offs, foreclosure activity and management’s efforts to rebalance the loan portfolio by reducing the concentration of residential construction loans have all contributed to declining loan balances. While loan balances have declined, United continues to make new loans. During the second quarter of 2011, United funded $105 million in new loans, primarily commercial and small business loans in north Georgia, the Atlanta MSA and coastal Georgia.</w:t>
      </w:r>
    </w:p>
    <w:p>
      <w:pPr>
        <w:spacing w:after="0" w:line="153" w:lineRule="exact"/>
        <w:rPr>
          <w:sz w:val="20"/>
          <w:szCs w:val="20"/>
          <w:color w:val="auto"/>
        </w:rPr>
      </w:pPr>
    </w:p>
    <w:p>
      <w:pPr>
        <w:jc w:val="both"/>
        <w:ind w:left="340" w:right="159"/>
        <w:spacing w:after="0" w:line="268" w:lineRule="auto"/>
        <w:rPr>
          <w:sz w:val="20"/>
          <w:szCs w:val="20"/>
          <w:color w:val="auto"/>
        </w:rPr>
      </w:pPr>
      <w:r>
        <w:rPr>
          <w:rFonts w:ascii="Arial" w:cs="Arial" w:eastAsia="Arial" w:hAnsi="Arial"/>
          <w:sz w:val="17"/>
          <w:szCs w:val="17"/>
          <w:color w:val="auto"/>
        </w:rPr>
        <w:t>Average interest-earning assets for the second quarter of 2011 increased $69.3 million, or 1%, from the same period in 2010. The decrease of $745 million in average loans was offset by increases of $542 million in the investment securities portfolio and $272 million in other interest-earning assets which is mostly made up of short-term commercial paper. Loan demand has been weak due to the poor economy and management’s efforts to reduce United’s exposure to residential construction loans. The increase in the securities portfolio and other interest-earning assets was due to purchases of floating rate mortgage-backed securities and short-term commercial paper in an effort to temporarily invest excess liquidity, including the proceeds from the new capital raised at the end of the first quarter of 2011. Average interest-bearing liabilities decreased $183 million, or 3%, from the second quarter of 2010 due to the rolling off of higher-cost brokered deposits and certificates of deposit as funding needs decreased. The average yield on interest earning assets for the three months ended June, 2011, was 4.45%, down 68 basis points from 5.13% for the same period of 2010. A significant contributing factor to the decrease in the yield on interest earning assets was due to the build-up of excess liquidity resulting in a shift in earning asset mix from loans, which generally yield a higher rate than other asset classes, to temporary investments which have relatively low yields. The change in mix more than offset an 8 basis point increase in the average loan yield from the second quarter of 2010. In light of the weak economic environment, United maintained above normal levels of liquidity by entering into brokered deposit arrangements and temporarily investing the proceeds in short-term commercial paper and floating rate mortgage-backed securities at a slightly negative spread. Following the first quarter capital transaction, management has sought to reduce liquidity levels and will continue to do so.</w:t>
      </w:r>
    </w:p>
    <w:p>
      <w:pPr>
        <w:spacing w:after="0" w:line="140"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The average cost of interest-bearing liabilities for the second quarter of 2011 was 1.24% compared to 1.75% for the same period of 2010, reflecting the effect of falling rates on United’s floating rate liabilities and United’s ability to reduce deposit pricing. Also contributing to the overall lower rate on interest-bearing liabilities was a shift in the mix of deposits away from more expensive time deposits toward lower-rate transaction deposits. United’s shrinking balance sheet also permitted the reduction of more expensive wholesale borrowings.</w:t>
      </w:r>
    </w:p>
    <w:p>
      <w:pPr>
        <w:spacing w:after="0" w:line="161"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investments, and is defined as net interest revenue as a percent of average total interest-earning assets, which includes the positive effect of funding a portion of interest-earning assets with customers’ non-interest bearing deposits and stockholders’ equity.</w:t>
      </w:r>
    </w:p>
    <w:p>
      <w:pPr>
        <w:spacing w:after="0" w:line="138"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For the three months ended June 30, 2011 and 2010, the net interest spread was 3.21% and 3.38%, respectively, while the net interest margin was 3.41% and 3.60%, respectively. The reduction in average loan balances and build-up of excess liquidity negatively impacted the margin.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2" w:name="page43"/>
    <w:bookmarkEnd w:id="42"/>
    <w:p>
      <w:pPr>
        <w:spacing w:after="0" w:line="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For the first six months of 2011, net interest revenue was $115 million, a decrease of $7.57 million, or 6%, from the first six months of 2010. Average earning assets decreased $56.3 million, or 1%, during the first six months of 2011 compared to the same period a year earlier. The yield on earning assets decreased 68 basis points from 5.13% for the six months ended June 30, 2010 to 4.45% for the six months ended June 30, 2011 due to declining average loan balances, an increase in excess liquidity invested in short-term low rate assets, and interest reversals on performing loans classified as held for sale as part of the Bulk Loan Sale. The transfer reduced net interest margin by 6 basis points in the first six months of 2011. The cost of interest bearing liabilities over the same period decreased 53 basis points. The combined effect of the lower yield on interest-earning assets, partially offset by the lower cost of interest-bearing liabilities resulted in the net interest margin decreasing 19 basis points from the six months ended June 30, 2010 to the six months ended June 30, 2011.</w:t>
      </w:r>
    </w:p>
    <w:p>
      <w:pPr>
        <w:spacing w:after="0" w:line="155"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three months ended June 30, 2011 and 2010.</w:t>
      </w:r>
    </w:p>
    <w:p>
      <w:pPr>
        <w:spacing w:after="0" w:line="126" w:lineRule="exact"/>
        <w:rPr>
          <w:sz w:val="20"/>
          <w:szCs w:val="20"/>
          <w:color w:val="auto"/>
        </w:rPr>
      </w:pPr>
    </w:p>
    <w:p>
      <w:pPr>
        <w:ind w:left="340" w:right="4199"/>
        <w:spacing w:after="0" w:line="282" w:lineRule="auto"/>
        <w:rPr>
          <w:sz w:val="20"/>
          <w:szCs w:val="20"/>
          <w:color w:val="auto"/>
        </w:rPr>
      </w:pPr>
      <w:r>
        <w:rPr>
          <w:rFonts w:ascii="Arial" w:cs="Arial" w:eastAsia="Arial" w:hAnsi="Arial"/>
          <w:sz w:val="18"/>
          <w:szCs w:val="18"/>
          <w:b w:val="1"/>
          <w:bCs w:val="1"/>
          <w:color w:val="auto"/>
        </w:rPr>
        <w:t xml:space="preserve">Table 2 — Average Consolidated Balance Sheets and Net Interest Analysis </w:t>
      </w:r>
      <w:r>
        <w:rPr>
          <w:rFonts w:ascii="Arial" w:cs="Arial" w:eastAsia="Arial" w:hAnsi="Arial"/>
          <w:sz w:val="18"/>
          <w:szCs w:val="18"/>
          <w:color w:val="auto"/>
        </w:rPr>
        <w:t>For the Three Months Ended June 30,</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2011</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2010</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98"/>
              </w:rPr>
              <w:t>Average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ind w:left="200"/>
              <w:spacing w:after="0" w:line="191" w:lineRule="exact"/>
              <w:rPr>
                <w:sz w:val="20"/>
                <w:szCs w:val="20"/>
                <w:color w:val="auto"/>
              </w:rPr>
            </w:pPr>
            <w:r>
              <w:rPr>
                <w:rFonts w:ascii="Arial" w:cs="Arial" w:eastAsia="Arial" w:hAnsi="Arial"/>
                <w:sz w:val="18"/>
                <w:szCs w:val="18"/>
                <w:b w:val="1"/>
                <w:bCs w:val="1"/>
                <w:color w:val="auto"/>
              </w:rPr>
              <w:t>Avg.</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rPr>
              <w:t>Average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(dollars in thousands, taxable equivalent)</w:t>
            </w:r>
          </w:p>
        </w:tc>
        <w:tc>
          <w:tcPr>
            <w:tcW w:w="22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Interest</w:t>
            </w:r>
          </w:p>
        </w:tc>
        <w:tc>
          <w:tcPr>
            <w:tcW w:w="320" w:type="dxa"/>
            <w:vAlign w:val="bottom"/>
          </w:tcPr>
          <w:p>
            <w:pPr>
              <w:spacing w:after="0"/>
              <w:rPr>
                <w:sz w:val="20"/>
                <w:szCs w:val="20"/>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Rate</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Balance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360" w:type="dxa"/>
            <w:vAlign w:val="bottom"/>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15"/>
                <w:szCs w:val="15"/>
                <w:color w:val="auto"/>
              </w:rPr>
              <w:t>(1)(2)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$ 4,266,211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60,958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$5,010,937</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70,640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5"/>
                <w:szCs w:val="15"/>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2,048,683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14,541</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2.84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1,503,162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15,534</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5"/>
                <w:szCs w:val="15"/>
                <w:color w:val="auto"/>
              </w:rPr>
              <w:t>(1)(3)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411</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6.56</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28,920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2"/>
        </w:trPr>
        <w:tc>
          <w:tcPr>
            <w:tcW w:w="32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Federal funds sold and other interest-</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earning assets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583,832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1,021</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311,475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1,043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interest-earning assets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6,923,770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76,931</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6,854,494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87,699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3"/>
        </w:trPr>
        <w:tc>
          <w:tcPr>
            <w:tcW w:w="322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(139,744)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(193,998)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119,801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100,931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178,949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5"/>
                <w:szCs w:val="15"/>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540,943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761,803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7,623,719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7,704,294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Interest-bearing deposits: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$1,310,441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1,036</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$1,325,099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1,745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Money market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979,432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1,499</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746,039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1,829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195,946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186,628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Time less than $100,000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1,541,909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4,990</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1,605,308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7,887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Time greater than $100,000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988,810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3,873</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1,110,010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6,102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Brokered</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473,161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2,132</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1.81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642,954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3,729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interest-bearing deposits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5,489,699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13,594</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5,616,038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21,375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425"/>
        </w:trPr>
        <w:tc>
          <w:tcPr>
            <w:tcW w:w="3220" w:type="dxa"/>
            <w:vAlign w:val="bottom"/>
            <w:gridSpan w:val="2"/>
          </w:tcPr>
          <w:p>
            <w:pPr>
              <w:ind w:left="400"/>
              <w:spacing w:after="0"/>
              <w:rPr>
                <w:sz w:val="20"/>
                <w:szCs w:val="20"/>
                <w:color w:val="auto"/>
              </w:rPr>
            </w:pPr>
            <w:r>
              <w:rPr>
                <w:rFonts w:ascii="Arial" w:cs="Arial" w:eastAsia="Arial" w:hAnsi="Arial"/>
                <w:sz w:val="18"/>
                <w:szCs w:val="18"/>
                <w:color w:val="auto"/>
                <w:w w:val="99"/>
              </w:rPr>
              <w:t>Federal funds purchased and other</w:t>
            </w: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600"/>
              <w:spacing w:after="0"/>
              <w:rPr>
                <w:sz w:val="20"/>
                <w:szCs w:val="20"/>
                <w:color w:val="auto"/>
              </w:rPr>
            </w:pPr>
            <w:r>
              <w:rPr>
                <w:rFonts w:ascii="Arial" w:cs="Arial" w:eastAsia="Arial" w:hAnsi="Arial"/>
                <w:sz w:val="18"/>
                <w:szCs w:val="18"/>
                <w:color w:val="auto"/>
              </w:rPr>
              <w:t>borrowings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103,156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1,074</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104,637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1,056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7"/>
              </w:rPr>
              <w:t>Federal Home Loan Bank advances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570</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Long-term debt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150,178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2,747</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150,097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2,667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borrowed funds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306,069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4,391</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362,682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4,697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421"/>
        </w:trPr>
        <w:tc>
          <w:tcPr>
            <w:tcW w:w="322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interest-bearing</w:t>
            </w: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220" w:type="dxa"/>
            <w:vAlign w:val="bottom"/>
            <w:gridSpan w:val="2"/>
          </w:tcPr>
          <w:p>
            <w:pPr>
              <w:ind w:left="800"/>
              <w:spacing w:after="0"/>
              <w:rPr>
                <w:sz w:val="20"/>
                <w:szCs w:val="20"/>
                <w:color w:val="auto"/>
              </w:rPr>
            </w:pPr>
            <w:r>
              <w:rPr>
                <w:rFonts w:ascii="Arial" w:cs="Arial" w:eastAsia="Arial" w:hAnsi="Arial"/>
                <w:sz w:val="18"/>
                <w:szCs w:val="18"/>
                <w:b w:val="1"/>
                <w:bCs w:val="1"/>
                <w:color w:val="auto"/>
              </w:rPr>
              <w:t>liabilities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5,795,768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17,985</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5,978,720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26,072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Non-interest-bearing deposits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882,151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758,558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91,353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54,931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2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6,769,272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6,792,209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854,447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912,085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20" w:type="dxa"/>
            <w:vAlign w:val="bottom"/>
            <w:gridSpan w:val="2"/>
          </w:tcPr>
          <w:p>
            <w:pPr>
              <w:ind w:left="600"/>
              <w:spacing w:after="0" w:line="205" w:lineRule="exact"/>
              <w:rPr>
                <w:sz w:val="20"/>
                <w:szCs w:val="20"/>
                <w:color w:val="auto"/>
              </w:rPr>
            </w:pPr>
            <w:r>
              <w:rPr>
                <w:rFonts w:ascii="Arial" w:cs="Arial" w:eastAsia="Arial" w:hAnsi="Arial"/>
                <w:sz w:val="18"/>
                <w:szCs w:val="18"/>
                <w:b w:val="1"/>
                <w:bCs w:val="1"/>
                <w:color w:val="auto"/>
              </w:rPr>
              <w:t>Total liabilities and</w:t>
            </w: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gridSpan w:val="2"/>
          </w:tcPr>
          <w:p>
            <w:pPr>
              <w:ind w:left="800"/>
              <w:spacing w:after="0"/>
              <w:rPr>
                <w:sz w:val="20"/>
                <w:szCs w:val="20"/>
                <w:color w:val="auto"/>
              </w:rPr>
            </w:pPr>
            <w:r>
              <w:rPr>
                <w:rFonts w:ascii="Arial" w:cs="Arial" w:eastAsia="Arial" w:hAnsi="Arial"/>
                <w:sz w:val="18"/>
                <w:szCs w:val="18"/>
                <w:b w:val="1"/>
                <w:bCs w:val="1"/>
                <w:color w:val="auto"/>
              </w:rPr>
              <w:t>shareholders’ equity</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7,623,719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7,704,294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58,946</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61,627</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Net interest-rate spread</w:t>
            </w: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line="20" w:lineRule="exact"/>
              <w:rPr>
                <w:sz w:val="1"/>
                <w:szCs w:val="1"/>
                <w:color w:val="auto"/>
              </w:rPr>
            </w:pPr>
          </w:p>
        </w:tc>
      </w:tr>
      <w:tr>
        <w:trPr>
          <w:trHeight w:val="210"/>
        </w:trPr>
        <w:tc>
          <w:tcPr>
            <w:tcW w:w="32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15"/>
                <w:szCs w:val="15"/>
                <w:color w:val="auto"/>
              </w:rPr>
              <w:t>(4)</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720" w:right="179" w:hanging="388"/>
        <w:spacing w:after="0" w:line="325" w:lineRule="auto"/>
        <w:tabs>
          <w:tab w:leader="none" w:pos="720" w:val="left"/>
        </w:tabs>
        <w:numPr>
          <w:ilvl w:val="0"/>
          <w:numId w:val="12"/>
        </w:numPr>
        <w:rPr>
          <w:rFonts w:ascii="Arial" w:cs="Arial" w:eastAsia="Arial" w:hAnsi="Arial"/>
          <w:sz w:val="14"/>
          <w:szCs w:val="14"/>
          <w:color w:val="auto"/>
        </w:rPr>
      </w:pPr>
      <w:r>
        <w:rPr>
          <w:rFonts w:ascii="Arial" w:cs="Arial" w:eastAsia="Arial" w:hAnsi="Arial"/>
          <w:sz w:val="16"/>
          <w:szCs w:val="16"/>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1" w:lineRule="exact"/>
        <w:rPr>
          <w:rFonts w:ascii="Arial" w:cs="Arial" w:eastAsia="Arial" w:hAnsi="Arial"/>
          <w:sz w:val="14"/>
          <w:szCs w:val="14"/>
          <w:color w:val="auto"/>
        </w:rPr>
      </w:pPr>
    </w:p>
    <w:p>
      <w:pPr>
        <w:ind w:left="720" w:right="159" w:hanging="388"/>
        <w:spacing w:after="0" w:line="277" w:lineRule="auto"/>
        <w:tabs>
          <w:tab w:leader="none" w:pos="720" w:val="left"/>
        </w:tabs>
        <w:numPr>
          <w:ilvl w:val="0"/>
          <w:numId w:val="12"/>
        </w:numPr>
        <w:rPr>
          <w:rFonts w:ascii="Arial" w:cs="Arial" w:eastAsia="Arial" w:hAnsi="Arial"/>
          <w:sz w:val="15"/>
          <w:szCs w:val="15"/>
          <w:color w:val="auto"/>
        </w:rPr>
      </w:pPr>
      <w:r>
        <w:rPr>
          <w:rFonts w:ascii="Arial" w:cs="Arial" w:eastAsia="Arial" w:hAnsi="Arial"/>
          <w:sz w:val="18"/>
          <w:szCs w:val="18"/>
          <w:color w:val="auto"/>
        </w:rPr>
        <w:t>Included in the average balance of loans outstanding are loans where the accrual of interest has been discontinued and loans that are held for sale.</w:t>
      </w:r>
    </w:p>
    <w:p>
      <w:pPr>
        <w:sectPr>
          <w:pgSz w:w="11900" w:h="16929" w:orient="portrait"/>
          <w:cols w:equalWidth="0" w:num="1">
            <w:col w:w="10219"/>
          </w:cols>
          <w:pgMar w:left="240" w:top="419" w:right="1440" w:bottom="0" w:gutter="0" w:footer="0" w:header="0"/>
        </w:sectPr>
      </w:pPr>
    </w:p>
    <w:bookmarkStart w:id="43" w:name="page44"/>
    <w:bookmarkEnd w:id="43"/>
    <w:p>
      <w:pPr>
        <w:ind w:left="388" w:right="179" w:hanging="388"/>
        <w:spacing w:after="0" w:line="277" w:lineRule="auto"/>
        <w:tabs>
          <w:tab w:leader="none" w:pos="388" w:val="left"/>
        </w:tabs>
        <w:numPr>
          <w:ilvl w:val="0"/>
          <w:numId w:val="13"/>
        </w:numPr>
        <w:rPr>
          <w:rFonts w:ascii="Arial" w:cs="Arial" w:eastAsia="Arial" w:hAnsi="Arial"/>
          <w:sz w:val="15"/>
          <w:szCs w:val="15"/>
          <w:color w:val="auto"/>
        </w:rPr>
      </w:pPr>
      <w:r>
        <w:rPr>
          <w:rFonts w:ascii="Arial" w:cs="Arial" w:eastAsia="Arial" w:hAnsi="Arial"/>
          <w:sz w:val="18"/>
          <w:szCs w:val="18"/>
          <w:color w:val="auto"/>
        </w:rPr>
        <w:t>Securities available for sale are shown at amortized cost. Pretax unrealized gains of $32.2 million in 2011 and $43.6 million in 2010 are included in other assets for purposes of this presentation.</w:t>
      </w:r>
    </w:p>
    <w:p>
      <w:pPr>
        <w:spacing w:after="0" w:line="21" w:lineRule="exact"/>
        <w:rPr>
          <w:rFonts w:ascii="Arial" w:cs="Arial" w:eastAsia="Arial" w:hAnsi="Arial"/>
          <w:sz w:val="15"/>
          <w:szCs w:val="15"/>
          <w:color w:val="auto"/>
        </w:rPr>
      </w:pPr>
    </w:p>
    <w:p>
      <w:pPr>
        <w:ind w:left="388" w:hanging="388"/>
        <w:spacing w:after="0"/>
        <w:tabs>
          <w:tab w:leader="none" w:pos="388" w:val="left"/>
        </w:tabs>
        <w:numPr>
          <w:ilvl w:val="0"/>
          <w:numId w:val="13"/>
        </w:numPr>
        <w:rPr>
          <w:rFonts w:ascii="Arial" w:cs="Arial" w:eastAsia="Arial" w:hAnsi="Arial"/>
          <w:sz w:val="15"/>
          <w:szCs w:val="15"/>
          <w:color w:val="auto"/>
        </w:rPr>
      </w:pPr>
      <w:r>
        <w:rPr>
          <w:rFonts w:ascii="Arial" w:cs="Arial" w:eastAsia="Arial" w:hAnsi="Arial"/>
          <w:sz w:val="18"/>
          <w:szCs w:val="18"/>
          <w:color w:val="auto"/>
        </w:rPr>
        <w:t>Net interest margin is taxable equivalent net-interest revenue divided by average interest-earning assets.</w:t>
      </w:r>
    </w:p>
    <w:p>
      <w:pPr>
        <w:spacing w:after="0" w:line="200" w:lineRule="exact"/>
        <w:rPr>
          <w:sz w:val="20"/>
          <w:szCs w:val="20"/>
          <w:color w:val="auto"/>
        </w:rPr>
      </w:pPr>
    </w:p>
    <w:p>
      <w:pPr>
        <w:spacing w:after="0" w:line="390"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93"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six months ended June 30, 2011 and 2010.</w:t>
      </w:r>
    </w:p>
    <w:p>
      <w:pPr>
        <w:spacing w:after="0" w:line="139" w:lineRule="exact"/>
        <w:rPr>
          <w:sz w:val="20"/>
          <w:szCs w:val="20"/>
          <w:color w:val="auto"/>
        </w:rPr>
      </w:pPr>
    </w:p>
    <w:p>
      <w:pPr>
        <w:ind w:left="340" w:right="4199"/>
        <w:spacing w:after="0" w:line="282" w:lineRule="auto"/>
        <w:rPr>
          <w:sz w:val="20"/>
          <w:szCs w:val="20"/>
          <w:color w:val="auto"/>
        </w:rPr>
      </w:pPr>
      <w:r>
        <w:rPr>
          <w:rFonts w:ascii="Arial" w:cs="Arial" w:eastAsia="Arial" w:hAnsi="Arial"/>
          <w:sz w:val="18"/>
          <w:szCs w:val="18"/>
          <w:b w:val="1"/>
          <w:bCs w:val="1"/>
          <w:color w:val="auto"/>
        </w:rPr>
        <w:t xml:space="preserve">Table 3 — Average Consolidated Balance Sheets and Net Interest Analysis </w:t>
      </w:r>
      <w:r>
        <w:rPr>
          <w:rFonts w:ascii="Arial" w:cs="Arial" w:eastAsia="Arial" w:hAnsi="Arial"/>
          <w:sz w:val="18"/>
          <w:szCs w:val="18"/>
          <w:color w:val="auto"/>
        </w:rPr>
        <w:t>For the Six Months Ended June 30,</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2011</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98"/>
              </w:rPr>
              <w:t>Average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rPr>
              <w:t>Avg.</w:t>
            </w:r>
          </w:p>
        </w:tc>
        <w:tc>
          <w:tcPr>
            <w:tcW w:w="400" w:type="dxa"/>
            <w:vAlign w:val="bottom"/>
          </w:tcPr>
          <w:p>
            <w:pPr>
              <w:spacing w:after="0"/>
              <w:rPr>
                <w:sz w:val="16"/>
                <w:szCs w:val="16"/>
                <w:color w:val="auto"/>
              </w:rPr>
            </w:pPr>
          </w:p>
        </w:tc>
        <w:tc>
          <w:tcPr>
            <w:tcW w:w="116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8"/>
              </w:rPr>
              <w:t>Average</w:t>
            </w: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(dollars in thousands, taxable equivalent)</w:t>
            </w:r>
          </w:p>
        </w:tc>
        <w:tc>
          <w:tcPr>
            <w:tcW w:w="22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Interest</w:t>
            </w:r>
          </w:p>
        </w:tc>
        <w:tc>
          <w:tcPr>
            <w:tcW w:w="340" w:type="dxa"/>
            <w:vAlign w:val="bottom"/>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Rate</w:t>
            </w:r>
          </w:p>
        </w:tc>
        <w:tc>
          <w:tcPr>
            <w:tcW w:w="40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3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Interest</w:t>
            </w:r>
          </w:p>
        </w:tc>
        <w:tc>
          <w:tcPr>
            <w:tcW w:w="340" w:type="dxa"/>
            <w:vAlign w:val="bottom"/>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15"/>
                <w:szCs w:val="15"/>
                <w:color w:val="auto"/>
              </w:rPr>
              <w:t>(1)(2)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$4,431,617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122,028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5.55%</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$5,091,445</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$ 142,859</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5"/>
                <w:szCs w:val="15"/>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1,825,322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27,886</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3.06</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1,495,447</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31,426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5"/>
                <w:szCs w:val="15"/>
                <w:color w:val="auto"/>
              </w:rPr>
              <w:t>(1)(3)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6.57</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29,482</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2"/>
        </w:trPr>
        <w:tc>
          <w:tcPr>
            <w:tcW w:w="322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Federal funds sold and other interest-</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earning assets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630,384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2,147</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.68</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352,683</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2,272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interest-earning assets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6,912,757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152,896</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4.45</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6,969,057</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177,548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3"/>
        </w:trPr>
        <w:tc>
          <w:tcPr>
            <w:tcW w:w="322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(154,347)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(190,662)</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127,031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102,728</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179,150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181,493</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5"/>
                <w:szCs w:val="15"/>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544,625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762,014</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7,609,216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7,824,630</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Interest-bearing deposits: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$1,341,618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2,360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$1,343,297</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3,599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Money market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954,128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3,527</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.75</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734,817</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3,586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191,708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183,555</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Time less than $100,000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1,541,130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10,441</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1.37</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1,648,739</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16,778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Time greater than $100,000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989,840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8,024</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1.63</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1,132,767</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12,872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Brokered</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585,103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4,262</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1.47</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689,717</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8,266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interest-bearing deposits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5,603,527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28,755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5,732,892</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45,268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425"/>
        </w:trPr>
        <w:tc>
          <w:tcPr>
            <w:tcW w:w="3220" w:type="dxa"/>
            <w:vAlign w:val="bottom"/>
            <w:gridSpan w:val="2"/>
          </w:tcPr>
          <w:p>
            <w:pPr>
              <w:spacing w:after="0"/>
              <w:rPr>
                <w:sz w:val="20"/>
                <w:szCs w:val="20"/>
                <w:color w:val="auto"/>
              </w:rPr>
            </w:pPr>
            <w:r>
              <w:rPr>
                <w:rFonts w:ascii="Arial" w:cs="Arial" w:eastAsia="Arial" w:hAnsi="Arial"/>
                <w:sz w:val="18"/>
                <w:szCs w:val="18"/>
                <w:color w:val="auto"/>
              </w:rPr>
              <w:t>Federal funds purchased and other</w:t>
            </w: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borrowings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102,132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2,116</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4.18</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103,355</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2,094</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53,923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4.34</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111,150</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1,951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150,169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5,527</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7.42</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150,088</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5,329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borrowed funds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306,224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8,803</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364,593</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9,374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421"/>
        </w:trPr>
        <w:tc>
          <w:tcPr>
            <w:tcW w:w="322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interest-bearing</w:t>
            </w: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220" w:type="dxa"/>
            <w:vAlign w:val="bottom"/>
            <w:gridSpan w:val="2"/>
          </w:tcPr>
          <w:p>
            <w:pPr>
              <w:ind w:left="800"/>
              <w:spacing w:after="0"/>
              <w:rPr>
                <w:sz w:val="20"/>
                <w:szCs w:val="20"/>
                <w:color w:val="auto"/>
              </w:rPr>
            </w:pPr>
            <w:r>
              <w:rPr>
                <w:rFonts w:ascii="Arial" w:cs="Arial" w:eastAsia="Arial" w:hAnsi="Arial"/>
                <w:sz w:val="18"/>
                <w:szCs w:val="18"/>
                <w:b w:val="1"/>
                <w:bCs w:val="1"/>
                <w:color w:val="auto"/>
              </w:rPr>
              <w:t>liabilities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5,909,751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37,558</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1.28</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6,097,485</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54,642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Non-interest-bearing deposits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861,864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738,876</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59,605</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20" w:type="dxa"/>
            <w:vAlign w:val="bottom"/>
            <w:gridSpan w:val="2"/>
          </w:tcPr>
          <w:p>
            <w:pPr>
              <w:ind w:left="600"/>
              <w:spacing w:after="0"/>
              <w:rPr>
                <w:sz w:val="20"/>
                <w:szCs w:val="20"/>
                <w:color w:val="auto"/>
              </w:rPr>
            </w:pPr>
            <w:r>
              <w:rPr>
                <w:rFonts w:ascii="Arial" w:cs="Arial" w:eastAsia="Arial" w:hAnsi="Arial"/>
                <w:sz w:val="18"/>
                <w:szCs w:val="18"/>
                <w:color w:val="auto"/>
              </w:rPr>
              <w:t>Total liabilities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6,846,698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6,895,966</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762,518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928,664</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20" w:type="dxa"/>
            <w:vAlign w:val="bottom"/>
            <w:gridSpan w:val="2"/>
          </w:tcPr>
          <w:p>
            <w:pPr>
              <w:ind w:left="600"/>
              <w:spacing w:after="0" w:line="205" w:lineRule="exact"/>
              <w:rPr>
                <w:sz w:val="20"/>
                <w:szCs w:val="20"/>
                <w:color w:val="auto"/>
              </w:rPr>
            </w:pPr>
            <w:r>
              <w:rPr>
                <w:rFonts w:ascii="Arial" w:cs="Arial" w:eastAsia="Arial" w:hAnsi="Arial"/>
                <w:sz w:val="18"/>
                <w:szCs w:val="18"/>
                <w:b w:val="1"/>
                <w:bCs w:val="1"/>
                <w:color w:val="auto"/>
              </w:rPr>
              <w:t>Total liabilities and</w:t>
            </w: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gridSpan w:val="2"/>
          </w:tcPr>
          <w:p>
            <w:pPr>
              <w:ind w:left="800"/>
              <w:spacing w:after="0"/>
              <w:rPr>
                <w:sz w:val="20"/>
                <w:szCs w:val="20"/>
                <w:color w:val="auto"/>
              </w:rPr>
            </w:pPr>
            <w:r>
              <w:rPr>
                <w:rFonts w:ascii="Arial" w:cs="Arial" w:eastAsia="Arial" w:hAnsi="Arial"/>
                <w:sz w:val="18"/>
                <w:szCs w:val="18"/>
                <w:b w:val="1"/>
                <w:bCs w:val="1"/>
                <w:color w:val="auto"/>
              </w:rPr>
              <w:t>shareholders’ equity</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7,609,216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7,824,630</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115,338</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$ 122,906</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Net interest-rate spread</w:t>
            </w: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3.17%</w:t>
            </w: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line="20" w:lineRule="exact"/>
              <w:rPr>
                <w:sz w:val="1"/>
                <w:szCs w:val="1"/>
                <w:color w:val="auto"/>
              </w:rPr>
            </w:pPr>
          </w:p>
        </w:tc>
      </w:tr>
      <w:tr>
        <w:trPr>
          <w:trHeight w:val="210"/>
        </w:trPr>
        <w:tc>
          <w:tcPr>
            <w:tcW w:w="32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15"/>
                <w:szCs w:val="15"/>
                <w:color w:val="auto"/>
              </w:rPr>
              <w:t>(4)</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3.36%</w:t>
            </w: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720" w:right="179" w:hanging="388"/>
        <w:spacing w:after="0" w:line="325" w:lineRule="auto"/>
        <w:tabs>
          <w:tab w:leader="none" w:pos="720" w:val="left"/>
        </w:tabs>
        <w:numPr>
          <w:ilvl w:val="0"/>
          <w:numId w:val="14"/>
        </w:numPr>
        <w:rPr>
          <w:rFonts w:ascii="Arial" w:cs="Arial" w:eastAsia="Arial" w:hAnsi="Arial"/>
          <w:sz w:val="14"/>
          <w:szCs w:val="14"/>
          <w:color w:val="auto"/>
        </w:rPr>
      </w:pPr>
      <w:r>
        <w:rPr>
          <w:rFonts w:ascii="Arial" w:cs="Arial" w:eastAsia="Arial" w:hAnsi="Arial"/>
          <w:sz w:val="16"/>
          <w:szCs w:val="16"/>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1" w:lineRule="exact"/>
        <w:rPr>
          <w:rFonts w:ascii="Arial" w:cs="Arial" w:eastAsia="Arial" w:hAnsi="Arial"/>
          <w:sz w:val="14"/>
          <w:szCs w:val="14"/>
          <w:color w:val="auto"/>
        </w:rPr>
      </w:pPr>
    </w:p>
    <w:p>
      <w:pPr>
        <w:ind w:left="720" w:right="159" w:hanging="388"/>
        <w:spacing w:after="0" w:line="277" w:lineRule="auto"/>
        <w:tabs>
          <w:tab w:leader="none" w:pos="720" w:val="left"/>
        </w:tabs>
        <w:numPr>
          <w:ilvl w:val="0"/>
          <w:numId w:val="14"/>
        </w:numPr>
        <w:rPr>
          <w:rFonts w:ascii="Arial" w:cs="Arial" w:eastAsia="Arial" w:hAnsi="Arial"/>
          <w:sz w:val="15"/>
          <w:szCs w:val="15"/>
          <w:color w:val="auto"/>
        </w:rPr>
      </w:pPr>
      <w:r>
        <w:rPr>
          <w:rFonts w:ascii="Arial" w:cs="Arial" w:eastAsia="Arial" w:hAnsi="Arial"/>
          <w:sz w:val="18"/>
          <w:szCs w:val="18"/>
          <w:color w:val="auto"/>
        </w:rPr>
        <w:t>Included in the average balance of loans outstanding are loans where the accrual of interest has been discontinued and loans that are held for sale.</w:t>
      </w:r>
    </w:p>
    <w:p>
      <w:pPr>
        <w:spacing w:after="0" w:line="21" w:lineRule="exact"/>
        <w:rPr>
          <w:rFonts w:ascii="Arial" w:cs="Arial" w:eastAsia="Arial" w:hAnsi="Arial"/>
          <w:sz w:val="15"/>
          <w:szCs w:val="15"/>
          <w:color w:val="auto"/>
        </w:rPr>
      </w:pPr>
    </w:p>
    <w:p>
      <w:pPr>
        <w:ind w:left="720" w:right="179" w:hanging="388"/>
        <w:spacing w:after="0" w:line="277" w:lineRule="auto"/>
        <w:tabs>
          <w:tab w:leader="none" w:pos="720" w:val="left"/>
        </w:tabs>
        <w:numPr>
          <w:ilvl w:val="0"/>
          <w:numId w:val="14"/>
        </w:numPr>
        <w:rPr>
          <w:rFonts w:ascii="Arial" w:cs="Arial" w:eastAsia="Arial" w:hAnsi="Arial"/>
          <w:sz w:val="15"/>
          <w:szCs w:val="15"/>
          <w:color w:val="auto"/>
        </w:rPr>
      </w:pPr>
      <w:r>
        <w:rPr>
          <w:rFonts w:ascii="Arial" w:cs="Arial" w:eastAsia="Arial" w:hAnsi="Arial"/>
          <w:sz w:val="18"/>
          <w:szCs w:val="18"/>
          <w:color w:val="auto"/>
        </w:rPr>
        <w:t>Securities available for sale are shown at amortized cost. Pretax unrealized gains of $29.7 million in 2011 and $43.4 million in 2010 are included in other assets for purposes of this presentation.</w:t>
      </w:r>
    </w:p>
    <w:p>
      <w:pPr>
        <w:spacing w:after="0" w:line="21" w:lineRule="exact"/>
        <w:rPr>
          <w:rFonts w:ascii="Arial" w:cs="Arial" w:eastAsia="Arial" w:hAnsi="Arial"/>
          <w:sz w:val="15"/>
          <w:szCs w:val="15"/>
          <w:color w:val="auto"/>
        </w:rPr>
      </w:pPr>
    </w:p>
    <w:p>
      <w:pPr>
        <w:ind w:left="720" w:hanging="388"/>
        <w:spacing w:after="0"/>
        <w:tabs>
          <w:tab w:leader="none" w:pos="720" w:val="left"/>
        </w:tabs>
        <w:numPr>
          <w:ilvl w:val="0"/>
          <w:numId w:val="14"/>
        </w:numPr>
        <w:rPr>
          <w:rFonts w:ascii="Arial" w:cs="Arial" w:eastAsia="Arial" w:hAnsi="Arial"/>
          <w:sz w:val="15"/>
          <w:szCs w:val="15"/>
          <w:color w:val="auto"/>
        </w:rPr>
      </w:pPr>
      <w:r>
        <w:rPr>
          <w:rFonts w:ascii="Arial" w:cs="Arial" w:eastAsia="Arial" w:hAnsi="Arial"/>
          <w:sz w:val="18"/>
          <w:szCs w:val="18"/>
          <w:color w:val="auto"/>
        </w:rPr>
        <w:t>Net interest margin is taxable equivalent net-interest revenue divided by average interest-earning assets.</w:t>
      </w:r>
    </w:p>
    <w:p>
      <w:pPr>
        <w:sectPr>
          <w:pgSz w:w="11900" w:h="16838" w:orient="portrait"/>
          <w:cols w:equalWidth="0" w:num="1">
            <w:col w:w="10219"/>
          </w:cols>
          <w:pgMar w:left="240" w:top="419" w:right="1440" w:bottom="177"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77"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56" w:lineRule="exact"/>
        <w:rPr>
          <w:sz w:val="20"/>
          <w:szCs w:val="20"/>
          <w:color w:val="auto"/>
        </w:rPr>
      </w:pPr>
    </w:p>
    <w:p>
      <w:pPr>
        <w:ind w:left="340" w:right="3559"/>
        <w:spacing w:after="0" w:line="282"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gridSpan w:val="10"/>
          </w:tcPr>
          <w:p>
            <w:pPr>
              <w:jc w:val="center"/>
              <w:ind w:right="480"/>
              <w:spacing w:after="0"/>
              <w:rPr>
                <w:sz w:val="20"/>
                <w:szCs w:val="20"/>
                <w:color w:val="auto"/>
              </w:rPr>
            </w:pPr>
            <w:r>
              <w:rPr>
                <w:rFonts w:ascii="Arial" w:cs="Arial" w:eastAsia="Arial" w:hAnsi="Arial"/>
                <w:sz w:val="18"/>
                <w:szCs w:val="18"/>
                <w:b w:val="1"/>
                <w:bCs w:val="1"/>
                <w:color w:val="auto"/>
                <w:w w:val="90"/>
              </w:rPr>
              <w:t>Three Months Ended June 30, 2011</w:t>
            </w:r>
          </w:p>
        </w:tc>
        <w:tc>
          <w:tcPr>
            <w:tcW w:w="80" w:type="dxa"/>
            <w:vAlign w:val="bottom"/>
          </w:tcPr>
          <w:p>
            <w:pPr>
              <w:spacing w:after="0"/>
              <w:rPr>
                <w:sz w:val="18"/>
                <w:szCs w:val="18"/>
                <w:color w:val="auto"/>
              </w:rPr>
            </w:pPr>
          </w:p>
        </w:tc>
        <w:tc>
          <w:tcPr>
            <w:tcW w:w="3080" w:type="dxa"/>
            <w:vAlign w:val="bottom"/>
            <w:gridSpan w:val="9"/>
          </w:tcPr>
          <w:p>
            <w:pPr>
              <w:jc w:val="center"/>
              <w:ind w:right="180"/>
              <w:spacing w:after="0"/>
              <w:rPr>
                <w:sz w:val="20"/>
                <w:szCs w:val="20"/>
                <w:color w:val="auto"/>
              </w:rPr>
            </w:pPr>
            <w:r>
              <w:rPr>
                <w:rFonts w:ascii="Arial" w:cs="Arial" w:eastAsia="Arial" w:hAnsi="Arial"/>
                <w:sz w:val="18"/>
                <w:szCs w:val="18"/>
                <w:b w:val="1"/>
                <w:bCs w:val="1"/>
                <w:color w:val="auto"/>
                <w:w w:val="89"/>
              </w:rPr>
              <w:t>Six Months Ended June 30, 2011</w:t>
            </w: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Compared to 2010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Compared to 2010</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8"/>
              </w:rPr>
              <w:t>Increase (decrease)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Increase (decrease)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8"/>
              </w:rPr>
              <w:t>Due to Changes in</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9"/>
              </w:rPr>
              <w:t>Due to Changes in</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86"/>
              </w:rPr>
              <w:t>Volume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18"/>
                <w:szCs w:val="18"/>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Total</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89"/>
              </w:rPr>
              <w:t>Volume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18"/>
                <w:szCs w:val="18"/>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(10,629)</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(9,682)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(18,212)</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(2,619)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(20,831)</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4,690</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(5,683)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(9,626)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(3,540)</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Tax-exempt securities</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r>
      <w:tr>
        <w:trPr>
          <w:trHeight w:val="202"/>
        </w:trPr>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funds sold and other interest-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 assets</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w:t>
            </w: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(652)</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(1,387)</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r>
      <w:tr>
        <w:trPr>
          <w:trHeight w:val="223"/>
        </w:trPr>
        <w:tc>
          <w:tcPr>
            <w:tcW w:w="3020" w:type="dxa"/>
            <w:vAlign w:val="bottom"/>
          </w:tcPr>
          <w:p>
            <w:pPr>
              <w:ind w:left="400"/>
              <w:spacing w:after="0"/>
              <w:rPr>
                <w:sz w:val="20"/>
                <w:szCs w:val="20"/>
                <w:color w:val="auto"/>
              </w:rPr>
            </w:pPr>
            <w:r>
              <w:rPr>
                <w:rFonts w:ascii="Arial" w:cs="Arial" w:eastAsia="Arial" w:hAnsi="Arial"/>
                <w:sz w:val="18"/>
                <w:szCs w:val="18"/>
                <w:b w:val="1"/>
                <w:bCs w:val="1"/>
                <w:color w:val="auto"/>
              </w:rPr>
              <w:t>Total interest-earning assets</w:t>
            </w: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(5,395)</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(10,768)</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(10,997)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(13,655)</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(24,652)</w:t>
            </w:r>
          </w:p>
        </w:tc>
        <w:tc>
          <w:tcPr>
            <w:tcW w:w="100" w:type="dxa"/>
            <w:vAlign w:val="bottom"/>
          </w:tcPr>
          <w:p>
            <w:pPr>
              <w:spacing w:after="0"/>
              <w:rPr>
                <w:sz w:val="19"/>
                <w:szCs w:val="19"/>
                <w:color w:val="auto"/>
              </w:rPr>
            </w:pPr>
          </w:p>
        </w:tc>
      </w:tr>
      <w:tr>
        <w:trPr>
          <w:trHeight w:val="223"/>
        </w:trPr>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Interest-bearing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NOW accounts</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(690)</w:t>
            </w: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(709)</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(1,235)</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(1,239)</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(2,597)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(2,897)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(5,302)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(6,337)</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Time deposits greater than $100,000</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(613)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(1,616)</w:t>
            </w: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(2,229)</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(1,482)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(3,366)</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(4,848)</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Brokered deposits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(4,004)</w:t>
            </w:r>
          </w:p>
        </w:tc>
      </w:tr>
      <w:tr>
        <w:trPr>
          <w:trHeight w:val="230"/>
        </w:trPr>
        <w:tc>
          <w:tcPr>
            <w:tcW w:w="3020" w:type="dxa"/>
            <w:vAlign w:val="bottom"/>
          </w:tcPr>
          <w:p>
            <w:pPr>
              <w:ind w:left="200"/>
              <w:spacing w:after="0"/>
              <w:rPr>
                <w:sz w:val="20"/>
                <w:szCs w:val="20"/>
                <w:color w:val="auto"/>
              </w:rPr>
            </w:pPr>
            <w:r>
              <w:rPr>
                <w:rFonts w:ascii="Arial" w:cs="Arial" w:eastAsia="Arial" w:hAnsi="Arial"/>
                <w:sz w:val="18"/>
                <w:szCs w:val="18"/>
                <w:color w:val="auto"/>
              </w:rPr>
              <w:t>Total interest-bearing deposits</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(6,461)</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(7,781)</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(13,809)</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(16,513)</w:t>
            </w:r>
          </w:p>
        </w:tc>
        <w:tc>
          <w:tcPr>
            <w:tcW w:w="100" w:type="dxa"/>
            <w:vAlign w:val="bottom"/>
          </w:tcPr>
          <w:p>
            <w:pPr>
              <w:spacing w:after="0"/>
              <w:rPr>
                <w:sz w:val="20"/>
                <w:szCs w:val="20"/>
                <w:color w:val="auto"/>
              </w:rPr>
            </w:pPr>
          </w:p>
        </w:tc>
      </w:tr>
      <w:tr>
        <w:trPr>
          <w:trHeight w:val="202"/>
        </w:trPr>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Federal funds purchased &amp; other</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(569)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(1,162)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(791)</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r>
      <w:tr>
        <w:trPr>
          <w:trHeight w:val="230"/>
        </w:trPr>
        <w:tc>
          <w:tcPr>
            <w:tcW w:w="3020" w:type="dxa"/>
            <w:vAlign w:val="bottom"/>
          </w:tcPr>
          <w:p>
            <w:pPr>
              <w:ind w:left="200"/>
              <w:spacing w:after="0"/>
              <w:rPr>
                <w:sz w:val="20"/>
                <w:szCs w:val="20"/>
                <w:color w:val="auto"/>
              </w:rPr>
            </w:pPr>
            <w:r>
              <w:rPr>
                <w:rFonts w:ascii="Arial" w:cs="Arial" w:eastAsia="Arial" w:hAnsi="Arial"/>
                <w:sz w:val="18"/>
                <w:szCs w:val="18"/>
                <w:color w:val="auto"/>
              </w:rPr>
              <w:t>Total borrowed funds</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0"/>
                <w:szCs w:val="20"/>
                <w:color w:val="auto"/>
              </w:rPr>
            </w:pPr>
          </w:p>
        </w:tc>
      </w:tr>
      <w:tr>
        <w:trPr>
          <w:trHeight w:val="198"/>
        </w:trPr>
        <w:tc>
          <w:tcPr>
            <w:tcW w:w="302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b w:val="1"/>
                <w:bCs w:val="1"/>
                <w:color w:val="auto"/>
              </w:rPr>
              <w:t>Total interest-bearing</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(6,184)</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(8,087)</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(13,196)</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(17,084)</w:t>
            </w:r>
          </w:p>
        </w:tc>
      </w:tr>
      <w:tr>
        <w:trPr>
          <w:trHeight w:val="421"/>
        </w:trPr>
        <w:tc>
          <w:tcPr>
            <w:tcW w:w="3020" w:type="dxa"/>
            <w:vAlign w:val="bottom"/>
          </w:tcPr>
          <w:p>
            <w:pPr>
              <w:ind w:left="600"/>
              <w:spacing w:after="0"/>
              <w:rPr>
                <w:sz w:val="20"/>
                <w:szCs w:val="20"/>
                <w:color w:val="auto"/>
              </w:rPr>
            </w:pPr>
            <w:r>
              <w:rPr>
                <w:rFonts w:ascii="Arial" w:cs="Arial" w:eastAsia="Arial" w:hAnsi="Arial"/>
                <w:sz w:val="18"/>
                <w:szCs w:val="18"/>
                <w:b w:val="1"/>
                <w:bCs w:val="1"/>
                <w:color w:val="auto"/>
              </w:rPr>
              <w:t>Increase in net interest</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020" w:type="dxa"/>
            <w:vAlign w:val="bottom"/>
          </w:tcPr>
          <w:p>
            <w:pPr>
              <w:ind w:left="80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(3,470)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(2,681)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(7,109)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(7,568)</w:t>
            </w:r>
          </w:p>
        </w:tc>
      </w:tr>
      <w:tr>
        <w:trPr>
          <w:trHeight w:val="20"/>
        </w:trPr>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185" w:lineRule="exact"/>
        <w:rPr>
          <w:sz w:val="20"/>
          <w:szCs w:val="20"/>
          <w:color w:val="auto"/>
        </w:rPr>
      </w:pPr>
    </w:p>
    <w:p>
      <w:pPr>
        <w:jc w:val="both"/>
        <w:ind w:left="340" w:right="179"/>
        <w:spacing w:after="0" w:line="287" w:lineRule="auto"/>
        <w:rPr>
          <w:sz w:val="20"/>
          <w:szCs w:val="20"/>
          <w:color w:val="auto"/>
        </w:rPr>
      </w:pPr>
      <w:r>
        <w:rPr>
          <w:rFonts w:ascii="Arial" w:cs="Arial" w:eastAsia="Arial" w:hAnsi="Arial"/>
          <w:sz w:val="16"/>
          <w:szCs w:val="16"/>
          <w:color w:val="auto"/>
        </w:rPr>
        <w:t>The provision for loan losses is based on management’s evaluation of losses inherent in the loan portfolio and corresponding analysis of the allowance for loan losses at quarter-end. The provision for loan losses was $11.0 million and $201 million for the second quarter and the first six months of 2011, respectively, compared to $61.5 million and $137 million for the same period in 2010. The amount of provision recorded in the second quarter was the amount required such that the total allowance for loan losses reflected the appropriate balance, in the estimation of management, and was sufficient to cover inherent losses in the loan portfolio. For the six months ended June 30, 2011, the increase in the provision for loan losses compared to a year ago was primarily due to the increased level of charge-offs in the first quarter of 2011 recorded in conjunction with the Problem Asset Disposition Plan and transfer of loans to the held for sale category in anticipation of the Bulk Loan Sale. This also had the impact of lowering the second quarter provision for loan losses due to the lower level of nonperforming loans and net charge-offs. For the three and six months ended June 30, 2011, net loan charge-offs as an annualized percentage of average outstanding loans were 1.58% and 11.46%, compared to 4.98% and 4.75%, respectively, for the same periods in 2010. When charge-offs specifically related to loans transferred to the held for sale classification are excluded, the charge-off rate for the first six months of 2011 was 3.20%.</w:t>
      </w:r>
    </w:p>
    <w:p>
      <w:pPr>
        <w:spacing w:after="0" w:line="142"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As the residential construction and housing markets have struggled, it has been difficult for many builders and developers to obtain cash flow from selling lots and houses needed to service debt. This deterioration of the residential construction and housing market was the primary factor that resulted in higher credit losses and increases in non-performing assets over the last three years. Although a majority of the charge-offs have been within the residential construction and development portion of the portfolio, credit quality deterioration has migrated to other loan categories as unemployment levels have remained high throughout United’s markets. Additional discussion on credit quality and the allowance for loan losses is included in the Asset Quality and Risk Elements section of this report on page 44.</w:t>
      </w:r>
    </w:p>
    <w:p>
      <w:pPr>
        <w:sectPr>
          <w:pgSz w:w="11900" w:h="16838" w:orient="portrait"/>
          <w:cols w:equalWidth="0" w:num="1">
            <w:col w:w="10219"/>
          </w:cols>
          <w:pgMar w:left="240" w:top="419" w:right="1440" w:bottom="1054"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54"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Fee Revenue</w:t>
      </w:r>
    </w:p>
    <w:p>
      <w:pPr>
        <w:spacing w:after="0" w:line="19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Operating fee revenue for the three and six months ended June 30, 2011 was $13.9 million and $25.7 million, respectively, an increase of $2.33 million, or 20%, and $2.50 million, or 11%, from the same period of 2010. Fee revenue from continuing operations excludes consulting fees earned by United’s Brintech subsidiary which was sold on March 31, 2010. All periods are presented on a continuing operations basis.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components of fee revenue for the second quarters and first six months of 2011 and 2010.</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5 — Fee Revenue</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2"/>
              </w:rPr>
              <w:t>Three Months Ended</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 Months 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w w:val="99"/>
              </w:rPr>
              <w:t>Change</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2010</w:t>
            </w:r>
          </w:p>
        </w:tc>
        <w:tc>
          <w:tcPr>
            <w:tcW w:w="3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2011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2010</w:t>
            </w:r>
          </w:p>
        </w:tc>
        <w:tc>
          <w:tcPr>
            <w:tcW w:w="3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Overdraft fees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3,657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4,652</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8,969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ATM and debit card fees</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3,279</w:t>
            </w: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2,595</w:t>
            </w: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5,809</w:t>
            </w:r>
          </w:p>
        </w:tc>
        <w:tc>
          <w:tcPr>
            <w:tcW w:w="1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4,948</w:t>
            </w: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 service charges and fees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746</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860" w:type="dxa"/>
            <w:vAlign w:val="bottom"/>
          </w:tcPr>
          <w:p>
            <w:pPr>
              <w:ind w:left="200"/>
              <w:spacing w:after="0"/>
              <w:rPr>
                <w:sz w:val="20"/>
                <w:szCs w:val="20"/>
                <w:color w:val="auto"/>
              </w:rPr>
            </w:pPr>
            <w:r>
              <w:rPr>
                <w:rFonts w:ascii="Arial" w:cs="Arial" w:eastAsia="Arial" w:hAnsi="Arial"/>
                <w:sz w:val="18"/>
                <w:szCs w:val="18"/>
                <w:color w:val="auto"/>
              </w:rPr>
              <w:t>Service charges and fees</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7,608</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7,993</w:t>
            </w:r>
          </w:p>
        </w:tc>
        <w:tc>
          <w:tcPr>
            <w:tcW w:w="38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14,328</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15,440</w:t>
            </w:r>
          </w:p>
        </w:tc>
        <w:tc>
          <w:tcPr>
            <w:tcW w:w="3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Mortgage loan and related fees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1,601</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2,446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3,080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Brokerage fees</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691</w:t>
            </w: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586</w:t>
            </w: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1,368</w:t>
            </w:r>
          </w:p>
        </w:tc>
        <w:tc>
          <w:tcPr>
            <w:tcW w:w="1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1,153</w:t>
            </w: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Securities gains, net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60" w:type="dxa"/>
            <w:vAlign w:val="bottom"/>
          </w:tcPr>
          <w:p>
            <w:pPr>
              <w:spacing w:after="0" w:line="201" w:lineRule="exact"/>
              <w:rPr>
                <w:sz w:val="20"/>
                <w:szCs w:val="20"/>
                <w:color w:val="auto"/>
              </w:rPr>
            </w:pPr>
            <w:r>
              <w:rPr>
                <w:rFonts w:ascii="Arial" w:cs="Arial" w:eastAsia="Arial" w:hAnsi="Arial"/>
                <w:sz w:val="18"/>
                <w:szCs w:val="18"/>
                <w:color w:val="auto"/>
              </w:rPr>
              <w:t>Losses from prepayment of</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0"/>
              <w:spacing w:after="0"/>
              <w:rPr>
                <w:sz w:val="20"/>
                <w:szCs w:val="20"/>
                <w:color w:val="auto"/>
              </w:rPr>
            </w:pPr>
            <w:r>
              <w:rPr>
                <w:rFonts w:ascii="Arial" w:cs="Arial" w:eastAsia="Arial" w:hAnsi="Arial"/>
                <w:sz w:val="18"/>
                <w:szCs w:val="18"/>
                <w:color w:val="auto"/>
              </w:rPr>
              <w:t>borrowings</w:t>
            </w:r>
          </w:p>
        </w:tc>
        <w:tc>
          <w:tcPr>
            <w:tcW w:w="12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(791)</w:t>
            </w:r>
          </w:p>
        </w:tc>
        <w:tc>
          <w:tcPr>
            <w:tcW w:w="16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(791)</w:t>
            </w:r>
          </w:p>
        </w:tc>
        <w:tc>
          <w:tcPr>
            <w:tcW w:w="18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Hedge ineffectiveness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2,809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239</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4,112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850</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1,160</w:t>
            </w: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3,442</w:t>
            </w:r>
          </w:p>
        </w:tc>
        <w:tc>
          <w:tcPr>
            <w:tcW w:w="1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2,661</w:t>
            </w: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fee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11,579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25,743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23,245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Service charges and fees of $7.61 million were down $385,000, or 5%, from the second quarter of 2010. For the first six months of 2011, service charges and fees of $14.3 million were down $1.11 million, or 7%, from the same period in 2010. The decrease was primarily due to lower overdraft fees resulting from decreased utilization of our courtesy overdraft services with the changes to Regulation E in 2010 requiring customers to opt in to such services. The decrease in overdraft fees was partially offset by higher ATM and debit card interchange revenue.</w:t>
      </w:r>
    </w:p>
    <w:p>
      <w:pPr>
        <w:spacing w:after="0" w:line="148"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Mortgage loans and related fees for the second quarter and first six months of 2011 were down $649,000, or 41%, and $634,000, or 21%, respectively, from the same period in 2010. In the second quarter of 2011, United closed 349 loans totaling $50.5 million compared with 475 loans totaling $70.2 million in the second quarter of 2010. Year-to-date mortgage production in 2011 amounted to 830 loans totaling $125 million, compared to 887 loans totaling $135 million for the same period in 2010.</w:t>
      </w:r>
    </w:p>
    <w:p>
      <w:pPr>
        <w:spacing w:after="0" w:line="131"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United recognized net securities gains of $783,000 and $838,000, respectively, for the three and six months ended June 30, 2011. There were no securities gains or losses in the second quarter of 2010 and $61,000 for the first six months of 2010. The 2010 net gain included $950,000 in impairment charges on trust preferred securities of a bank whose financial condition had deteriorated. The impairment charge was more than offset by realized gains from securities sales.</w:t>
      </w:r>
    </w:p>
    <w:p>
      <w:pPr>
        <w:spacing w:after="0" w:line="160"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In the second quarter of 2011, United recognized $2.81 million in income from hedge ineffectiveness compared with $239,000 in income from hedge ineffectiveness in the second quarter of 2010. For the first six months of 2011, United recognized $4.11 million in income from hedge ineffectiveness compared with $850,000 in income for the same period of 2010. Most of the hedge ineffectiveness in 2010 and all of the hedge ineffectiveness in 2011 relates to terminated cash flow hedges where the gains realized on the terminated positions are being deferred over the original term of the derivative instrument. The ineffectiveness, which is caused by a decrease in qualifying prime-based loans, results in the accelerated recognition of the deferred gains.</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following table presents the components of operating expenses for the three and six months ended June 30, 2011 and 2010. The table is presented to reflect Brintech as a discontinued operation, and accordingly, operating expenses associated with Brintech have been excluded from the table for all periods presented.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Table 6 — Operating Expenses </w:t>
      </w:r>
      <w:r>
        <w:rPr>
          <w:rFonts w:ascii="Arial" w:cs="Arial" w:eastAsia="Arial" w:hAnsi="Arial"/>
          <w:sz w:val="18"/>
          <w:szCs w:val="18"/>
          <w:i w:val="1"/>
          <w:iCs w:val="1"/>
          <w:color w:val="auto"/>
        </w:rPr>
        <w:t>(dollars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7"/>
              </w:rPr>
              <w:t>Six Months Ended</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w w:val="99"/>
              </w:rPr>
              <w:t>Change</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2010</w:t>
            </w:r>
          </w:p>
        </w:tc>
        <w:tc>
          <w:tcPr>
            <w:tcW w:w="3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2010</w:t>
            </w:r>
          </w:p>
        </w:tc>
        <w:tc>
          <w:tcPr>
            <w:tcW w:w="3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26,436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23,590</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51,360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47,950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3,378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3,511</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6,722</w:t>
            </w: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6,784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3,836</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7,879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7,650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1,352</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2,295</w:t>
            </w: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2,395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Postage, printing and supplies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765</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Professional fees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2,178</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5,680</w:t>
            </w: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4,121</w:t>
            </w: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FDIC assessments and other</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regulatory charges</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3,566</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9,057</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7,192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760</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794</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1,522</w:t>
            </w: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1,596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4,176</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10,491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8,097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tcPr>
          <w:p>
            <w:pPr>
              <w:ind w:left="200"/>
              <w:spacing w:after="0"/>
              <w:rPr>
                <w:sz w:val="20"/>
                <w:szCs w:val="20"/>
                <w:color w:val="auto"/>
              </w:rPr>
            </w:pPr>
            <w:r>
              <w:rPr>
                <w:rFonts w:ascii="Arial" w:cs="Arial" w:eastAsia="Arial" w:hAnsi="Arial"/>
                <w:sz w:val="18"/>
                <w:szCs w:val="18"/>
                <w:color w:val="auto"/>
              </w:rPr>
              <w:t>Total excluding foreclosed</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400"/>
              <w:spacing w:after="0"/>
              <w:rPr>
                <w:sz w:val="20"/>
                <w:szCs w:val="20"/>
                <w:color w:val="auto"/>
              </w:rPr>
            </w:pPr>
            <w:r>
              <w:rPr>
                <w:rFonts w:ascii="Arial" w:cs="Arial" w:eastAsia="Arial" w:hAnsi="Arial"/>
                <w:sz w:val="18"/>
                <w:szCs w:val="18"/>
                <w:color w:val="auto"/>
                <w:w w:val="97"/>
              </w:rPr>
              <w:t>property expenses and loss 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400"/>
              <w:spacing w:after="0"/>
              <w:rPr>
                <w:sz w:val="20"/>
                <w:szCs w:val="20"/>
                <w:color w:val="auto"/>
              </w:rPr>
            </w:pPr>
            <w:r>
              <w:rPr>
                <w:rFonts w:ascii="Arial" w:cs="Arial" w:eastAsia="Arial" w:hAnsi="Arial"/>
                <w:sz w:val="18"/>
                <w:szCs w:val="18"/>
                <w:color w:val="auto"/>
              </w:rPr>
              <w:t>NPA sale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46,837</w:t>
            </w:r>
          </w:p>
        </w:tc>
        <w:tc>
          <w:tcPr>
            <w:tcW w:w="16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43,768</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97,209</w:t>
            </w:r>
          </w:p>
        </w:tc>
        <w:tc>
          <w:tcPr>
            <w:tcW w:w="16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87,775</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(gains) losses on sales of</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foreclosed properties</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(3,218)</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5,098</w:t>
            </w: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8,802</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8,616</w:t>
            </w: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Foreclosed property write downs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3,118</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6,094</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51,703</w:t>
            </w: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10,673</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Foreclosed property maintenance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3,348</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6,285</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6,064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w w:val="93"/>
              </w:rPr>
              <w:t>Loss on sale of nonperforming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45,349</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45,349</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48,728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103,657</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163,999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158,477</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spacing w:after="0" w:line="255" w:lineRule="auto"/>
        <w:rPr>
          <w:sz w:val="20"/>
          <w:szCs w:val="20"/>
          <w:color w:val="auto"/>
        </w:rPr>
      </w:pPr>
      <w:r>
        <w:rPr>
          <w:rFonts w:ascii="Arial" w:cs="Arial" w:eastAsia="Arial" w:hAnsi="Arial"/>
          <w:sz w:val="18"/>
          <w:szCs w:val="18"/>
          <w:color w:val="auto"/>
        </w:rPr>
        <w:t>Operating expenses for the second quarter of 2011 totaled $48.7 million, down $54.9 million, or 53%, from the second quarter of 2010. For the six months ended June 30, 2011, operating expenses totaled $164 million, up $5.52 million, or 3% from the same period in 2010, mostly reflecting an increase in foreclosed property losses incurred in connection with United’s classified asset disposition plans. Excluding foreclosed property costs and the loss on sale of nonperforming assets in the second quarter of 2010, total operating expenses were $46.8 million, and $97.2 million for the three and six months ended June 30, 2011, up $3.07 million, or 7%, and $9.43 million, or 11%, respectively, from a year ago.</w:t>
      </w:r>
    </w:p>
    <w:p>
      <w:pPr>
        <w:spacing w:after="0" w:line="166"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Salaries and employee benefits for the second quarter of 2011 were $26.4 million, up $2.85 million, or 12%, from the same period of 2010. For the first six months of 2011, salaries and employee benefits of $51.4 million were up $3.41 million, or 7%, from the first six months of 2010. Severance costs for eliminated staff positions accounted for $1.20 million of the increase in both periods. The increase was also due to higher group medical insurance costs and a lower level of deferred direct loan origination costs. Headcount totaled 1,767 at June 30, 2011, compared to 1,821 at June 30, 2010.</w:t>
      </w:r>
    </w:p>
    <w:p>
      <w:pPr>
        <w:spacing w:after="0" w:line="148"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Occupancy expense of $3.81 million and $7.88 million, respectively, for the second quarter and first six months of 2011 was down $31,000, or 1%, and up $229,000, or 3%, respectively, compared to the same periods of 2010. The increase for the six month period was due to higher costs for utilities, real estate taxes and insurance premiums.</w:t>
      </w:r>
    </w:p>
    <w:p>
      <w:pPr>
        <w:spacing w:after="0" w:line="141" w:lineRule="exact"/>
        <w:rPr>
          <w:sz w:val="20"/>
          <w:szCs w:val="20"/>
          <w:color w:val="auto"/>
        </w:rPr>
      </w:pPr>
    </w:p>
    <w:p>
      <w:pPr>
        <w:jc w:val="both"/>
        <w:ind w:left="340" w:right="179"/>
        <w:spacing w:after="0" w:line="286" w:lineRule="auto"/>
        <w:rPr>
          <w:sz w:val="20"/>
          <w:szCs w:val="20"/>
          <w:color w:val="auto"/>
        </w:rPr>
      </w:pPr>
      <w:r>
        <w:rPr>
          <w:rFonts w:ascii="Arial" w:cs="Arial" w:eastAsia="Arial" w:hAnsi="Arial"/>
          <w:sz w:val="17"/>
          <w:szCs w:val="17"/>
          <w:color w:val="auto"/>
        </w:rPr>
        <w:t>Postage, printing and supplies expense for the second quarter of 2011 totaled $1.09 million, up $320,000, or 42%, from the same period of 2010. For the six months ended June 30, 2011 and 2010, postage, printing and supplies expense totaled $2.20 million and $1.99 million, respectively. The increase was primarily due to higher postage costs and outside courier expenses.</w:t>
      </w:r>
    </w:p>
    <w:p>
      <w:pPr>
        <w:spacing w:after="0" w:line="13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Professional fees for the second quarter of 2011 of $2.35 million were up $172,000, or 8%, from the same period in 2010. For the six months ended June 30, 2011 professional fees of $5.68 million were up $1.56 million, or 38%, primarily due to professional service costs associated with the Private Placement and Bulk Loan Sale.</w:t>
      </w:r>
    </w:p>
    <w:p>
      <w:pPr>
        <w:spacing w:after="0" w:line="141"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FDIC assessments and other regulatory charges of $3.64 million and $9.06 million for the second quarter and first six months of 2011, increased $78,000 and $1.87 million, respectively, from the second quarter and first six months of 2010. The increase was due to an increase in United’s assessment rate as well as an increase in insured deposits. The assessment rate came down late in the second quarter of 2011, primarily due to the FDIC’s new asset based formula.</w:t>
      </w:r>
    </w:p>
    <w:p>
      <w:pPr>
        <w:spacing w:after="0" w:line="146"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Other expense of $4.06 million for the second quarter of 2011 decreased $114,000 from the second quarter of 2010. Year-to-date, other expense of $10.5 million increased $2.39 million from the first six months of 2010. The year-to-date increase was primarily due to $2.60 million of property taxes and other loan collateral costs incurred to prepare loans for the Bulk Loan Sale.</w:t>
      </w:r>
    </w:p>
    <w:p>
      <w:pPr>
        <w:sectPr>
          <w:pgSz w:w="11900" w:h="16838" w:orient="portrait"/>
          <w:cols w:equalWidth="0" w:num="1">
            <w:col w:w="10219"/>
          </w:cols>
          <w:pgMar w:left="240" w:top="419" w:right="1440" w:bottom="501"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01"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4" w:lineRule="auto"/>
        <w:rPr>
          <w:sz w:val="20"/>
          <w:szCs w:val="20"/>
          <w:color w:val="auto"/>
        </w:rPr>
      </w:pPr>
      <w:r>
        <w:rPr>
          <w:rFonts w:ascii="Arial" w:cs="Arial" w:eastAsia="Arial" w:hAnsi="Arial"/>
          <w:sz w:val="18"/>
          <w:szCs w:val="18"/>
          <w:color w:val="auto"/>
        </w:rPr>
        <w:t>Gains on sale of foreclosed property totaled $3.22 million for the second quarter of 2011, compared to losses on sale of $5.10 million for the second quarter of 2010. For the six months ended June 30, 2011, losses on sale were $8.80 million compared to losses on sale of $8.37 million for the same period of the prior year. Foreclosed property write downs for the second quarter and first six months of 2011 were $3.12 million and $51.7 million compared to $6.09 million and $10.9 million a year ago. The year to date increase reflected higher write downs in the first half of 2011 on foreclosed properties to expedite sales under the Problem Asset Disposition Plan. Foreclosed property maintenance expenses include legal fees, property taxes, marketing costs, utility services, maintenance and repair charges that totaled $1.99 million and $6.29 million for the second quarter and first six months of 2011 compared with $3.35 million and $6.06 million a year ago.</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Income tax expense for the second quarter of 2011 was $5.08 million as compared with income tax benefit of $32.9 million for the second quarter of 2010, representing an effective tax rate of approximately 40.0% and 35.6%, respectively. For the first six months of 2011, income tax benefit was $89.9 million as compared with income tax benefit of $55.8 million for the same period in 2010, representing an effective tax rate of 40.0% and 37.3%, respectively. The effective tax rates were different from the statutory tax rates primarily due to interest revenue on certain investment securities and loans that are exempt from income taxes, tax exempt fee revenue, tax credits received on affordable housing investments, and the change in valuation allowance on deferred tax assets as discussed below.</w:t>
      </w:r>
    </w:p>
    <w:p>
      <w:pPr>
        <w:spacing w:after="0" w:line="149"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United was profitable during the second quarter of 2011. The change from a pre-tax loss to pre-tax earnings will affect the effective tax rate going forward to the extent profitability continues. Because in aggregate, United’s permanent tax differences are generally in United’s favor, they tend to reduce the effective tax rate below the blended statutory rate of 38.9% when United has pre-tax earnings and they increase the effective tax rate above the blended statutory rate when United has a pre-tax loss. The effective tax rates can be volatile as earnings or losses approach a break-even point since United would report a tax benefit even if it were to break even as a result of the permanent tax differences. Therefore some volatility in the effective tax rate is expected as United moves from a loss position to positive earnings.</w:t>
      </w:r>
    </w:p>
    <w:p>
      <w:pPr>
        <w:spacing w:after="0" w:line="162" w:lineRule="exact"/>
        <w:rPr>
          <w:sz w:val="20"/>
          <w:szCs w:val="20"/>
          <w:color w:val="auto"/>
        </w:rPr>
      </w:pPr>
    </w:p>
    <w:p>
      <w:pPr>
        <w:jc w:val="both"/>
        <w:ind w:left="340" w:right="159"/>
        <w:spacing w:after="0" w:line="284" w:lineRule="auto"/>
        <w:rPr>
          <w:sz w:val="20"/>
          <w:szCs w:val="20"/>
          <w:color w:val="auto"/>
        </w:rPr>
      </w:pPr>
      <w:r>
        <w:rPr>
          <w:rFonts w:ascii="Arial" w:cs="Arial" w:eastAsia="Arial" w:hAnsi="Arial"/>
          <w:sz w:val="16"/>
          <w:szCs w:val="16"/>
          <w:color w:val="auto"/>
        </w:rPr>
        <w:t xml:space="preserve">Management determined that it is more likely than not that approximately $5.20 million at June 30, 2011 and $5.16 million at June 30, 2010, net of Federal benefit, in state tax credits will expire unused due to their very short three to five year carry forward period and a valuation allowance has been established for these benefits. At June 30, 2011, United had net deferred tax assets of $261 million, net of the valuation allowance of $5.20 million. Accounting Standards Codification Topic 740, </w:t>
      </w:r>
      <w:r>
        <w:rPr>
          <w:rFonts w:ascii="Arial" w:cs="Arial" w:eastAsia="Arial" w:hAnsi="Arial"/>
          <w:sz w:val="16"/>
          <w:szCs w:val="16"/>
          <w:i w:val="1"/>
          <w:iCs w:val="1"/>
          <w:color w:val="auto"/>
        </w:rPr>
        <w:t>Income Taxes</w:t>
      </w:r>
      <w:r>
        <w:rPr>
          <w:rFonts w:ascii="Arial" w:cs="Arial" w:eastAsia="Arial" w:hAnsi="Arial"/>
          <w:sz w:val="16"/>
          <w:szCs w:val="16"/>
          <w:color w:val="auto"/>
        </w:rPr>
        <w:t>, requires that companies assess whether a valuation allowance should be established against their deferred tax assets based on the consideration of all available evidence using a “more likely than not” standard. Management considers both positive and negative evidence and analyzes changes in near-term market conditions as well as other factors which may impact future operating results. In making such judgments, significant weight is given to evidence that can be objectively verified. At June 30, 2011, management believes that it is more likely than not that, with the exception of those state tax credits that are expected to expire unused due to a relatively short carryforward period of only three to five years, it will be able to fully realize its deferred tax benefits through its ability to carry losses forward to future profitable years. Despite recent losses and the challenging economic environment, United has a history of strong earnings, is well-capitalized, continues to grow its core customer deposit base while maintaining very high customer satisfaction scores, and has expectations regarding future taxable income that are in excess of the amount required to utilize United’s net operating losses prior to their expiration. The deferred tax assets are analyzed quarterly for changes affecting realizability. United’s most recent analysis, which management believes is based on conservative assumptions, indicated that the deferred tax assets will be fully utilized well in advance of the twenty-year carryforward period allowed for net operating losses; however, there can be no guarantee that a valuation allowance will not be necessary in future periods. Inherent in management’s assertion that it is more likely than not that United will be able to fully utilize its deferred tax assets is an assumption that United return to profitability within a short period of time following the execution of the Private Placement and the Problem Asset Disposition Plan. The Company experienced a return to profitability in the second quarter of 2011. Also important at arriving at that conclusion is the assumption that an “ownership change” as defined by Section 382 of the Internal Revenue Code of 1986, as amended, and related Internal Revenue Service pronouncements (“Section 382”) did not occur as a result of the first quarter Private Placement. Management believes that no such change of control has occurred.</w:t>
      </w:r>
    </w:p>
    <w:p>
      <w:pPr>
        <w:spacing w:after="0" w:line="140"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6"/>
          <w:szCs w:val="16"/>
          <w:color w:val="auto"/>
        </w:rPr>
        <w:t>While United’s recent losses and informal Memorandum of Understanding (“MOU”) with the FDIC are considered negative evidence with regard to United’s ability to use its deferred tax assets, the losses were primarily the result of the collapse in the housing market and United’s concentration of residential construction loans rather than a fundamental problem with its underlying business approach. United has reduced its concentration of residential construction loans from a high of 35% of its portfolio to 12% as of June 30, 2011. With the recent capital transaction and disposition of problem assets, United’s credit measures have significantly improved leading management to the expectation that it is at or near a point of sustainable profitability. At June 30, 2011, nonperforming assets represent only 1.60% of total assets, down from a high of 5.32% of total assets at the end of the first quarter of 2010 and the improving trend is expected to continue. During the weak economic cycle, United was able to improve its already high customer satisfaction scores and achieve national recognition from JD Power &amp; Associates for superior customer service. United was also able to increase core customer deposits (non-CD, non-public) by $450 million since December 2009. Perhaps the strongest evidence supporting United’s ability to fully utilize its deferred tax asset was its ability to raise $380 million in new capital from private equity investors. These investors performed extensive due diligence prior to investing in United. Their investment in United was made with the expectation, based on their objective analysis, that United would provide an attractive return on their investment. United’s management has therefore concluded that it is more likely than not that it will be able to fully utilize its deferred tax assets.</w:t>
      </w:r>
    </w:p>
    <w:p>
      <w:pPr>
        <w:spacing w:after="0" w:line="131"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As of February 22, 2011, United adopted a tax benefits preservation plan designed to protect its ability to utilize its substantial tax assets. Those tax assets include net operating losses that it could utilize in certain circumstances to offset taxable income and reduce its federal income tax liability and the future tax benefits from potential net unrealized built in losses. United’s ability to use its tax benefits would be substantially limited if it were to experience an ownership change as defined under Section 382. In general, an ownership change would occur if United’s “5-percent shareholders,” as defined under Section 382, collectively increase their ownership in United by more than 50% over a rolling three-year period. The tax benefits preservation plan is designed to reduce the likelihood that United will experience an ownership change by discouraging any person or group from becoming a beneficial owner of 4.99% or more of United’s common stock then outstanding.</w:t>
      </w:r>
    </w:p>
    <w:p>
      <w:pPr>
        <w:sectPr>
          <w:pgSz w:w="11900" w:h="16838" w:orient="portrait"/>
          <w:cols w:equalWidth="0" w:num="1">
            <w:col w:w="10219"/>
          </w:cols>
          <w:pgMar w:left="240" w:top="419" w:right="1440" w:bottom="0" w:gutter="0" w:footer="0" w:header="0"/>
        </w:sectPr>
      </w:pPr>
    </w:p>
    <w:bookmarkStart w:id="49" w:name="page50"/>
    <w:bookmarkEnd w:id="49"/>
    <w:p>
      <w:pPr>
        <w:jc w:val="both"/>
        <w:ind w:right="159"/>
        <w:spacing w:after="0" w:line="273" w:lineRule="auto"/>
        <w:rPr>
          <w:sz w:val="20"/>
          <w:szCs w:val="20"/>
          <w:color w:val="auto"/>
        </w:rPr>
      </w:pPr>
      <w:r>
        <w:rPr>
          <w:rFonts w:ascii="Arial" w:cs="Arial" w:eastAsia="Arial" w:hAnsi="Arial"/>
          <w:sz w:val="17"/>
          <w:szCs w:val="17"/>
          <w:color w:val="auto"/>
        </w:rPr>
        <w:t>In connection with the tax benefits preservation plan, on February 22, 2011, United entered into a share exchange agreement with the Elm Ridge Parties to transfer to the Company 1,551,126 shares of United’s common stock, in exchange for 16,613 shares of the Company’s series D preferred shares and warrants to purchase 1,551,126 shares of common stock. Prior to entering into the share exchange agreement, collectively, the Elm Ridge Parties were United’s largest shareholder. By exchanging the Elm Ridge Parties’ common stock for the Series D Preferred Shares and warrants, United eliminated its only “5-percent shareholder” and, as a result, obtained further protection against an ownership change under Section 382.</w:t>
      </w: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Additional information regarding income taxes can be found in Note 15 to the consolidated financial statements filed with United’s 2010 Form 10-K.</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Balance Sheet Review</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assets at June 30, 2011, December 31, 2010 and June 30, 2010 were $7.41 billion, $7.44 billion and $7.65 billion, respectively.</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Average total assets for the second quarter of 2011 were $7.62 billion, down from $7.70 billion in the second quarter of 2010.</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the loan portfolio.</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7 — Loans Outstanding (excludes loans covered by loss share agreement)</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1"/>
              </w:rPr>
              <w:t>June 30,</w:t>
            </w:r>
          </w:p>
        </w:tc>
        <w:tc>
          <w:tcPr>
            <w:tcW w:w="1640" w:type="dxa"/>
            <w:vAlign w:val="bottom"/>
            <w:gridSpan w:val="4"/>
          </w:tcPr>
          <w:p>
            <w:pPr>
              <w:ind w:left="14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June 30,</w:t>
            </w: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Loan Type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1,741,754</w:t>
            </w:r>
          </w:p>
        </w:tc>
        <w:tc>
          <w:tcPr>
            <w:tcW w:w="280" w:type="dxa"/>
            <w:vAlign w:val="bottom"/>
          </w:tcPr>
          <w:p>
            <w:pPr>
              <w:spacing w:after="0"/>
              <w:rPr>
                <w:sz w:val="18"/>
                <w:szCs w:val="18"/>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1,761,424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1,780,142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195,190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296,582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342,140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428,058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441,518</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441,097</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2,365,002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2,499,524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2,563,379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501,909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695,166</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819,930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1,177,226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1,278,780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1,355,582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Installment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119,310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130,656</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134,139</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loans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4,163,447</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4,604,126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4,873,030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As a percentage of total loans: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(secured by real estate)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(commercial and industrial)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700" w:type="dxa"/>
            <w:vAlign w:val="bottom"/>
          </w:tcPr>
          <w:p>
            <w:pPr>
              <w:ind w:left="400"/>
              <w:spacing w:after="0"/>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4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Geographic Location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Atlanta MSA</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1,188,262</w:t>
            </w:r>
          </w:p>
        </w:tc>
        <w:tc>
          <w:tcPr>
            <w:tcW w:w="280" w:type="dxa"/>
            <w:vAlign w:val="bottom"/>
          </w:tcPr>
          <w:p>
            <w:pPr>
              <w:spacing w:after="0"/>
              <w:rPr>
                <w:sz w:val="18"/>
                <w:szCs w:val="18"/>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1,310,222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1,373,631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Gainesville MSA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274,744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312,049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343,351</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North Georgia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1,499,687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1,688,586</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1,807,704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Western North Carolina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626,230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701,798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737,639</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Coastal Georgia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325,650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335,020</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355,719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East Tennessee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248,874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256,451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254,986</w:t>
            </w:r>
          </w:p>
        </w:tc>
        <w:tc>
          <w:tcPr>
            <w:tcW w:w="0" w:type="dxa"/>
            <w:vAlign w:val="bottom"/>
          </w:tcPr>
          <w:p>
            <w:pPr>
              <w:spacing w:after="0"/>
              <w:rPr>
                <w:sz w:val="1"/>
                <w:szCs w:val="1"/>
                <w:color w:val="auto"/>
              </w:rPr>
            </w:pPr>
          </w:p>
        </w:tc>
      </w:tr>
      <w:tr>
        <w:trPr>
          <w:trHeight w:val="223"/>
        </w:trPr>
        <w:tc>
          <w:tcPr>
            <w:tcW w:w="5700" w:type="dxa"/>
            <w:vAlign w:val="bottom"/>
          </w:tcPr>
          <w:p>
            <w:pPr>
              <w:ind w:left="200"/>
              <w:spacing w:after="0"/>
              <w:rPr>
                <w:sz w:val="20"/>
                <w:szCs w:val="20"/>
                <w:color w:val="auto"/>
              </w:rPr>
            </w:pPr>
            <w:r>
              <w:rPr>
                <w:rFonts w:ascii="Arial" w:cs="Arial" w:eastAsia="Arial" w:hAnsi="Arial"/>
                <w:sz w:val="18"/>
                <w:szCs w:val="18"/>
                <w:color w:val="auto"/>
              </w:rPr>
              <w:t>Total loans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4,163,447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4,604,126</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4,873,030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Substantially all of United’s loans are to customers (including customers who have a seasonal residence in United’s market areas) located in the immediate market areas of its community banks in Georgia, North Carolina, and Tennessee, and more than 85% of the loans are secured by real estate. At June 30, 2011, total loans, excluding loans acquired from SCB that are covered by loss sharing agreements with the FDIC, were $4.16 billion, a decrease of $710 million, or 15%, from June 30, 2010. The rate of loan growth began to decline in the first quarter of 2007 and the balances have continued to decline. The decrease in the loan portfolio began with deterioration in the residential construction and housing markets. This deterioration resulted in part in an oversupply of lot inventory, houses and land within United’s markets, which further slowed construction activities and acquisition and development projects. The resulting recession that began in the housing market led to high rates of unemployment that resulted in stress in the other segments of United’s loan portfolio. Despite the weak economy and lack of loan demand, United has continued to pursue lending opportunities which resulted in $105 million in new loans that were funded in the second quarter of 2011.</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198"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establishing credit policies and procedures and enforcing the consistent application of these policies and procedures among all of the community banks. Additional information on the credit administration function is included in Item 1 under the heading </w:t>
      </w:r>
      <w:r>
        <w:rPr>
          <w:rFonts w:ascii="Arial" w:cs="Arial" w:eastAsia="Arial" w:hAnsi="Arial"/>
          <w:sz w:val="17"/>
          <w:szCs w:val="17"/>
          <w:i w:val="1"/>
          <w:iCs w:val="1"/>
          <w:color w:val="auto"/>
        </w:rPr>
        <w:t>Loan Review and Non-performing Assets</w:t>
      </w:r>
      <w:r>
        <w:rPr>
          <w:rFonts w:ascii="Arial" w:cs="Arial" w:eastAsia="Arial" w:hAnsi="Arial"/>
          <w:sz w:val="17"/>
          <w:szCs w:val="17"/>
          <w:color w:val="auto"/>
        </w:rPr>
        <w:t xml:space="preserve"> in United’s Annual Report on Form 10-K.</w:t>
      </w:r>
    </w:p>
    <w:p>
      <w:pPr>
        <w:spacing w:after="0" w:line="132"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United classifies performing loans as “substandard” when there is a well-defined weakness or weaknesses that jeopardize the repayment by the borrower and there is a distinct possibility that United could sustain some loss if the deficiency is not corrected. The table below presents performing substandard loans for the last five quarters.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8 — Performing Substandard Loans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w:t>
            </w:r>
          </w:p>
        </w:tc>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w:t>
            </w:r>
          </w:p>
        </w:tc>
        <w:tc>
          <w:tcPr>
            <w:tcW w:w="1420" w:type="dxa"/>
            <w:vAlign w:val="bottom"/>
            <w:gridSpan w:val="4"/>
          </w:tcPr>
          <w:p>
            <w:pPr>
              <w:ind w:left="200"/>
              <w:spacing w:after="0"/>
              <w:rPr>
                <w:sz w:val="20"/>
                <w:szCs w:val="20"/>
                <w:color w:val="auto"/>
              </w:rPr>
            </w:pPr>
            <w:r>
              <w:rPr>
                <w:rFonts w:ascii="Arial" w:cs="Arial" w:eastAsia="Arial" w:hAnsi="Arial"/>
                <w:sz w:val="18"/>
                <w:szCs w:val="18"/>
                <w:b w:val="1"/>
                <w:bCs w:val="1"/>
                <w:color w:val="auto"/>
              </w:rPr>
              <w:t>December 31,</w:t>
            </w:r>
          </w:p>
        </w:tc>
        <w:tc>
          <w:tcPr>
            <w:tcW w:w="1660" w:type="dxa"/>
            <w:vAlign w:val="bottom"/>
            <w:gridSpan w:val="4"/>
          </w:tcPr>
          <w:p>
            <w:pPr>
              <w:ind w:left="20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Category</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Commercial (sec. by 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117,525</w:t>
            </w: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119,651</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156,765</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157,245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140,805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31,347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90,745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102,592</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78,436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16,645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16,425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16,767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22,251</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22,052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commercial</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165,517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170,963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264,277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282,088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241,293</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74,277</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80,534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158,770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177,381</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149,305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70,396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86,143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86,239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79,484</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313,113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322,968</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512,147</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549,926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474,446</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8"/>
                <w:szCs w:val="18"/>
                <w:b w:val="1"/>
                <w:bCs w:val="1"/>
                <w:color w:val="auto"/>
              </w:rPr>
              <w:t>By Market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Atlanta MSA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97,931</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100,200</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185,327</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214,676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183,612</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Gainesville MSA</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14,957</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17,417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33,962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27,097</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22,602</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North Georgia</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140,886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148,228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212,992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229,845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199,498</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North Carolina</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30,202</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27,280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42,335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37,085</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34,742</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Coastal Georgia</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22,945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29,223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32,341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25,329</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East Tennessee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6,192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6,739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8,308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8,882</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8,663</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313,113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322,968</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512,147</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549,926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474,446</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At June 30, 2011, performing substandard loans totaled $313 million and decreased $9.86 million from the prior quarter-end, and decreased $161 million from a year ago. Most of the decrease occurred in United’s Atlanta and north Georgia markets and was primarily the result of our Bulk Loan Sale which was completed on April 18, 2011, however the overall trend in performing substandard loans has been declining. Residential construction and commercial construction loans showed the most significant decreases as they represented more than 60% of the pre-charge down carrying amount of the aggregate loans included in the loan sale.</w:t>
      </w:r>
    </w:p>
    <w:p>
      <w:pPr>
        <w:spacing w:after="0" w:line="118"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Reviews of substandard performing and non-performing loans, past due loans and larger credits, are conducted on a regular basis with management each quarter and are designed to identify risk migration and potential charges to the allowance for loan losses. These reviews are performed by the responsible lending officers and the loan review department and also consider such factors as the financial strength of borrowers, the value of the applicable collateral, past loan loss experience, anticipated loan losses, changes in risk profile, prevailing economic conditions and other factors. In addition to United’s internal loan review, United also uses external loan review to ensure the independence of the loan review process.</w:t>
      </w: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The following table presents a summary of the changes in the allowance for loan losses for the three and six months ended June 30, 2011 and 2010.</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9 — Allowance for Loan Losses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10"/>
          </w:tcPr>
          <w:p>
            <w:pPr>
              <w:jc w:val="right"/>
              <w:ind w:right="30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9"/>
          </w:tcPr>
          <w:p>
            <w:pPr>
              <w:jc w:val="right"/>
              <w:ind w:right="36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tcPr>
          <w:p>
            <w:pPr>
              <w:jc w:val="center"/>
              <w:ind w:right="248"/>
              <w:spacing w:after="0" w:line="142" w:lineRule="exact"/>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center"/>
              <w:ind w:right="228"/>
              <w:spacing w:after="0" w:line="142" w:lineRule="exact"/>
              <w:rPr>
                <w:sz w:val="20"/>
                <w:szCs w:val="20"/>
                <w:color w:val="auto"/>
              </w:rPr>
            </w:pPr>
            <w:r>
              <w:rPr>
                <w:rFonts w:ascii="Arial" w:cs="Arial" w:eastAsia="Arial" w:hAnsi="Arial"/>
                <w:sz w:val="14"/>
                <w:szCs w:val="14"/>
                <w:b w:val="1"/>
                <w:bCs w:val="1"/>
                <w:color w:val="auto"/>
                <w:w w:val="89"/>
              </w:rPr>
              <w:t>2011</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w w:val="98"/>
              </w:rPr>
              <w:t>Problem Asset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6"/>
              </w:rPr>
              <w:t>Problem Asset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6"/>
              </w:rPr>
              <w:t>Other</w:t>
            </w: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7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8"/>
              </w:rPr>
              <w:t>Disposition Plan</w:t>
            </w:r>
            <w:r>
              <w:rPr>
                <w:rFonts w:ascii="Arial" w:cs="Arial" w:eastAsia="Arial" w:hAnsi="Arial"/>
                <w:sz w:val="12"/>
                <w:szCs w:val="12"/>
                <w:color w:val="auto"/>
                <w:w w:val="98"/>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80" w:type="dxa"/>
            <w:vAlign w:val="bottom"/>
            <w:gridSpan w:val="4"/>
          </w:tcPr>
          <w:p>
            <w:pPr>
              <w:ind w:left="80"/>
              <w:spacing w:after="0"/>
              <w:rPr>
                <w:sz w:val="20"/>
                <w:szCs w:val="20"/>
                <w:color w:val="auto"/>
              </w:rPr>
            </w:pPr>
            <w:r>
              <w:rPr>
                <w:rFonts w:ascii="Arial" w:cs="Arial" w:eastAsia="Arial" w:hAnsi="Arial"/>
                <w:sz w:val="14"/>
                <w:szCs w:val="14"/>
                <w:b w:val="1"/>
                <w:bCs w:val="1"/>
                <w:color w:val="auto"/>
                <w:w w:val="94"/>
              </w:rPr>
              <w:t>Disposition Plan</w:t>
            </w:r>
            <w:r>
              <w:rPr>
                <w:rFonts w:ascii="Arial" w:cs="Arial" w:eastAsia="Arial" w:hAnsi="Arial"/>
                <w:sz w:val="12"/>
                <w:szCs w:val="12"/>
                <w:color w:val="auto"/>
                <w:w w:val="94"/>
              </w:rPr>
              <w:t>(1)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7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Balance beginning of</w:t>
            </w:r>
          </w:p>
        </w:tc>
        <w:tc>
          <w:tcPr>
            <w:tcW w:w="10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period</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133,121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173,934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174,695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155,602</w:t>
            </w:r>
          </w:p>
        </w:tc>
        <w:tc>
          <w:tcPr>
            <w:tcW w:w="0" w:type="dxa"/>
            <w:vAlign w:val="bottom"/>
          </w:tcPr>
          <w:p>
            <w:pPr>
              <w:spacing w:after="0"/>
              <w:rPr>
                <w:sz w:val="1"/>
                <w:szCs w:val="1"/>
                <w:color w:val="auto"/>
              </w:rPr>
            </w:pPr>
          </w:p>
        </w:tc>
      </w:tr>
      <w:tr>
        <w:trPr>
          <w:trHeight w:val="149"/>
        </w:trPr>
        <w:tc>
          <w:tcPr>
            <w:tcW w:w="1780" w:type="dxa"/>
            <w:vAlign w:val="bottom"/>
          </w:tcPr>
          <w:p>
            <w:pPr>
              <w:spacing w:after="0" w:line="149" w:lineRule="exact"/>
              <w:rPr>
                <w:sz w:val="20"/>
                <w:szCs w:val="20"/>
                <w:color w:val="auto"/>
              </w:rPr>
            </w:pPr>
            <w:r>
              <w:rPr>
                <w:rFonts w:ascii="Arial" w:cs="Arial" w:eastAsia="Arial" w:hAnsi="Arial"/>
                <w:sz w:val="14"/>
                <w:szCs w:val="14"/>
                <w:color w:val="auto"/>
              </w:rPr>
              <w:t>Provision for loan losses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11,000</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61,500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201,000</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136,500</w:t>
            </w: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Charge-offs: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80" w:type="dxa"/>
            <w:vAlign w:val="bottom"/>
          </w:tcPr>
          <w:p>
            <w:pPr>
              <w:ind w:left="400"/>
              <w:spacing w:after="0" w:line="130"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tcPr>
          <w:p>
            <w:pPr>
              <w:ind w:left="600"/>
              <w:spacing w:after="0" w:line="149" w:lineRule="exact"/>
              <w:rPr>
                <w:sz w:val="20"/>
                <w:szCs w:val="20"/>
                <w:color w:val="auto"/>
              </w:rPr>
            </w:pPr>
            <w:r>
              <w:rPr>
                <w:rFonts w:ascii="Arial" w:cs="Arial" w:eastAsia="Arial" w:hAnsi="Arial"/>
                <w:sz w:val="14"/>
                <w:szCs w:val="14"/>
                <w:color w:val="auto"/>
              </w:rPr>
              <w:t>(secured by real</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600"/>
              <w:spacing w:after="0"/>
              <w:rPr>
                <w:sz w:val="20"/>
                <w:szCs w:val="20"/>
                <w:color w:val="auto"/>
              </w:rPr>
            </w:pPr>
            <w:r>
              <w:rPr>
                <w:rFonts w:ascii="Arial" w:cs="Arial" w:eastAsia="Arial" w:hAnsi="Arial"/>
                <w:sz w:val="14"/>
                <w:szCs w:val="14"/>
                <w:color w:val="auto"/>
              </w:rPr>
              <w:t>estate)</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(1,713)</w:t>
            </w:r>
          </w:p>
        </w:tc>
        <w:tc>
          <w:tcPr>
            <w:tcW w:w="220" w:type="dxa"/>
            <w:vAlign w:val="bottom"/>
            <w:gridSpan w:val="2"/>
          </w:tcPr>
          <w:p>
            <w:pPr>
              <w:jc w:val="center"/>
              <w:ind w:left="68"/>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5,146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3,433</w:t>
            </w: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9,791</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44,052</w:t>
            </w:r>
          </w:p>
        </w:tc>
        <w:tc>
          <w:tcPr>
            <w:tcW w:w="240" w:type="dxa"/>
            <w:vAlign w:val="bottom"/>
            <w:gridSpan w:val="2"/>
          </w:tcPr>
          <w:p>
            <w:pPr>
              <w:jc w:val="center"/>
              <w:ind w:left="68"/>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8,088</w:t>
            </w: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52,140</w:t>
            </w: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12,727</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Commercial</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construction</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(1,332)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2,312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980</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1,460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47,237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3,458</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50,695</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3,671</w:t>
            </w:r>
          </w:p>
        </w:tc>
        <w:tc>
          <w:tcPr>
            <w:tcW w:w="0" w:type="dxa"/>
            <w:vAlign w:val="bottom"/>
          </w:tcPr>
          <w:p>
            <w:pPr>
              <w:spacing w:after="0"/>
              <w:rPr>
                <w:sz w:val="1"/>
                <w:szCs w:val="1"/>
                <w:color w:val="auto"/>
              </w:rPr>
            </w:pPr>
          </w:p>
        </w:tc>
      </w:tr>
      <w:tr>
        <w:trPr>
          <w:trHeight w:val="130"/>
        </w:trPr>
        <w:tc>
          <w:tcPr>
            <w:tcW w:w="1780" w:type="dxa"/>
            <w:vAlign w:val="bottom"/>
          </w:tcPr>
          <w:p>
            <w:pPr>
              <w:ind w:left="400"/>
              <w:spacing w:after="0" w:line="130"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tcPr>
          <w:p>
            <w:pPr>
              <w:ind w:left="600"/>
              <w:spacing w:after="0" w:line="149" w:lineRule="exact"/>
              <w:rPr>
                <w:sz w:val="20"/>
                <w:szCs w:val="20"/>
                <w:color w:val="auto"/>
              </w:rPr>
            </w:pPr>
            <w:r>
              <w:rPr>
                <w:rFonts w:ascii="Arial" w:cs="Arial" w:eastAsia="Arial" w:hAnsi="Arial"/>
                <w:sz w:val="14"/>
                <w:szCs w:val="14"/>
                <w:color w:val="auto"/>
              </w:rPr>
              <w:t>(commercial and</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600"/>
              <w:spacing w:after="0"/>
              <w:rPr>
                <w:sz w:val="20"/>
                <w:szCs w:val="20"/>
                <w:color w:val="auto"/>
              </w:rPr>
            </w:pPr>
            <w:r>
              <w:rPr>
                <w:rFonts w:ascii="Arial" w:cs="Arial" w:eastAsia="Arial" w:hAnsi="Arial"/>
                <w:sz w:val="14"/>
                <w:szCs w:val="14"/>
                <w:color w:val="auto"/>
              </w:rPr>
              <w:t>industrial)</w:t>
            </w:r>
          </w:p>
        </w:tc>
        <w:tc>
          <w:tcPr>
            <w:tcW w:w="10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720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604</w:t>
            </w: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1,764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3,411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1,555</w:t>
            </w: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4,966</w:t>
            </w: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6,318</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Residential</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construction</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(2,842)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9,611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6,769</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41,781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78,653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20,371</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99,024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85,971</w:t>
            </w:r>
          </w:p>
        </w:tc>
        <w:tc>
          <w:tcPr>
            <w:tcW w:w="0" w:type="dxa"/>
            <w:vAlign w:val="bottom"/>
          </w:tcPr>
          <w:p>
            <w:pPr>
              <w:spacing w:after="0"/>
              <w:rPr>
                <w:sz w:val="1"/>
                <w:szCs w:val="1"/>
                <w:color w:val="auto"/>
              </w:rPr>
            </w:pPr>
          </w:p>
        </w:tc>
      </w:tr>
      <w:tr>
        <w:trPr>
          <w:trHeight w:val="149"/>
        </w:trPr>
        <w:tc>
          <w:tcPr>
            <w:tcW w:w="1780" w:type="dxa"/>
            <w:vAlign w:val="bottom"/>
          </w:tcPr>
          <w:p>
            <w:pPr>
              <w:ind w:left="400"/>
              <w:spacing w:after="0" w:line="149" w:lineRule="exact"/>
              <w:rPr>
                <w:sz w:val="20"/>
                <w:szCs w:val="20"/>
                <w:color w:val="auto"/>
              </w:rPr>
            </w:pPr>
            <w:r>
              <w:rPr>
                <w:rFonts w:ascii="Arial" w:cs="Arial" w:eastAsia="Arial" w:hAnsi="Arial"/>
                <w:sz w:val="14"/>
                <w:szCs w:val="14"/>
                <w:color w:val="auto"/>
              </w:rPr>
              <w:t>Residential mortgage</w:t>
            </w:r>
          </w:p>
        </w:tc>
        <w:tc>
          <w:tcPr>
            <w:tcW w:w="100" w:type="dxa"/>
            <w:vAlign w:val="bottom"/>
          </w:tcPr>
          <w:p>
            <w:pPr>
              <w:spacing w:after="0"/>
              <w:rPr>
                <w:sz w:val="12"/>
                <w:szCs w:val="12"/>
                <w:color w:val="auto"/>
              </w:rPr>
            </w:pPr>
          </w:p>
        </w:tc>
        <w:tc>
          <w:tcPr>
            <w:tcW w:w="1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(1,255)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4,667</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6,752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30,139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11,204</w:t>
            </w:r>
          </w:p>
        </w:tc>
        <w:tc>
          <w:tcPr>
            <w:tcW w:w="10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41,343</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11,392</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Consumer</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installment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894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883</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1,417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1,682</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1,979</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2,546</w:t>
            </w:r>
          </w:p>
        </w:tc>
        <w:tc>
          <w:tcPr>
            <w:tcW w:w="0" w:type="dxa"/>
            <w:vAlign w:val="bottom"/>
          </w:tcPr>
          <w:p>
            <w:pPr>
              <w:spacing w:after="0"/>
              <w:rPr>
                <w:sz w:val="1"/>
                <w:szCs w:val="1"/>
                <w:color w:val="auto"/>
              </w:rPr>
            </w:pPr>
          </w:p>
        </w:tc>
      </w:tr>
      <w:tr>
        <w:trPr>
          <w:trHeight w:val="137"/>
        </w:trPr>
        <w:tc>
          <w:tcPr>
            <w:tcW w:w="1780" w:type="dxa"/>
            <w:vAlign w:val="bottom"/>
          </w:tcPr>
          <w:p>
            <w:pPr>
              <w:ind w:left="600"/>
              <w:spacing w:after="0" w:line="137" w:lineRule="exact"/>
              <w:rPr>
                <w:sz w:val="20"/>
                <w:szCs w:val="20"/>
                <w:color w:val="auto"/>
              </w:rPr>
            </w:pPr>
            <w:r>
              <w:rPr>
                <w:rFonts w:ascii="Arial" w:cs="Arial" w:eastAsia="Arial" w:hAnsi="Arial"/>
                <w:sz w:val="14"/>
                <w:szCs w:val="14"/>
                <w:color w:val="auto"/>
              </w:rPr>
              <w:t>Total loans</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780" w:type="dxa"/>
            <w:vAlign w:val="bottom"/>
          </w:tcPr>
          <w:p>
            <w:pPr>
              <w:ind w:left="800"/>
              <w:spacing w:after="0"/>
              <w:rPr>
                <w:sz w:val="20"/>
                <w:szCs w:val="20"/>
                <w:color w:val="auto"/>
              </w:rPr>
            </w:pPr>
            <w:r>
              <w:rPr>
                <w:rFonts w:ascii="Arial" w:cs="Arial" w:eastAsia="Arial" w:hAnsi="Arial"/>
                <w:sz w:val="14"/>
                <w:szCs w:val="14"/>
                <w:color w:val="auto"/>
              </w:rPr>
              <w:t>charged-off</w:t>
            </w:r>
          </w:p>
        </w:tc>
        <w:tc>
          <w:tcPr>
            <w:tcW w:w="1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(7,269)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24,605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17,336</w:t>
            </w:r>
          </w:p>
        </w:tc>
        <w:tc>
          <w:tcPr>
            <w:tcW w:w="8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62,965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203,789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46,358</w:t>
            </w: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250,147</w:t>
            </w: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122,625</w:t>
            </w: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Recoveries:</w:t>
            </w: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80" w:type="dxa"/>
            <w:vAlign w:val="bottom"/>
          </w:tcPr>
          <w:p>
            <w:pPr>
              <w:ind w:left="400"/>
              <w:spacing w:after="0" w:line="130"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tcPr>
          <w:p>
            <w:pPr>
              <w:ind w:left="600"/>
              <w:spacing w:after="0" w:line="149" w:lineRule="exact"/>
              <w:rPr>
                <w:sz w:val="20"/>
                <w:szCs w:val="20"/>
                <w:color w:val="auto"/>
              </w:rPr>
            </w:pPr>
            <w:r>
              <w:rPr>
                <w:rFonts w:ascii="Arial" w:cs="Arial" w:eastAsia="Arial" w:hAnsi="Arial"/>
                <w:sz w:val="14"/>
                <w:szCs w:val="14"/>
                <w:color w:val="auto"/>
              </w:rPr>
              <w:t>(secured by real</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600"/>
              <w:spacing w:after="0"/>
              <w:rPr>
                <w:sz w:val="20"/>
                <w:szCs w:val="20"/>
                <w:color w:val="auto"/>
              </w:rPr>
            </w:pPr>
            <w:r>
              <w:rPr>
                <w:rFonts w:ascii="Arial" w:cs="Arial" w:eastAsia="Arial" w:hAnsi="Arial"/>
                <w:sz w:val="14"/>
                <w:szCs w:val="14"/>
                <w:color w:val="auto"/>
              </w:rPr>
              <w:t>estate)</w:t>
            </w:r>
          </w:p>
        </w:tc>
        <w:tc>
          <w:tcPr>
            <w:tcW w:w="1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174</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274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274</w:t>
            </w: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Commercial</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construction</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0"/>
        </w:trPr>
        <w:tc>
          <w:tcPr>
            <w:tcW w:w="1780" w:type="dxa"/>
            <w:vAlign w:val="bottom"/>
          </w:tcPr>
          <w:p>
            <w:pPr>
              <w:ind w:left="400"/>
              <w:spacing w:after="0" w:line="130"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tcPr>
          <w:p>
            <w:pPr>
              <w:ind w:left="600"/>
              <w:spacing w:after="0" w:line="149" w:lineRule="exact"/>
              <w:rPr>
                <w:sz w:val="20"/>
                <w:szCs w:val="20"/>
                <w:color w:val="auto"/>
              </w:rPr>
            </w:pPr>
            <w:r>
              <w:rPr>
                <w:rFonts w:ascii="Arial" w:cs="Arial" w:eastAsia="Arial" w:hAnsi="Arial"/>
                <w:sz w:val="14"/>
                <w:szCs w:val="14"/>
                <w:color w:val="auto"/>
              </w:rPr>
              <w:t>(commercial and</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600"/>
              <w:spacing w:after="0"/>
              <w:rPr>
                <w:sz w:val="20"/>
                <w:szCs w:val="20"/>
                <w:color w:val="auto"/>
              </w:rPr>
            </w:pPr>
            <w:r>
              <w:rPr>
                <w:rFonts w:ascii="Arial" w:cs="Arial" w:eastAsia="Arial" w:hAnsi="Arial"/>
                <w:sz w:val="14"/>
                <w:szCs w:val="14"/>
                <w:color w:val="auto"/>
              </w:rPr>
              <w:t>industrial)</w:t>
            </w:r>
          </w:p>
        </w:tc>
        <w:tc>
          <w:tcPr>
            <w:tcW w:w="1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897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403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403</w:t>
            </w: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1,341</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Residential</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construction</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140</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257</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1,356</w:t>
            </w:r>
          </w:p>
        </w:tc>
        <w:tc>
          <w:tcPr>
            <w:tcW w:w="0" w:type="dxa"/>
            <w:vAlign w:val="bottom"/>
          </w:tcPr>
          <w:p>
            <w:pPr>
              <w:spacing w:after="0"/>
              <w:rPr>
                <w:sz w:val="1"/>
                <w:szCs w:val="1"/>
                <w:color w:val="auto"/>
              </w:rPr>
            </w:pPr>
          </w:p>
        </w:tc>
      </w:tr>
      <w:tr>
        <w:trPr>
          <w:trHeight w:val="149"/>
        </w:trPr>
        <w:tc>
          <w:tcPr>
            <w:tcW w:w="1780" w:type="dxa"/>
            <w:vAlign w:val="bottom"/>
          </w:tcPr>
          <w:p>
            <w:pPr>
              <w:ind w:left="400"/>
              <w:spacing w:after="0" w:line="149" w:lineRule="exact"/>
              <w:rPr>
                <w:sz w:val="20"/>
                <w:szCs w:val="20"/>
                <w:color w:val="auto"/>
              </w:rPr>
            </w:pPr>
            <w:r>
              <w:rPr>
                <w:rFonts w:ascii="Arial" w:cs="Arial" w:eastAsia="Arial" w:hAnsi="Arial"/>
                <w:sz w:val="14"/>
                <w:szCs w:val="14"/>
                <w:color w:val="auto"/>
              </w:rPr>
              <w:t>Residential mortgage</w:t>
            </w: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78</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371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371</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Consumer</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installment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269</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674</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163"/>
        </w:trPr>
        <w:tc>
          <w:tcPr>
            <w:tcW w:w="1780" w:type="dxa"/>
            <w:vAlign w:val="bottom"/>
          </w:tcPr>
          <w:p>
            <w:pPr>
              <w:ind w:left="600"/>
              <w:spacing w:after="0" w:line="155" w:lineRule="exact"/>
              <w:rPr>
                <w:sz w:val="20"/>
                <w:szCs w:val="20"/>
                <w:color w:val="auto"/>
              </w:rPr>
            </w:pPr>
            <w:r>
              <w:rPr>
                <w:rFonts w:ascii="Arial" w:cs="Arial" w:eastAsia="Arial" w:hAnsi="Arial"/>
                <w:sz w:val="14"/>
                <w:szCs w:val="14"/>
                <w:color w:val="auto"/>
              </w:rPr>
              <w:t>Total recoveries</w:t>
            </w:r>
          </w:p>
        </w:tc>
        <w:tc>
          <w:tcPr>
            <w:tcW w:w="1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853</w:t>
            </w: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1,642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2,090</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2,090</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Net charge-offs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(7,269)</w:t>
            </w:r>
          </w:p>
        </w:tc>
        <w:tc>
          <w:tcPr>
            <w:tcW w:w="22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23,752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16,483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61,323</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203,789</w:t>
            </w:r>
          </w:p>
        </w:tc>
        <w:tc>
          <w:tcPr>
            <w:tcW w:w="24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44,268</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248,057</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117,991</w:t>
            </w:r>
          </w:p>
        </w:tc>
        <w:tc>
          <w:tcPr>
            <w:tcW w:w="0" w:type="dxa"/>
            <w:vAlign w:val="bottom"/>
          </w:tcPr>
          <w:p>
            <w:pPr>
              <w:spacing w:after="0"/>
              <w:rPr>
                <w:sz w:val="1"/>
                <w:szCs w:val="1"/>
                <w:color w:val="auto"/>
              </w:rPr>
            </w:pPr>
          </w:p>
        </w:tc>
      </w:tr>
      <w:tr>
        <w:trPr>
          <w:trHeight w:val="20"/>
        </w:trPr>
        <w:tc>
          <w:tcPr>
            <w:tcW w:w="1780" w:type="dxa"/>
            <w:vAlign w:val="bottom"/>
            <w:vMerge w:val="restart"/>
          </w:tcPr>
          <w:p>
            <w:pPr>
              <w:ind w:left="600"/>
              <w:spacing w:after="0"/>
              <w:rPr>
                <w:sz w:val="20"/>
                <w:szCs w:val="20"/>
                <w:color w:val="auto"/>
              </w:rPr>
            </w:pPr>
            <w:r>
              <w:rPr>
                <w:rFonts w:ascii="Arial" w:cs="Arial" w:eastAsia="Arial" w:hAnsi="Arial"/>
                <w:sz w:val="14"/>
                <w:szCs w:val="14"/>
                <w:color w:val="auto"/>
              </w:rPr>
              <w:t>Balance end of</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800"/>
              <w:spacing w:after="0"/>
              <w:rPr>
                <w:sz w:val="20"/>
                <w:szCs w:val="20"/>
                <w:color w:val="auto"/>
              </w:rPr>
            </w:pPr>
            <w:r>
              <w:rPr>
                <w:rFonts w:ascii="Arial" w:cs="Arial" w:eastAsia="Arial" w:hAnsi="Arial"/>
                <w:sz w:val="14"/>
                <w:szCs w:val="14"/>
                <w:color w:val="auto"/>
              </w:rPr>
              <w:t>period</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127,638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174,111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127,638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174,111</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loans: *</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ind w:left="200"/>
              <w:spacing w:after="0" w:line="149" w:lineRule="exact"/>
              <w:rPr>
                <w:sz w:val="20"/>
                <w:szCs w:val="20"/>
                <w:color w:val="auto"/>
              </w:rPr>
            </w:pPr>
            <w:r>
              <w:rPr>
                <w:rFonts w:ascii="Arial" w:cs="Arial" w:eastAsia="Arial" w:hAnsi="Arial"/>
                <w:sz w:val="14"/>
                <w:szCs w:val="14"/>
                <w:color w:val="auto"/>
              </w:rPr>
              <w:t>At period-end</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4,163,447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4,873,030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4,163,447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4,873,030</w:t>
            </w: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Average</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4,196,375</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4,934,224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4,364,401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5,012,415</w:t>
            </w:r>
          </w:p>
        </w:tc>
        <w:tc>
          <w:tcPr>
            <w:tcW w:w="0" w:type="dxa"/>
            <w:vAlign w:val="bottom"/>
          </w:tcPr>
          <w:p>
            <w:pPr>
              <w:spacing w:after="0"/>
              <w:rPr>
                <w:sz w:val="1"/>
                <w:szCs w:val="1"/>
                <w:color w:val="auto"/>
              </w:rPr>
            </w:pPr>
          </w:p>
        </w:tc>
      </w:tr>
      <w:tr>
        <w:trPr>
          <w:trHeight w:val="278"/>
        </w:trPr>
        <w:tc>
          <w:tcPr>
            <w:tcW w:w="1780" w:type="dxa"/>
            <w:vAlign w:val="bottom"/>
          </w:tcPr>
          <w:p>
            <w:pPr>
              <w:spacing w:after="0"/>
              <w:rPr>
                <w:sz w:val="20"/>
                <w:szCs w:val="20"/>
                <w:color w:val="auto"/>
              </w:rPr>
            </w:pPr>
            <w:r>
              <w:rPr>
                <w:rFonts w:ascii="Arial" w:cs="Arial" w:eastAsia="Arial" w:hAnsi="Arial"/>
                <w:sz w:val="14"/>
                <w:szCs w:val="14"/>
                <w:color w:val="auto"/>
              </w:rPr>
              <w:t>Allowance as a percentage</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780" w:type="dxa"/>
            <w:vAlign w:val="bottom"/>
          </w:tcPr>
          <w:p>
            <w:pPr>
              <w:ind w:left="200"/>
              <w:spacing w:after="0"/>
              <w:rPr>
                <w:sz w:val="20"/>
                <w:szCs w:val="20"/>
                <w:color w:val="auto"/>
              </w:rPr>
            </w:pPr>
            <w:r>
              <w:rPr>
                <w:rFonts w:ascii="Arial" w:cs="Arial" w:eastAsia="Arial" w:hAnsi="Arial"/>
                <w:sz w:val="14"/>
                <w:szCs w:val="14"/>
                <w:color w:val="auto"/>
              </w:rPr>
              <w:t>of period-end loans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3.07%</w:t>
            </w:r>
          </w:p>
        </w:tc>
        <w:tc>
          <w:tcPr>
            <w:tcW w:w="8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3.07</w:t>
            </w:r>
          </w:p>
        </w:tc>
        <w:tc>
          <w:tcPr>
            <w:tcW w:w="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34"/>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As a percentage of average</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loans:</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ind w:left="200"/>
              <w:spacing w:after="0" w:line="149" w:lineRule="exact"/>
              <w:rPr>
                <w:sz w:val="20"/>
                <w:szCs w:val="20"/>
                <w:color w:val="auto"/>
              </w:rPr>
            </w:pPr>
            <w:r>
              <w:rPr>
                <w:rFonts w:ascii="Arial" w:cs="Arial" w:eastAsia="Arial" w:hAnsi="Arial"/>
                <w:sz w:val="14"/>
                <w:szCs w:val="14"/>
                <w:color w:val="auto"/>
              </w:rPr>
              <w:t>Net charge-offs</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1.58</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11.46</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Provision for loan losses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9.29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278"/>
        </w:trPr>
        <w:tc>
          <w:tcPr>
            <w:tcW w:w="1780" w:type="dxa"/>
            <w:vAlign w:val="bottom"/>
          </w:tcPr>
          <w:p>
            <w:pPr>
              <w:spacing w:after="0"/>
              <w:rPr>
                <w:sz w:val="20"/>
                <w:szCs w:val="20"/>
                <w:color w:val="auto"/>
              </w:rPr>
            </w:pPr>
            <w:r>
              <w:rPr>
                <w:rFonts w:ascii="Arial" w:cs="Arial" w:eastAsia="Arial" w:hAnsi="Arial"/>
                <w:sz w:val="14"/>
                <w:szCs w:val="14"/>
                <w:color w:val="auto"/>
              </w:rPr>
              <w:t>Allowance as a percentage</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200"/>
              <w:spacing w:after="0"/>
              <w:rPr>
                <w:sz w:val="20"/>
                <w:szCs w:val="20"/>
                <w:color w:val="auto"/>
              </w:rPr>
            </w:pPr>
            <w:r>
              <w:rPr>
                <w:rFonts w:ascii="Arial" w:cs="Arial" w:eastAsia="Arial" w:hAnsi="Arial"/>
                <w:sz w:val="14"/>
                <w:szCs w:val="14"/>
                <w:color w:val="auto"/>
              </w:rPr>
              <w:t>of non-performing loans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As reported</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180</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30"/>
        </w:trPr>
        <w:tc>
          <w:tcPr>
            <w:tcW w:w="1780" w:type="dxa"/>
            <w:vAlign w:val="bottom"/>
          </w:tcPr>
          <w:p>
            <w:pPr>
              <w:ind w:left="200"/>
              <w:spacing w:after="0" w:line="130" w:lineRule="exact"/>
              <w:rPr>
                <w:sz w:val="20"/>
                <w:szCs w:val="20"/>
                <w:color w:val="auto"/>
              </w:rPr>
            </w:pPr>
            <w:r>
              <w:rPr>
                <w:rFonts w:ascii="Arial" w:cs="Arial" w:eastAsia="Arial" w:hAnsi="Arial"/>
                <w:sz w:val="14"/>
                <w:szCs w:val="14"/>
                <w:color w:val="auto"/>
              </w:rPr>
              <w:t>Excluding impaired</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tcPr>
          <w:p>
            <w:pPr>
              <w:ind w:left="400"/>
              <w:spacing w:after="0" w:line="149" w:lineRule="exact"/>
              <w:rPr>
                <w:sz w:val="20"/>
                <w:szCs w:val="20"/>
                <w:color w:val="auto"/>
              </w:rPr>
            </w:pPr>
            <w:r>
              <w:rPr>
                <w:rFonts w:ascii="Arial" w:cs="Arial" w:eastAsia="Arial" w:hAnsi="Arial"/>
                <w:sz w:val="14"/>
                <w:szCs w:val="14"/>
                <w:color w:val="auto"/>
              </w:rPr>
              <w:t>loans with no</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80" w:type="dxa"/>
            <w:vAlign w:val="bottom"/>
          </w:tcPr>
          <w:p>
            <w:pPr>
              <w:ind w:left="400"/>
              <w:spacing w:after="0"/>
              <w:rPr>
                <w:sz w:val="20"/>
                <w:szCs w:val="20"/>
                <w:color w:val="auto"/>
              </w:rPr>
            </w:pPr>
            <w:r>
              <w:rPr>
                <w:rFonts w:ascii="Arial" w:cs="Arial" w:eastAsia="Arial" w:hAnsi="Arial"/>
                <w:sz w:val="14"/>
                <w:szCs w:val="14"/>
                <w:color w:val="auto"/>
              </w:rPr>
              <w:t>allocated reserve</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loans covered by loss sharing agreements with the FDIC</w:t>
      </w:r>
    </w:p>
    <w:p>
      <w:pPr>
        <w:spacing w:after="0" w:line="77" w:lineRule="exact"/>
        <w:rPr>
          <w:sz w:val="20"/>
          <w:szCs w:val="20"/>
          <w:color w:val="auto"/>
        </w:rPr>
      </w:pPr>
    </w:p>
    <w:p>
      <w:pPr>
        <w:jc w:val="both"/>
        <w:ind w:left="720" w:right="159" w:hanging="388"/>
        <w:spacing w:after="0" w:line="271"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During the first quarter of 2011, United’s Problem Asset Dispostion Plan resulted in charge-offs totaling $186 million related to the Bulk Loan Sale that closed on April 18, 2011. The charge-offs were estimated based on indicative bids from prospective purchasers. Also in the first quarter related to United’s Problem Asset Disposition Plan was an additional $9.5 million in charge-offs related to other bulk loan sales that were completed in the first quarter of 2011 and $15.6 million in charge-offs on foreclosed properties related to the Problem Asset Disposition Plan. The loans sold in the Bulk Loan Sale that closed April 18, 2011 were reported in the loans held for sale category at March 31, 2011. Actual losses upon closing of the Bulk Loan Sale were $179 resulting in a $7.269 million reduction in charge-offs in the second quarter. Total losses related to the Problem Asset Disposition Plan for the first six months of 2011 were $203.8 million.</w:t>
      </w:r>
    </w:p>
    <w:p>
      <w:pPr>
        <w:spacing w:after="0" w:line="138" w:lineRule="exact"/>
        <w:rPr>
          <w:sz w:val="20"/>
          <w:szCs w:val="20"/>
          <w:color w:val="auto"/>
        </w:rPr>
      </w:pPr>
    </w:p>
    <w:p>
      <w:pPr>
        <w:jc w:val="both"/>
        <w:ind w:left="340" w:right="159"/>
        <w:spacing w:after="0" w:line="291" w:lineRule="auto"/>
        <w:rPr>
          <w:sz w:val="20"/>
          <w:szCs w:val="20"/>
          <w:color w:val="auto"/>
        </w:rPr>
      </w:pPr>
      <w:r>
        <w:rPr>
          <w:rFonts w:ascii="Arial" w:cs="Arial" w:eastAsia="Arial" w:hAnsi="Arial"/>
          <w:sz w:val="16"/>
          <w:szCs w:val="16"/>
          <w:color w:val="auto"/>
        </w:rPr>
        <w:t>The provision for loan losses charged to earnings was based upon management’s judgment of the amount necessary to maintain the allowance at a level appropriate to absorb losses inherent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decreases in the provision and the stabilization of the level of the allowance for loan losses compared to the previous periods reflects stabilizing trends in substandard loans, leading to an expectation that charge-off levels will continue to decline.</w:t>
      </w:r>
    </w:p>
    <w:p>
      <w:pPr>
        <w:spacing w:after="0" w:line="127" w:lineRule="exact"/>
        <w:rPr>
          <w:sz w:val="20"/>
          <w:szCs w:val="20"/>
          <w:color w:val="auto"/>
        </w:rPr>
      </w:pPr>
    </w:p>
    <w:p>
      <w:pPr>
        <w:jc w:val="both"/>
        <w:ind w:left="340" w:right="179"/>
        <w:spacing w:after="0" w:line="259" w:lineRule="auto"/>
        <w:rPr>
          <w:sz w:val="20"/>
          <w:szCs w:val="20"/>
          <w:color w:val="auto"/>
        </w:rPr>
      </w:pPr>
      <w:r>
        <w:rPr>
          <w:rFonts w:ascii="Arial" w:cs="Arial" w:eastAsia="Arial" w:hAnsi="Arial"/>
          <w:sz w:val="18"/>
          <w:szCs w:val="18"/>
          <w:color w:val="auto"/>
        </w:rPr>
        <w:t>At June 30, 2011, the allowance for loan losses was $128 million, or 3.07% of loans, compared with $175 million, or 3.79% of loans, at December 31, 2010 and $174 million, or 3.57% of loans, at June 30, 2010. The decrease in the allowance for loan losses is consistent with the decrease in classified loans resulting from the execution of the Problem Asset Disposition Plan, including the Bulk Loan Sale which reduced the amount of loss remaining in the loan portfolio.</w:t>
      </w:r>
    </w:p>
    <w:p>
      <w:pPr>
        <w:sectPr>
          <w:pgSz w:w="11900" w:h="16838" w:orient="portrait"/>
          <w:cols w:equalWidth="0" w:num="1">
            <w:col w:w="10219"/>
          </w:cols>
          <w:pgMar w:left="240" w:top="419" w:right="1440" w:bottom="142" w:gutter="0" w:footer="0" w:header="0"/>
        </w:sectPr>
      </w:pPr>
    </w:p>
    <w:bookmarkStart w:id="53" w:name="page54"/>
    <w:bookmarkEnd w:id="53"/>
    <w:p>
      <w:pPr>
        <w:jc w:val="both"/>
        <w:ind w:right="159"/>
        <w:spacing w:after="0" w:line="272" w:lineRule="auto"/>
        <w:rPr>
          <w:sz w:val="20"/>
          <w:szCs w:val="20"/>
          <w:color w:val="auto"/>
        </w:rPr>
      </w:pPr>
      <w:r>
        <w:rPr>
          <w:rFonts w:ascii="Arial" w:cs="Arial" w:eastAsia="Arial" w:hAnsi="Arial"/>
          <w:sz w:val="17"/>
          <w:szCs w:val="17"/>
          <w:color w:val="auto"/>
        </w:rPr>
        <w:t>Management believes that the allowance for loan losses at June 30, 2011 reflects the losses inherent in the loan portfolio. This assessment involves uncertainty and judgment; therefore, the adequacy of the allowance for loan losses cannot be determined with precision and may be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provision for loan losses in future periods if, in their opinion, the results of their review warrant such additions. See the “Critical Accounting Policies” section in United’s Annual Report on Form 10-K for additional information on the allowance for loan losses.</w:t>
      </w: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198"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The table below summarizes nonperforming assets, excluding SCB’s assets covered by the loss-sharing agreement with the FDIC. Those assets have been excluded from nonperforming assets, as the loss-sharing agreement with the FDIC and purchase price adjustments to reflect credit losses effectively eliminate the likelihood of recognizing any losses on the covered assets.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10 — Nonperforming Assets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640" w:type="dxa"/>
            <w:vAlign w:val="bottom"/>
            <w:gridSpan w:val="4"/>
          </w:tcPr>
          <w:p>
            <w:pPr>
              <w:ind w:left="14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June 30,</w:t>
            </w:r>
          </w:p>
        </w:tc>
      </w:tr>
      <w:tr>
        <w:trPr>
          <w:trHeight w:val="234"/>
        </w:trPr>
        <w:tc>
          <w:tcPr>
            <w:tcW w:w="5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71,065</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179,094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224,335</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Foreclosed properties (OREO)</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47,584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142,208</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123,910</w:t>
            </w:r>
          </w:p>
        </w:tc>
      </w:tr>
      <w:tr>
        <w:trPr>
          <w:trHeight w:val="27"/>
        </w:trPr>
        <w:tc>
          <w:tcPr>
            <w:tcW w:w="5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nonperforming assets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118,649</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321,302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348,245</w:t>
            </w:r>
          </w:p>
        </w:tc>
      </w:tr>
      <w:tr>
        <w:trPr>
          <w:trHeight w:val="20"/>
        </w:trPr>
        <w:tc>
          <w:tcPr>
            <w:tcW w:w="5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5120" w:type="dxa"/>
            <w:vAlign w:val="bottom"/>
          </w:tcPr>
          <w:p>
            <w:pPr>
              <w:spacing w:after="0"/>
              <w:rPr>
                <w:sz w:val="20"/>
                <w:szCs w:val="20"/>
                <w:color w:val="auto"/>
              </w:rPr>
            </w:pPr>
            <w:r>
              <w:rPr>
                <w:rFonts w:ascii="Arial" w:cs="Arial" w:eastAsia="Arial" w:hAnsi="Arial"/>
                <w:sz w:val="18"/>
                <w:szCs w:val="18"/>
                <w:color w:val="auto"/>
              </w:rPr>
              <w:t>Nonperforming loans as a percentage of total loans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4.60%</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9"/>
              </w:rPr>
              <w:t>Nonperforming assets as a percentage of total loans and OREO</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6.97</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4.55</w:t>
            </w:r>
          </w:p>
        </w:tc>
      </w:tr>
    </w:tbl>
    <w:p>
      <w:pPr>
        <w:spacing w:after="0" w:line="25" w:lineRule="exact"/>
        <w:rPr>
          <w:sz w:val="20"/>
          <w:szCs w:val="20"/>
          <w:color w:val="auto"/>
        </w:rPr>
      </w:pPr>
    </w:p>
    <w:p>
      <w:pPr>
        <w:ind w:left="720" w:hanging="388"/>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were no loans 90 days or more past due that were still accruing at period end.</w:t>
      </w:r>
    </w:p>
    <w:p>
      <w:pPr>
        <w:spacing w:after="0" w:line="185"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At June 30, 2011, nonperforming loans were $71.1 million, compared to $179 million at December 31, 2010 and $224 million at June 30, 2010. The ratio of non-performing loans to total loans decreased from December 31, 2010 and June 30, 2010 due to the Bulk Loan Sale in April 2011, which included performing and nonperforming substandard loans. Nonperforming assets, which include nonperforming loans and foreclosed real estate, totaled $119 million at June 30, 2011, compared with $321 million at December 31, 2010 and $348 million at June 30, 2010. United sold $28.9 million and $73.5 million, respectively, of foreclosed properties during the second quarter and first six months of 2011. Both of these events helped lower the balance of foreclosed properties by 62% compared to June 30, 2010.</w:t>
      </w:r>
    </w:p>
    <w:p>
      <w:pPr>
        <w:spacing w:after="0" w:line="162" w:lineRule="exact"/>
        <w:rPr>
          <w:sz w:val="20"/>
          <w:szCs w:val="20"/>
          <w:color w:val="auto"/>
        </w:rPr>
      </w:pPr>
    </w:p>
    <w:p>
      <w:pPr>
        <w:jc w:val="both"/>
        <w:ind w:left="340" w:right="179"/>
        <w:spacing w:after="0" w:line="302" w:lineRule="auto"/>
        <w:rPr>
          <w:sz w:val="20"/>
          <w:szCs w:val="20"/>
          <w:color w:val="auto"/>
        </w:rPr>
      </w:pPr>
      <w:r>
        <w:rPr>
          <w:rFonts w:ascii="Arial" w:cs="Arial" w:eastAsia="Arial" w:hAnsi="Arial"/>
          <w:sz w:val="16"/>
          <w:szCs w:val="16"/>
          <w:color w:val="auto"/>
        </w:rPr>
        <w:t>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200" w:lineRule="exact"/>
        <w:rPr>
          <w:sz w:val="20"/>
          <w:szCs w:val="20"/>
          <w:color w:val="auto"/>
        </w:rPr>
      </w:pPr>
    </w:p>
    <w:p>
      <w:pPr>
        <w:spacing w:after="0" w:line="30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The following table summarizes non-performing assets by category and market. As with Tables 7, 8 and 10, assets covered by the loss-sharing agreement with the FDIC, related to the acquisition of SCB, are excluded from this table.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Table 11 — Nonperforming Assets by Quarter </w:t>
      </w:r>
      <w:r>
        <w:rPr>
          <w:rFonts w:ascii="Arial" w:cs="Arial" w:eastAsia="Arial" w:hAnsi="Arial"/>
          <w:sz w:val="15"/>
          <w:szCs w:val="15"/>
          <w:color w:val="auto"/>
        </w:rPr>
        <w:t>(1)</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87"/>
              </w:rPr>
              <w:t>June 30, 2011</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December 31, 2010</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87"/>
              </w:rPr>
              <w:t>June 30, 2010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Nonaccrual</w:t>
            </w:r>
          </w:p>
        </w:tc>
        <w:tc>
          <w:tcPr>
            <w:tcW w:w="16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Foreclosed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Nonaccrual</w:t>
            </w: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Foreclosed</w:t>
            </w:r>
          </w:p>
        </w:tc>
        <w:tc>
          <w:tcPr>
            <w:tcW w:w="80" w:type="dxa"/>
            <w:vAlign w:val="bottom"/>
          </w:tcPr>
          <w:p>
            <w:pPr>
              <w:spacing w:after="0"/>
              <w:rPr>
                <w:sz w:val="10"/>
                <w:szCs w:val="10"/>
                <w:color w:val="auto"/>
              </w:rPr>
            </w:pPr>
          </w:p>
        </w:tc>
        <w:tc>
          <w:tcPr>
            <w:tcW w:w="48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Nonaccrual</w:t>
            </w:r>
          </w:p>
        </w:tc>
        <w:tc>
          <w:tcPr>
            <w:tcW w:w="160" w:type="dxa"/>
            <w:vAlign w:val="bottom"/>
          </w:tcPr>
          <w:p>
            <w:pPr>
              <w:spacing w:after="0"/>
              <w:rPr>
                <w:sz w:val="10"/>
                <w:szCs w:val="10"/>
                <w:color w:val="auto"/>
              </w:rPr>
            </w:pP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Foreclosed</w:t>
            </w:r>
          </w:p>
        </w:tc>
        <w:tc>
          <w:tcPr>
            <w:tcW w:w="100" w:type="dxa"/>
            <w:vAlign w:val="bottom"/>
          </w:tcPr>
          <w:p>
            <w:pPr>
              <w:spacing w:after="0"/>
              <w:rPr>
                <w:sz w:val="10"/>
                <w:szCs w:val="10"/>
                <w:color w:val="auto"/>
              </w:rPr>
            </w:pPr>
          </w:p>
        </w:tc>
        <w:tc>
          <w:tcPr>
            <w:tcW w:w="480" w:type="dxa"/>
            <w:vAlign w:val="bottom"/>
          </w:tcPr>
          <w:p>
            <w:pPr>
              <w:jc w:val="right"/>
              <w:ind w:right="68"/>
              <w:spacing w:after="0" w:line="119"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Properties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NPAs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Loans</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8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NPAs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Loans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Properties</w:t>
            </w:r>
          </w:p>
        </w:tc>
        <w:tc>
          <w:tcPr>
            <w:tcW w:w="1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NPAs</w:t>
            </w:r>
          </w:p>
        </w:tc>
        <w:tc>
          <w:tcPr>
            <w:tcW w:w="0" w:type="dxa"/>
            <w:vAlign w:val="bottom"/>
          </w:tcPr>
          <w:p>
            <w:pPr>
              <w:spacing w:after="0"/>
              <w:rPr>
                <w:sz w:val="1"/>
                <w:szCs w:val="1"/>
                <w:color w:val="auto"/>
              </w:rPr>
            </w:pPr>
          </w:p>
        </w:tc>
      </w:tr>
      <w:tr>
        <w:trPr>
          <w:trHeight w:val="142"/>
        </w:trPr>
        <w:tc>
          <w:tcPr>
            <w:tcW w:w="15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BY CATEGORY</w:t>
            </w: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Commercial (sec. by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200"/>
              <w:spacing w:after="0"/>
              <w:rPr>
                <w:sz w:val="20"/>
                <w:szCs w:val="20"/>
                <w:color w:val="auto"/>
              </w:rPr>
            </w:pPr>
            <w:r>
              <w:rPr>
                <w:rFonts w:ascii="Arial" w:cs="Arial" w:eastAsia="Arial" w:hAnsi="Arial"/>
                <w:sz w:val="14"/>
                <w:szCs w:val="14"/>
                <w:color w:val="auto"/>
              </w:rPr>
              <w:t>RE)</w:t>
            </w:r>
          </w:p>
        </w:tc>
        <w:tc>
          <w:tcPr>
            <w:tcW w:w="100" w:type="dxa"/>
            <w:vAlign w:val="bottom"/>
            <w:gridSpan w:val="2"/>
          </w:tcPr>
          <w:p>
            <w:pPr>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17,764</w:t>
            </w:r>
          </w:p>
        </w:tc>
        <w:tc>
          <w:tcPr>
            <w:tcW w:w="100" w:type="dxa"/>
            <w:vAlign w:val="bottom"/>
          </w:tcPr>
          <w:p>
            <w:pPr>
              <w:spacing w:after="0"/>
              <w:rPr>
                <w:sz w:val="14"/>
                <w:szCs w:val="14"/>
                <w:color w:val="auto"/>
              </w:rPr>
            </w:pPr>
          </w:p>
        </w:tc>
        <w:tc>
          <w:tcPr>
            <w:tcW w:w="3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6,796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24,560</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44,927</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23,659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68,586</w:t>
            </w:r>
          </w:p>
        </w:tc>
        <w:tc>
          <w:tcPr>
            <w:tcW w:w="2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56,013</w:t>
            </w:r>
          </w:p>
        </w:tc>
        <w:tc>
          <w:tcPr>
            <w:tcW w:w="2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13,297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69,310</w:t>
            </w: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Commercial</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construction</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2,782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6,764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9,546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21,374</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17,808</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39,182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17,872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11,339</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29,211</w:t>
            </w:r>
          </w:p>
        </w:tc>
        <w:tc>
          <w:tcPr>
            <w:tcW w:w="0" w:type="dxa"/>
            <w:vAlign w:val="bottom"/>
          </w:tcPr>
          <w:p>
            <w:pPr>
              <w:spacing w:after="0"/>
              <w:rPr>
                <w:sz w:val="1"/>
                <w:szCs w:val="1"/>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Commercial &amp;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200"/>
              <w:spacing w:after="0"/>
              <w:rPr>
                <w:sz w:val="20"/>
                <w:szCs w:val="20"/>
                <w:color w:val="auto"/>
              </w:rPr>
            </w:pPr>
            <w:r>
              <w:rPr>
                <w:rFonts w:ascii="Arial" w:cs="Arial" w:eastAsia="Arial" w:hAnsi="Arial"/>
                <w:sz w:val="14"/>
                <w:szCs w:val="14"/>
                <w:color w:val="auto"/>
              </w:rPr>
              <w:t>industrial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1,998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1,998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5,611</w:t>
            </w:r>
          </w:p>
        </w:tc>
        <w:tc>
          <w:tcPr>
            <w:tcW w:w="14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5,611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7,245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7,245</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commercial</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22,544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13,560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36,104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71,912</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41,467</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113,379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81,130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24,636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105,766</w:t>
            </w: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Residential construction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22,643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24,968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47,611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54,505</w:t>
            </w:r>
          </w:p>
        </w:tc>
        <w:tc>
          <w:tcPr>
            <w:tcW w:w="1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78,231</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0"/>
              </w:rPr>
              <w:t>132,736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88,375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74,444</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162,819</w:t>
            </w: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24,809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9,056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33,865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51,083</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22,510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73,593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53,175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24,830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78,005</w:t>
            </w: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Consumer / installment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1,069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1,069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1,594</w:t>
            </w:r>
          </w:p>
        </w:tc>
        <w:tc>
          <w:tcPr>
            <w:tcW w:w="1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1,594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1,655</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5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Total NPAs</w:t>
            </w: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71,065</w:t>
            </w: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47,584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0"/>
              </w:rPr>
              <w:t>118,649</w:t>
            </w:r>
          </w:p>
        </w:tc>
        <w:tc>
          <w:tcPr>
            <w:tcW w:w="2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179,094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8"/>
              </w:rPr>
              <w:t>142,208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0"/>
              </w:rPr>
              <w:t>321,302</w:t>
            </w:r>
          </w:p>
        </w:tc>
        <w:tc>
          <w:tcPr>
            <w:tcW w:w="2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224,335</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8"/>
              </w:rPr>
              <w:t>123,910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348,245</w:t>
            </w:r>
          </w:p>
        </w:tc>
        <w:tc>
          <w:tcPr>
            <w:tcW w:w="0" w:type="dxa"/>
            <w:vAlign w:val="bottom"/>
          </w:tcPr>
          <w:p>
            <w:pPr>
              <w:spacing w:after="0"/>
              <w:rPr>
                <w:sz w:val="1"/>
                <w:szCs w:val="1"/>
                <w:color w:val="auto"/>
              </w:rPr>
            </w:pPr>
          </w:p>
        </w:tc>
      </w:tr>
      <w:tr>
        <w:trPr>
          <w:trHeight w:val="20"/>
        </w:trPr>
        <w:tc>
          <w:tcPr>
            <w:tcW w:w="1580" w:type="dxa"/>
            <w:vAlign w:val="bottom"/>
            <w:vMerge w:val="restart"/>
          </w:tcPr>
          <w:p>
            <w:pPr>
              <w:ind w:left="200"/>
              <w:spacing w:after="0" w:line="160" w:lineRule="exact"/>
              <w:rPr>
                <w:sz w:val="20"/>
                <w:szCs w:val="20"/>
                <w:color w:val="auto"/>
              </w:rPr>
            </w:pPr>
            <w:r>
              <w:rPr>
                <w:rFonts w:ascii="Arial" w:cs="Arial" w:eastAsia="Arial" w:hAnsi="Arial"/>
                <w:sz w:val="14"/>
                <w:szCs w:val="14"/>
                <w:b w:val="1"/>
                <w:bCs w:val="1"/>
                <w:color w:val="auto"/>
              </w:rPr>
              <w:t>Balance as a % of</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5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Unpaid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580" w:type="dxa"/>
            <w:vAlign w:val="bottom"/>
          </w:tcPr>
          <w:p>
            <w:pPr>
              <w:ind w:left="400"/>
              <w:spacing w:after="0"/>
              <w:rPr>
                <w:sz w:val="20"/>
                <w:szCs w:val="20"/>
                <w:color w:val="auto"/>
              </w:rPr>
            </w:pPr>
            <w:r>
              <w:rPr>
                <w:rFonts w:ascii="Arial" w:cs="Arial" w:eastAsia="Arial" w:hAnsi="Arial"/>
                <w:sz w:val="14"/>
                <w:szCs w:val="14"/>
                <w:b w:val="1"/>
                <w:bCs w:val="1"/>
                <w:color w:val="auto"/>
              </w:rPr>
              <w:t>Principal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64.5%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46.3%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67.2%</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64.4%</w:t>
            </w:r>
          </w:p>
        </w:tc>
        <w:tc>
          <w:tcPr>
            <w:tcW w:w="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65.9%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69.4%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134"/>
        </w:trPr>
        <w:tc>
          <w:tcPr>
            <w:tcW w:w="1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BY MARKET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Atlanta MSA</w:t>
            </w:r>
          </w:p>
        </w:tc>
        <w:tc>
          <w:tcPr>
            <w:tcW w:w="10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14,700</w:t>
            </w:r>
          </w:p>
        </w:tc>
        <w:tc>
          <w:tcPr>
            <w:tcW w:w="100" w:type="dxa"/>
            <w:vAlign w:val="bottom"/>
          </w:tcPr>
          <w:p>
            <w:pPr>
              <w:spacing w:after="0"/>
              <w:rPr>
                <w:sz w:val="12"/>
                <w:szCs w:val="12"/>
                <w:color w:val="auto"/>
              </w:rPr>
            </w:pPr>
          </w:p>
        </w:tc>
        <w:tc>
          <w:tcPr>
            <w:tcW w:w="3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11,239</w:t>
            </w:r>
          </w:p>
        </w:tc>
        <w:tc>
          <w:tcPr>
            <w:tcW w:w="20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25,939</w:t>
            </w:r>
          </w:p>
        </w:tc>
        <w:tc>
          <w:tcPr>
            <w:tcW w:w="2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48,289</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41,154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89,443</w:t>
            </w:r>
          </w:p>
        </w:tc>
        <w:tc>
          <w:tcPr>
            <w:tcW w:w="2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74,031</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30,605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104,636</w:t>
            </w: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Gainesville MSA</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4,505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7,679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5,171</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9,273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14,444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10,730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2,750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13,480</w:t>
            </w: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North Georgia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28,117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21,278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49,395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83,551</w:t>
            </w:r>
          </w:p>
        </w:tc>
        <w:tc>
          <w:tcPr>
            <w:tcW w:w="1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66,211</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0"/>
              </w:rPr>
              <w:t>149,762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102,198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60,597</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162,795</w:t>
            </w: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Western North Carolina</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15,153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8,953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24,106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25,832</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11,553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37,385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22,776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11,473</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34,249</w:t>
            </w: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Coastal Georgia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5,357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2,564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11,145</w:t>
            </w:r>
          </w:p>
        </w:tc>
        <w:tc>
          <w:tcPr>
            <w:tcW w:w="1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11,901</w:t>
            </w: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23,046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8,341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16,548</w:t>
            </w: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24,889</w:t>
            </w: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East Tennessee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3,609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5,106</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2,116</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7,222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6,259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1,937</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8,196</w:t>
            </w:r>
          </w:p>
        </w:tc>
        <w:tc>
          <w:tcPr>
            <w:tcW w:w="0" w:type="dxa"/>
            <w:vAlign w:val="bottom"/>
          </w:tcPr>
          <w:p>
            <w:pPr>
              <w:spacing w:after="0"/>
              <w:rPr>
                <w:sz w:val="1"/>
                <w:szCs w:val="1"/>
                <w:color w:val="auto"/>
              </w:rPr>
            </w:pPr>
          </w:p>
        </w:tc>
      </w:tr>
      <w:tr>
        <w:trPr>
          <w:trHeight w:val="156"/>
        </w:trPr>
        <w:tc>
          <w:tcPr>
            <w:tcW w:w="158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Total NPAs</w:t>
            </w: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71,065</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47,584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118,649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179,094</w:t>
            </w:r>
          </w:p>
        </w:tc>
        <w:tc>
          <w:tcPr>
            <w:tcW w:w="2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142,208</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321,302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224,335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123,910</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348,245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720" w:right="159" w:hanging="388"/>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non-performing loans and foreclosed properties covered by the loss-sharing agreement with the FDIC, related to the acquisition of SCB.</w:t>
      </w:r>
    </w:p>
    <w:p>
      <w:pPr>
        <w:spacing w:after="0" w:line="130"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In April 2011, United sold nonperforming loans in the Bulk Loan Sale with a pre-write down carrying amount of $101 million and performing substandard loans with a pre-write down carrying amount of $166 million. In anticipation of that sale, United recorded charge-offs of $186 million and transferred these loans to the held for sale category at March 31, 2011. Nonperforming assets in the residential construction category were $47.6 million at June 30, 2011, compared with $163 million at June 30, 2010, a decrease of $115 million, or 71%. Commercial nonperforming assets decreased from $106 million at June 30, 2010 to $36.1 million at June 30, 2011. Residential mortgage non-performing assets of $33.9 million decreased $44.1 million from June 30, 2010. While United experienced a reduction in nonperforming assets across all markets, the execution of the Problem Asset Disposition Plan, which included the Bulk Loan Sale and the write down of foreclosed properties contributed to a decline in the North Georgia market and Atlanta MSA, where nonperforming asset levels had been particularly elevated.</w:t>
      </w:r>
    </w:p>
    <w:p>
      <w:pPr>
        <w:spacing w:after="0" w:line="141" w:lineRule="exact"/>
        <w:rPr>
          <w:sz w:val="20"/>
          <w:szCs w:val="20"/>
          <w:color w:val="auto"/>
        </w:rPr>
      </w:pPr>
    </w:p>
    <w:p>
      <w:pPr>
        <w:jc w:val="both"/>
        <w:ind w:left="340" w:right="179"/>
        <w:spacing w:after="0" w:line="276" w:lineRule="auto"/>
        <w:rPr>
          <w:sz w:val="20"/>
          <w:szCs w:val="20"/>
          <w:color w:val="auto"/>
        </w:rPr>
      </w:pPr>
      <w:r>
        <w:rPr>
          <w:rFonts w:ascii="Arial" w:cs="Arial" w:eastAsia="Arial" w:hAnsi="Arial"/>
          <w:sz w:val="17"/>
          <w:szCs w:val="17"/>
          <w:color w:val="auto"/>
        </w:rPr>
        <w:t>At June 30, 2011, December 31, 2010, and June 30, 2010 United had $46.2 million, $101 million and $77.9 respectively, in loans with terms that have been modified in a troubled debt restructuring (“TDR”). Included therein were $4.75 million, $17.3 million and $11.0 million of TDRs that were not performing in accordance with their modified terms and were included in nonperforming loans. The remaining TDRs with an aggregate balance of $41.5 million, $83.7 million and $66.9 million, respectively, were performing according to their modified terms and are therefore not considered to be nonperforming assets.</w:t>
      </w:r>
    </w:p>
    <w:p>
      <w:pPr>
        <w:spacing w:after="0" w:line="146"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 xml:space="preserve">At June 30, 2011, December 31, 2010, and June 30, 2010, there were $35.7 million, $123 million and $163 million, respectively, of loans classified as impaired under the Accounting Standards Codification. Included in impaired loans at June 30, 2011, December 31, 2010 and June 30, 2010, was $32.8 million, $115 million and $150 million, respectively that did not require specific reserves or had previously been charged down to net realizable value. The balance of impaired loans at June 30, 2011, December 31, 2010 and June 30, 2010, of $2.86 million, $7.64 million and $12.5 million, respectively, had specific reserves that totaled $1.17 million, $1.05 million and $1.14 million, respectively. The average recorded investment in impaired loans for the second quarters of 2011 and 2010 was $42.1 million and $171 million, respectively. There was no interest revenue recognized on loans while they were impaired for the first six months of 2011 or 2010. United’s policy is to discontinue the recognition of interest revenue for loans classified as impaired under the Financial Accounting Standards Board’s Accounting Standards Codification (“ASC”) Topic 310-10-35, </w:t>
      </w:r>
      <w:r>
        <w:rPr>
          <w:rFonts w:ascii="Arial" w:cs="Arial" w:eastAsia="Arial" w:hAnsi="Arial"/>
          <w:sz w:val="17"/>
          <w:szCs w:val="17"/>
          <w:i w:val="1"/>
          <w:iCs w:val="1"/>
          <w:color w:val="auto"/>
        </w:rPr>
        <w:t xml:space="preserve">Receivables, </w:t>
      </w:r>
      <w:r>
        <w:rPr>
          <w:rFonts w:ascii="Arial" w:cs="Arial" w:eastAsia="Arial" w:hAnsi="Arial"/>
          <w:sz w:val="17"/>
          <w:szCs w:val="17"/>
          <w:color w:val="auto"/>
        </w:rPr>
        <w:t>when a loan meets the criteria for nonaccrual status.</w:t>
      </w:r>
    </w:p>
    <w:p>
      <w:pPr>
        <w:spacing w:after="0" w:line="200" w:lineRule="exact"/>
        <w:rPr>
          <w:sz w:val="20"/>
          <w:szCs w:val="20"/>
          <w:color w:val="auto"/>
        </w:rPr>
      </w:pPr>
    </w:p>
    <w:p>
      <w:pPr>
        <w:spacing w:after="0" w:line="32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The table below summarizes activity in non-performing assets by quarter. Assets covered by loss sharing agreements with the FDIC, related to the acquisition of SCB, are not included in this table.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12 — Activity in Nonperforming Assets by Quarter</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rPr>
              <w:t xml:space="preserve">Second Quarter 2011 </w:t>
            </w:r>
            <w:r>
              <w:rPr>
                <w:rFonts w:ascii="Arial" w:cs="Arial" w:eastAsia="Arial" w:hAnsi="Arial"/>
                <w:sz w:val="15"/>
                <w:szCs w:val="15"/>
                <w:color w:val="auto"/>
              </w:rPr>
              <w:t>(1)</w:t>
            </w: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 xml:space="preserve">Second Quarter 2010 </w:t>
            </w:r>
            <w:r>
              <w:rPr>
                <w:rFonts w:ascii="Arial" w:cs="Arial" w:eastAsia="Arial" w:hAnsi="Arial"/>
                <w:sz w:val="15"/>
                <w:szCs w:val="15"/>
                <w:color w:val="auto"/>
              </w:rPr>
              <w:t>(1)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Nonaccrual</w:t>
            </w:r>
          </w:p>
        </w:tc>
        <w:tc>
          <w:tcPr>
            <w:tcW w:w="10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Foreclosed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ind w:left="40"/>
              <w:spacing w:after="0" w:line="191" w:lineRule="exact"/>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Nonaccrual</w:t>
            </w:r>
          </w:p>
        </w:tc>
        <w:tc>
          <w:tcPr>
            <w:tcW w:w="12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Foreclosed</w:t>
            </w:r>
          </w:p>
        </w:tc>
        <w:tc>
          <w:tcPr>
            <w:tcW w:w="120" w:type="dxa"/>
            <w:vAlign w:val="bottom"/>
          </w:tcPr>
          <w:p>
            <w:pPr>
              <w:spacing w:after="0"/>
              <w:rPr>
                <w:sz w:val="16"/>
                <w:szCs w:val="16"/>
                <w:color w:val="auto"/>
              </w:rPr>
            </w:pPr>
          </w:p>
        </w:tc>
        <w:tc>
          <w:tcPr>
            <w:tcW w:w="640" w:type="dxa"/>
            <w:vAlign w:val="bottom"/>
          </w:tcPr>
          <w:p>
            <w:pPr>
              <w:ind w:left="60"/>
              <w:spacing w:after="0" w:line="191"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6"/>
                <w:szCs w:val="16"/>
                <w:color w:val="auto"/>
              </w:rPr>
            </w:pPr>
          </w:p>
        </w:tc>
      </w:tr>
      <w:tr>
        <w:trPr>
          <w:trHeight w:val="234"/>
        </w:trPr>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Loans</w:t>
            </w: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NPAs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8"/>
              </w:rPr>
              <w:t>Loans</w:t>
            </w: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12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b w:val="1"/>
                <w:bCs w:val="1"/>
                <w:color w:val="auto"/>
              </w:rPr>
              <w:t>NPAs</w:t>
            </w:r>
          </w:p>
        </w:tc>
      </w:tr>
      <w:tr>
        <w:trPr>
          <w:trHeight w:val="210"/>
        </w:trPr>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83,769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54,378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138,147</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280,802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136,275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417,077</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Loans placed on non-accrual</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35,911</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35,911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155,007</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155,007</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Payments received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(7,702)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(12,189)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(12,189)</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Loan charge-offs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(18,888)</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(18,888)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(62,693)</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(62,693)</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Foreclosures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(22,025)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(66,994)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66,994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Capitalized costs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Note / property sales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(28,939)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(69,598)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(68,472)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(138,070)</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w w:val="98"/>
              </w:rPr>
              <w:t>Loans transferred to held for sale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Write downs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(6,094)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(6,094)</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Net gains (losses) on sales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3,218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(5,098)</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(5,098)</w:t>
            </w:r>
          </w:p>
        </w:tc>
      </w:tr>
      <w:tr>
        <w:trPr>
          <w:trHeight w:val="27"/>
        </w:trPr>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Ending Balance</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71,065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47,584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118,649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224,335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123,910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348,245</w:t>
            </w:r>
          </w:p>
        </w:tc>
      </w:tr>
      <w:tr>
        <w:trPr>
          <w:trHeight w:val="20"/>
        </w:trPr>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b w:val="1"/>
                <w:bCs w:val="1"/>
                <w:color w:val="auto"/>
              </w:rPr>
              <w:t xml:space="preserve">First Six Months 2011 </w:t>
            </w:r>
            <w:r>
              <w:rPr>
                <w:rFonts w:ascii="Arial" w:cs="Arial" w:eastAsia="Arial" w:hAnsi="Arial"/>
                <w:sz w:val="15"/>
                <w:szCs w:val="15"/>
                <w:color w:val="auto"/>
              </w:rPr>
              <w:t>(1)</w:t>
            </w:r>
          </w:p>
        </w:tc>
        <w:tc>
          <w:tcPr>
            <w:tcW w:w="6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 xml:space="preserve">First Six Months 2010 </w:t>
            </w:r>
            <w:r>
              <w:rPr>
                <w:rFonts w:ascii="Arial" w:cs="Arial" w:eastAsia="Arial" w:hAnsi="Arial"/>
                <w:sz w:val="15"/>
                <w:szCs w:val="15"/>
                <w:color w:val="auto"/>
              </w:rPr>
              <w:t>(1)</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Nonaccrual</w:t>
            </w:r>
          </w:p>
        </w:tc>
        <w:tc>
          <w:tcPr>
            <w:tcW w:w="10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Foreclosed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ind w:left="40"/>
              <w:spacing w:after="0" w:line="191" w:lineRule="exact"/>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Nonaccrual</w:t>
            </w:r>
          </w:p>
        </w:tc>
        <w:tc>
          <w:tcPr>
            <w:tcW w:w="12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Foreclosed</w:t>
            </w:r>
          </w:p>
        </w:tc>
        <w:tc>
          <w:tcPr>
            <w:tcW w:w="120" w:type="dxa"/>
            <w:vAlign w:val="bottom"/>
          </w:tcPr>
          <w:p>
            <w:pPr>
              <w:spacing w:after="0"/>
              <w:rPr>
                <w:sz w:val="16"/>
                <w:szCs w:val="16"/>
                <w:color w:val="auto"/>
              </w:rPr>
            </w:pPr>
          </w:p>
        </w:tc>
        <w:tc>
          <w:tcPr>
            <w:tcW w:w="640" w:type="dxa"/>
            <w:vAlign w:val="bottom"/>
          </w:tcPr>
          <w:p>
            <w:pPr>
              <w:ind w:left="60"/>
              <w:spacing w:after="0" w:line="191"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6"/>
                <w:szCs w:val="16"/>
                <w:color w:val="auto"/>
              </w:rPr>
            </w:pPr>
          </w:p>
        </w:tc>
      </w:tr>
      <w:tr>
        <w:trPr>
          <w:trHeight w:val="234"/>
        </w:trPr>
        <w:tc>
          <w:tcPr>
            <w:tcW w:w="2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4"/>
              </w:rPr>
              <w:t>Loans</w:t>
            </w: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NPAs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8"/>
              </w:rPr>
              <w:t>Loans</w:t>
            </w: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12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b w:val="1"/>
                <w:bCs w:val="1"/>
                <w:color w:val="auto"/>
              </w:rPr>
              <w:t>NPAs</w:t>
            </w:r>
          </w:p>
        </w:tc>
      </w:tr>
      <w:tr>
        <w:trPr>
          <w:trHeight w:val="210"/>
        </w:trPr>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179,094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142,208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321,302</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264,092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120,770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384,862</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Loans placed on non-accrual</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90,641</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90,641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294,037</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294,037</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Payments received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(11,252)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(11,252)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(17,922)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(17,922)</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Loan charge-offs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(62,857)</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(62,857)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(121,590)</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(121,590)</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Foreclosures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(39,077)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39,077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(116,227)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116,227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Capitalized costs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Note / property sales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(73,486)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(84,886)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(78,055)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(94,423)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(172,478)</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w w:val="98"/>
              </w:rPr>
              <w:t>Loans transferred to held for sale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(74,084)</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(74,084)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Write downs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(51,703)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(10,673)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(10,673)</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Net losses on sales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(8,802)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(8,802)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(8,616)</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(8,616)</w:t>
            </w:r>
          </w:p>
        </w:tc>
      </w:tr>
      <w:tr>
        <w:trPr>
          <w:trHeight w:val="27"/>
        </w:trPr>
        <w:tc>
          <w:tcPr>
            <w:tcW w:w="2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Ending Balance</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71,065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47,584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118,649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224,335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123,910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348,245</w:t>
            </w:r>
          </w:p>
        </w:tc>
      </w:tr>
      <w:tr>
        <w:trPr>
          <w:trHeight w:val="20"/>
        </w:trPr>
        <w:tc>
          <w:tcPr>
            <w:tcW w:w="2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3" w:lineRule="exact"/>
        <w:rPr>
          <w:sz w:val="20"/>
          <w:szCs w:val="20"/>
          <w:color w:val="auto"/>
        </w:rPr>
      </w:pPr>
    </w:p>
    <w:p>
      <w:pPr>
        <w:ind w:left="720" w:right="159" w:hanging="388"/>
        <w:spacing w:after="0" w:line="277" w:lineRule="auto"/>
        <w:tabs>
          <w:tab w:leader="none" w:pos="720" w:val="left"/>
        </w:tabs>
        <w:numPr>
          <w:ilvl w:val="0"/>
          <w:numId w:val="19"/>
        </w:numPr>
        <w:rPr>
          <w:rFonts w:ascii="Arial" w:cs="Arial" w:eastAsia="Arial" w:hAnsi="Arial"/>
          <w:sz w:val="15"/>
          <w:szCs w:val="15"/>
          <w:color w:val="auto"/>
        </w:rPr>
      </w:pPr>
      <w:r>
        <w:rPr>
          <w:rFonts w:ascii="Arial" w:cs="Arial" w:eastAsia="Arial" w:hAnsi="Arial"/>
          <w:sz w:val="18"/>
          <w:szCs w:val="18"/>
          <w:color w:val="auto"/>
        </w:rPr>
        <w:t>Excludes non-performing loans and foreclosed properties covered by the loss-sharing agreement with the FDIC, related to the acquisition of SCB.</w:t>
      </w:r>
    </w:p>
    <w:p>
      <w:pPr>
        <w:spacing w:after="0" w:line="21" w:lineRule="exact"/>
        <w:rPr>
          <w:rFonts w:ascii="Arial" w:cs="Arial" w:eastAsia="Arial" w:hAnsi="Arial"/>
          <w:sz w:val="15"/>
          <w:szCs w:val="15"/>
          <w:color w:val="auto"/>
        </w:rPr>
      </w:pPr>
    </w:p>
    <w:p>
      <w:pPr>
        <w:jc w:val="both"/>
        <w:ind w:left="720" w:right="159" w:hanging="388"/>
        <w:spacing w:after="0" w:line="276" w:lineRule="auto"/>
        <w:tabs>
          <w:tab w:leader="none" w:pos="720" w:val="left"/>
        </w:tabs>
        <w:numPr>
          <w:ilvl w:val="0"/>
          <w:numId w:val="19"/>
        </w:numPr>
        <w:rPr>
          <w:rFonts w:ascii="Arial" w:cs="Arial" w:eastAsia="Arial" w:hAnsi="Arial"/>
          <w:sz w:val="14"/>
          <w:szCs w:val="14"/>
          <w:color w:val="auto"/>
        </w:rPr>
      </w:pPr>
      <w:r>
        <w:rPr>
          <w:rFonts w:ascii="Arial" w:cs="Arial" w:eastAsia="Arial" w:hAnsi="Arial"/>
          <w:sz w:val="17"/>
          <w:szCs w:val="17"/>
          <w:color w:val="auto"/>
        </w:rPr>
        <w:t>The NPA activity shown for the first quarter of 2011 is presented with all activity related to loans transferred to the held for sale classification on one line as if those loans were transferred to held for sale at the beginning of the period. During the first quarter of 2011, $2.7 million in loans transferred to held for sale were placed on nonaccrual, $1.1 million in payments were received on nonaccrual loans transferred to held for sale and $66.6 million in charge-offs were recorded on nonaccrual loans transferred to held for sale to mark them down to the expected proceeds from the sale.</w:t>
      </w:r>
    </w:p>
    <w:p>
      <w:pPr>
        <w:spacing w:after="0" w:line="132"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fair value, less estimated costs to sell, of the foreclosed property decreases during the holding period, a valuation allowance is established with a charge to foreclosed property costs. When the foreclosed property is sold, a gain or loss is recognized on the sale for the difference between the sales proceeds and the carrying amount of the property. Financed sales of foreclosed property are accounted for in accordance with ASC 360-20, </w:t>
      </w:r>
      <w:r>
        <w:rPr>
          <w:rFonts w:ascii="Arial" w:cs="Arial" w:eastAsia="Arial" w:hAnsi="Arial"/>
          <w:sz w:val="17"/>
          <w:szCs w:val="17"/>
          <w:i w:val="1"/>
          <w:iCs w:val="1"/>
          <w:color w:val="auto"/>
        </w:rPr>
        <w:t>Real Estate Sales</w:t>
      </w:r>
      <w:r>
        <w:rPr>
          <w:rFonts w:ascii="Arial" w:cs="Arial" w:eastAsia="Arial" w:hAnsi="Arial"/>
          <w:sz w:val="17"/>
          <w:szCs w:val="17"/>
          <w:color w:val="auto"/>
        </w:rPr>
        <w:t>. For the second quarter and first six months of 2011, United transferred $22.0 million and $39.1 million, respectively, of loans into foreclosed property. During the same periods, proceeds from sales of OREO were $28.9 million and $73.5 million, respectively, which includes $8.54 million and $4.63 million of sales that were financed by United, respectively. During the first quarter of 2011, United recorded $48.6 million in write-downs on foreclosed property in order to expedite sales in the second and third quarter.</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98"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Total investment securities at June 30, 2011 increased $700 million from a year ago. The increase in the securities portfolio was a result of a buildup of liquidity resulting partially from strong core deposit growth with little loan demand to invest the proceeds. In addition, United had previously sought to maintain above normal amounts of liquidity due to the uncertain economy. United invested the proceeds from deposits in short-term commercial paper and floating rate mortgage-backed securities. United chose floating rate securities because they have less market risk in the event rates begin to rise.</w:t>
      </w:r>
    </w:p>
    <w:p>
      <w:pPr>
        <w:spacing w:after="0" w:line="141"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During the second quarter of 2010, United transferred securities available for sale with a fair value of $315 million to held to maturity. The transferred securities were those that United has the ability and positive intent to hold until maturity. Generally, the transferred securities had longer durations and were more susceptible to market price volatility due to changes in interest rates. At June 30, 2011, United had securities held to maturity with a carrying value of $372 million and securities available for sale totaling $1.82 billion. At June 30, 2011, December 31, 2010, and June 30, 2010, the securities portfolio represented approximately 30%, 20%, and 19% of total assets, respectively.</w:t>
      </w:r>
    </w:p>
    <w:p>
      <w:pPr>
        <w:spacing w:after="0" w:line="153" w:lineRule="exact"/>
        <w:rPr>
          <w:sz w:val="20"/>
          <w:szCs w:val="20"/>
          <w:color w:val="auto"/>
        </w:rPr>
      </w:pPr>
    </w:p>
    <w:p>
      <w:pPr>
        <w:jc w:val="both"/>
        <w:ind w:left="340" w:right="159"/>
        <w:spacing w:after="0" w:line="290" w:lineRule="auto"/>
        <w:rPr>
          <w:sz w:val="20"/>
          <w:szCs w:val="20"/>
          <w:color w:val="auto"/>
        </w:rPr>
      </w:pPr>
      <w:r>
        <w:rPr>
          <w:rFonts w:ascii="Arial" w:cs="Arial" w:eastAsia="Arial" w:hAnsi="Arial"/>
          <w:sz w:val="16"/>
          <w:szCs w:val="16"/>
          <w:color w:val="auto"/>
        </w:rPr>
        <w:t>The investment securities portfolio primarily consists of U.S. Government sponsored agency mortgage-backed securities, non-agency mortgage-backed securities, U.S. Government agency securities, corporate bonds, and municipal securities. Mortgage-backed securities rely on the underlying pools of mortgage loans to provide a cash flow of principal and interest. The actual maturities of these securities will differ from contractual maturities because loans underlying the securities can prepay. Decreases in interest rates will generally cause an acceleration of prepayment levels. In a declining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cash receipts and can result in the holding of a below market yielding asset for a longer period of time.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85"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Goodwill represents the premium paid for acquired companies above the fair value of the assets acquired and liabilities assumed, including separately identifiable intangible assets. As a result of the significant drop in United’s stock price during the third quarter of 2010, United conducted an interim goodwill impairment test to determine if the stock price decline might indicate goodwill was impaired. United’s third quarter interim 2010 impairment test indicated that goodwill was in fact impaired and United recorded a charge to earnings for the entire remaining balance of $211 million. In performing the interim impairment test, United engaged the services of a national third party valuation expert who employed commonly used valuation techniques including an earnings approach that considered discounted future expected cash earnings and three market approaches.</w:t>
      </w:r>
    </w:p>
    <w:p>
      <w:pPr>
        <w:spacing w:after="0" w:line="137"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Other intangible assets, primarily core deposit intangibles representing the value of United’s acquired deposit base, are amortizing intangible assets that are required to be tested for impairment only when events or circumstances indicate that impairment may exist. There were no events or circumstances that led management to believe that any impairment exists in United’s other intangible assets.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Deposits</w:t>
      </w:r>
    </w:p>
    <w:p>
      <w:pPr>
        <w:spacing w:after="0" w:line="185"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United initiated several programs in early 2009 to improve core earnings by growing customer transaction deposit accounts and lowering overall pricing on deposit accounts to improve its net interest margin and increase net interest revenue. The programs were very successful in increasing core transaction deposit accounts and reducing more costly time deposit balances as United’s funding needs decreased due to lower loan demand. United has continued to pursue customer transaction deposits by stressing its high customer satisfaction scores.</w:t>
      </w:r>
    </w:p>
    <w:p>
      <w:pPr>
        <w:spacing w:after="0" w:line="14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Total deposits as of June 30, 2011 were $6.18 billion, a decrease of $146 million, or 2%, from June 30, 2010. Total non-interest-bearing demand deposit accounts of $899 million increased $119 million, or 15%, due to the success of core deposit programs. Also impacted by the programs were NOW, money market and savings accounts of $2.49 billion which increased $225 million, or 10%, from June 30, 2010.</w:t>
      </w:r>
    </w:p>
    <w:p>
      <w:pPr>
        <w:spacing w:after="0" w:line="160"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Total time deposits, excluding brokered deposits, as of June 30, 2011 were $2.49 billion, down $180 million from June 30, 2010. Time deposits less than $100,000 totaled $1.51 billion, a decrease of $66.8 million, or 4%, from a year ago. Time deposits of $100,000 and greater totaled $981 million as of June 30, 2011, a decrease of $113 million, or 10%, from June 30, 2010. United continued to offer low rates on certificates of deposit, allowing balances to decline as United’s funding needs declined due to weak loan demand.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198"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The Bank is a shareholder in the Federal Home Loan Bank (“FHLB”) of Atlanta. Through this affiliation, FHLB secured advances totaled $40.6 million and $104 million as of June 30, 2011 and 2010, respectively. United anticipates continued use of this short- and long-term source of funds. FHLB advances outstanding at June 30, 2011 had fixed interest rates ranging up to 4.49%. During the second quarter of 2011 and the third quarter of 2010, United prepaid approximately $14.5 million and $50.0 million, respectively, of fixed-rate advances and incurred prepayment charges of $791,000 and $2.23 million, respectively. Additional information regarding FHLB advances is provided in Note 11 to the consolidated financial statements included in United’s 2010 Form 10-K.</w:t>
      </w:r>
    </w:p>
    <w:p>
      <w:pPr>
        <w:spacing w:after="0" w:line="124"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At June 30, 2011 and 2010, United had $104 million in repurchase agreements and other short-term borrowings outstanding. United takes advantage of these additional sources of liquidity when rates are favorable compared to other forms of short-term borrowings, such as FHLB advances and brokered deposits.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0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146"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United’s net interest revenue, and the fair value of its financial instruments, are influenced by changes in the level of interest rates. United manages its exposure to fluctuations in interest rates through policies established by the Asset/Liability Management Committee (“ALCO”). ALCO meets periodically and has responsibility for approving asset/liability management policies, formulating and implementing strategies to improve balance sheet positioning and/or earnings, and reviewing United’s interest rate sensitivity.</w:t>
      </w:r>
    </w:p>
    <w:p>
      <w:pPr>
        <w:spacing w:after="0" w:line="114"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One of the tools management uses to estimate the sensitivity of net interest revenue to changes in interest rates is an asset/liability simulation model. Resulting estimates are based upon a number of assumptions for each scenario, including the level of balance sheet growth, loan and deposit repricing characteristics and the rate of prepayments. The ALCO regularly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gradually rising and falling rate scenarios, which are compared to this base scenario. Another commonly analyzed scenario is a most-likely scenario that projects the expected change in rates based on the slope of the yield curve. Other scenarios analyzed may include rate shocks, narrowing or widening spreads, and yield curve steepening or flattening. While policy scenarios focus on a twelve month time frame, longer time horizons are also modeled.</w:t>
      </w:r>
    </w:p>
    <w:p>
      <w:pPr>
        <w:spacing w:after="0" w:line="142" w:lineRule="exact"/>
        <w:rPr>
          <w:sz w:val="20"/>
          <w:szCs w:val="20"/>
          <w:color w:val="auto"/>
        </w:rPr>
      </w:pPr>
    </w:p>
    <w:p>
      <w:pPr>
        <w:jc w:val="both"/>
        <w:ind w:left="340" w:right="159"/>
        <w:spacing w:after="0" w:line="289" w:lineRule="auto"/>
        <w:rPr>
          <w:sz w:val="20"/>
          <w:szCs w:val="20"/>
          <w:color w:val="auto"/>
        </w:rPr>
      </w:pPr>
      <w:r>
        <w:rPr>
          <w:rFonts w:ascii="Arial" w:cs="Arial" w:eastAsia="Arial" w:hAnsi="Arial"/>
          <w:sz w:val="16"/>
          <w:szCs w:val="16"/>
          <w:color w:val="auto"/>
        </w:rPr>
        <w:t>United’s policy is based on the 12-month impact on net interest revenue of interest rate ramps that increase 200 basis points and decrease 200 basis points from the base scenario. In the ramp scenarios, rates change 25 basis points per month over the initial eight months. The policy limits the change in net interest revenue over the next 12 months to a 10% decrease in either scenario. The policy ramp and base scenarios assume a static balance sheet. Historically low rates on June 30, 2011 and 2010 made use of the down 200 basis points scenario problematic. At June 30, 2011 United’s simulation model indicated that a 200 basis point increase in rates would cause an approximate .01% increase in net interest revenue over the next twelve months, and a 25 basis point decrease would cause an approximate .75% increase in net interest revenue over the next twelve months. At June 30, 2010, United’s simulation model indicated that a 200 basis point increase in rates would cause an approximate .4% increase in net interest revenue and a 25 basis point decrease in rates over the next twelve months would cause an approximate .2% decrease in net interest revenue.</w:t>
      </w:r>
    </w:p>
    <w:p>
      <w:pPr>
        <w:spacing w:after="0" w:line="126"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within an acceptable timeframe, thereby minimizing the effect of interest rate changes on net interest revenue.</w:t>
      </w:r>
    </w:p>
    <w:p>
      <w:pPr>
        <w:spacing w:after="0" w:line="138"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w:t>
      </w:r>
    </w:p>
    <w:p>
      <w:pPr>
        <w:spacing w:after="0" w:line="161"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Varying interest rate environments can create unexpected changes in prepayment levels of assets and liabilities that are not reflected in an interest rate sensitivity gap analysis. These prepayments may have significant effect on the net interest margin. Because of these limitations, an interest sensitivity gap analysis alone generally does not provide an accurate assessment of exposure to changes in interest rates.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In order to manage its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and receives a fixed rate and interest rate floor contracts where United pays a premium up front to a counterparty for the right to be compensated if a specified rate index falls below a pre-determined floor rate.</w:t>
      </w:r>
    </w:p>
    <w:p>
      <w:pPr>
        <w:spacing w:after="0" w:line="146"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United’s derivative financial instruments are classified as either cash flow or fair value hedges. The change in fair value of cash flow hedges is recognized in other comprehensive income. Fair value hedges recognize currently in earnings both the effect of the change in the fair value of the derivative financial instrument and the offsetting effect of the change in fair value of the hedged asset or liability associated with the particular risk of that asset or liability being hedged. At June 30, 2011, United did not have any active derivative contracts outstanding.</w:t>
      </w:r>
    </w:p>
    <w:p>
      <w:pPr>
        <w:spacing w:after="0" w:line="148"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From time to time, United will terminate swap or floor positions when conditions change and the position is no longer necessary to manage United’s overall sensitivity to changes in interest rates. In those situations where the terminated swap or floor was in an effective hedging relationship at the time of termination and the hedging relationship is expected to remain effective throughout the original term of the swap or floor, the resulting gain or loss is amortized over the remaining life of the original contract. For swap contracts, the gain or loss is amortized over the remaining original contract term using the straight line method of amortization. For floor contracts, the gain or loss is amortized over the remaining original contract term based on the original floorlet schedule. At June 30, 2011, United had $10.1 million in gains from terminated derivative positions included in other comprehensive income that will be amortized into earnings over their remaining original contract terms. Approximately $7.24 million is expected to be reclassified into interest revenue over the next twelve months.</w:t>
      </w:r>
    </w:p>
    <w:p>
      <w:pPr>
        <w:spacing w:after="0" w:line="141"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United’s policy requires all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our financial condition or results of operations. In order to mitigate potential credit risk, from time to time United may require the counterparties to derivative contracts to pledge securities as collateral to cover the net exposure.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Management</w:t>
      </w:r>
    </w:p>
    <w:p>
      <w:pPr>
        <w:spacing w:after="0" w:line="189" w:lineRule="exact"/>
        <w:rPr>
          <w:sz w:val="20"/>
          <w:szCs w:val="20"/>
          <w:color w:val="auto"/>
        </w:rPr>
      </w:pPr>
    </w:p>
    <w:p>
      <w:pPr>
        <w:jc w:val="both"/>
        <w:ind w:left="340" w:right="159"/>
        <w:spacing w:after="0" w:line="290" w:lineRule="auto"/>
        <w:rPr>
          <w:sz w:val="20"/>
          <w:szCs w:val="20"/>
          <w:color w:val="auto"/>
        </w:rPr>
      </w:pPr>
      <w:r>
        <w:rPr>
          <w:rFonts w:ascii="Arial" w:cs="Arial" w:eastAsia="Arial" w:hAnsi="Arial"/>
          <w:sz w:val="16"/>
          <w:szCs w:val="16"/>
          <w:color w:val="auto"/>
        </w:rPr>
        <w:t>The objective of liquidity management is to ensure that sufficient funding is available, at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 In addition, because United is a separate entity and apart from the Bank, it must provide for its own liquidity. United is responsible for the payment of dividends declared for its common and preferred shareholders, and interest and principal on any outstanding debt or trust preferred securities.</w:t>
      </w:r>
    </w:p>
    <w:p>
      <w:pPr>
        <w:spacing w:after="0" w:line="126"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Two key objectives of asset/liability management are to provide for adequate liquidity in order to meet the needs of customers and to maintain an optimal balance between interest-sensitive assets and interest-sensitive liabilities to optimize net interest revenue. Daily monitoring of the sources and uses of funds is necessary to maintain a position that meets both requirements.</w:t>
      </w:r>
    </w:p>
    <w:p>
      <w:pPr>
        <w:spacing w:after="0" w:line="139"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The asset portion of the balance sheet provides liquidity primarily through loan principal repayments and the maturities and sales of securities, as well as the ability to use these as collateral for borrowings on a secured basis. We also maintain excess funds in short-term interest-bearing assets that provide additional liquidity. Mortgage loans held for sale totaled $19.4 million at June 30, 2011, and typically turn over every 45 days as the closed loans are sold to investors in the secondary market. In addition, at June 30, 2011 United held $942 million in excess liquidity including $175 million in short-term commercial paper, $144 million in balances in excess of reserve requirements at the Federal Reserve Bank and $623 million in floating rate mortgage-backed securities.</w:t>
      </w:r>
    </w:p>
    <w:p>
      <w:pPr>
        <w:spacing w:after="0" w:line="124"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131"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Substantially all of the parent company’s liquidity is obtained from subsidiary service fees and dividends from the Bank, which is limited by applicable law.</w:t>
      </w:r>
    </w:p>
    <w:p>
      <w:pPr>
        <w:spacing w:after="0" w:line="143"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At June 30, 2011, United had sufficient qualifying collateral to increase FHLB advances by $1.39 billion and Federal Reserve discount window capacity of $142 million. United’s internal policy limits brokered deposits to 25% of total assets. At June 30, 2011, United had the capacity to increase brokered deposits by $1.55 billion, subject to certain regulatory approvals, and still remain within this limit. In addition to these wholesale sources, United has the ability to attract retail deposits at any time by competing more aggressively on pricing.</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69" w:lineRule="auto"/>
        <w:rPr>
          <w:sz w:val="20"/>
          <w:szCs w:val="20"/>
          <w:color w:val="auto"/>
        </w:rPr>
      </w:pPr>
      <w:r>
        <w:rPr>
          <w:rFonts w:ascii="Arial" w:cs="Arial" w:eastAsia="Arial" w:hAnsi="Arial"/>
          <w:sz w:val="17"/>
          <w:szCs w:val="17"/>
          <w:color w:val="auto"/>
        </w:rPr>
        <w:t>As disclosed in United’s consolidated statement of cash flows, net cash provided by operating activities was $105 million for the six months ended June 30, 2011. The net loss of $135 million for the six month period included non-cash expenses for the provision for loan losses of $201 million and losses and write downs on foreclosed property of $60.5 million. As an offset, other assets increased $49 million, primarily due to an increase in deferred tax assets. Net cash used in investing activities of $436 million consisted primarily of purchases of securities of $1.02 billion and purchases of premises and equipment of $5.28 million, that were offset by proceeds from sales of securities of $107 million, maturities and calls of investment securities of $255 million, net proceeds from sales of other real estate and notes of $60.3 million, proceeds from note sales of $99.3 million, and a net decrease in loans of $64.8 million. Net cash provided by financing activities of $61.8 million consisted primarily of the proceeds from $362 million in newly issued common and preferred stock offset by a net decrease in deposits of $286 million. United also paid $15.3 million to settle FHLB advances totaling $14.5 million. In the opinion of management, United had a significant excess liquidity position at June 30, 2011, which was sufficient to meet its expected cash flow requirements.</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Resources and Dividends</w:t>
      </w:r>
    </w:p>
    <w:p>
      <w:pPr>
        <w:spacing w:after="0" w:line="189"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Shareholders’ equity at June 30, 2011 was $860 million, an increase of $224 million from December 31, 2010. Accumulated other comprehensive income, which includes unrealized gains and losses on securities available for sale and the unrealized gains and losses on derivatives qualifying as cash flow hedges, is excluded in the calculation of regulatory capital adequacy ratios. Excluding the change in the accumulated other comprehensive income, shareholders’ equity increased $225 million from December 31, 2010.</w:t>
      </w:r>
    </w:p>
    <w:p>
      <w:pPr>
        <w:spacing w:after="0" w:line="114" w:lineRule="exact"/>
        <w:rPr>
          <w:sz w:val="20"/>
          <w:szCs w:val="20"/>
          <w:color w:val="auto"/>
        </w:rPr>
      </w:pPr>
    </w:p>
    <w:p>
      <w:pPr>
        <w:jc w:val="both"/>
        <w:ind w:left="340" w:right="159"/>
        <w:spacing w:after="0" w:line="290" w:lineRule="auto"/>
        <w:rPr>
          <w:sz w:val="20"/>
          <w:szCs w:val="20"/>
          <w:color w:val="auto"/>
        </w:rPr>
      </w:pPr>
      <w:r>
        <w:rPr>
          <w:rFonts w:ascii="Arial" w:cs="Arial" w:eastAsia="Arial" w:hAnsi="Arial"/>
          <w:sz w:val="16"/>
          <w:szCs w:val="16"/>
          <w:color w:val="auto"/>
        </w:rPr>
        <w:t>During the first quarter of 2011, United closed the Private Placement. Pursuant to the Private Placement, the Investors purchased and United issued $32.9 million of the Company’s existing common stock, consisting of 3,467,699 shares, for $9.50 per share and issued $347 million in preferred stock consisting of $196 million of Series F Preferred Stock, and $151 million of Series G Preferred Stock. Under the terms of the Private Placement Agreement and following receipt of required shareholder approvals, which were received on June 16, 2011 at United’s annual shareholders’ meeting, the Series F Preferred Stock converted into 20,618,090 shares of voting common stock and the Series G Preferred Stock converted into 15,914,209 shares of non-voting common stock. Following such conversion, the Investors owned an aggregate of 24,085,801 shares of common stock and 15,914,199 shares of non-voting common stock. The Private Placement resulted in an increase to shareholders’ equity of $362 million, net of transaction costs.</w:t>
      </w:r>
    </w:p>
    <w:p>
      <w:pPr>
        <w:spacing w:after="0" w:line="139"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On February 22, 2011, the Company entered into the Share Exchange Agreement with the Elm Ridge Parties. Under the Share Exchange Agreement, the Elm Ridge Parties agreed to transfer to the Company 1,551,126 shares of the Company’s common stock in exchange for 16,613 Series D Preferred Shares and warrants to purchase 1,551,126 common shares.</w:t>
      </w:r>
    </w:p>
    <w:p>
      <w:pPr>
        <w:spacing w:after="0" w:line="12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United accrued $2.60 million and $5.21 million in dividends, including accretion of discounts, on Series A and Series B preferred stock in the second quarter and first six months of 2011 as well as $414,000 and $587,000 in dividends on Series D preferred stock for the same periods.</w:t>
      </w:r>
    </w:p>
    <w:p>
      <w:pPr>
        <w:spacing w:after="0" w:line="141"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United is currently subject to a board resolution required by the Federal Reserve that provides that United may not incur additional indebtedness, pay cash dividends, make payments on our trust preferred securities or repurchase outstanding stock without prior approval of the Federal Reserve. We were not given permission to pay interest on our trust preferred securities and dividends on our preferred stock during the first quarter of 2011. Effective April 15, 2011, United received approval from the Federal Reserve for payments of currently payable and previously deferred dividends and interest on its preferred stock and trust preferred securities.</w:t>
      </w:r>
    </w:p>
    <w:p>
      <w:pPr>
        <w:spacing w:after="0" w:line="131" w:lineRule="exact"/>
        <w:rPr>
          <w:sz w:val="20"/>
          <w:szCs w:val="20"/>
          <w:color w:val="auto"/>
        </w:rPr>
      </w:pPr>
    </w:p>
    <w:p>
      <w:pPr>
        <w:jc w:val="both"/>
        <w:ind w:left="340" w:right="179"/>
        <w:spacing w:after="0" w:line="279" w:lineRule="auto"/>
        <w:rPr>
          <w:sz w:val="20"/>
          <w:szCs w:val="20"/>
          <w:color w:val="auto"/>
        </w:rPr>
      </w:pPr>
      <w:r>
        <w:rPr>
          <w:rFonts w:ascii="Arial" w:cs="Arial" w:eastAsia="Arial" w:hAnsi="Arial"/>
          <w:sz w:val="17"/>
          <w:szCs w:val="17"/>
          <w:color w:val="auto"/>
        </w:rPr>
        <w:t>The Bank is currently subject to an informal memorandum of understanding (“MOU”) which requires, among other things, that the Bank maintain its Tier 1 leverage ratio at not less than 8% and its total risk-based capital ratio at not less than 10% during the life of the MOU. Additionally, the MOU requires that, prior to declaring or paying any cash dividends to United, the Bank must obtain the written consent of its regulators. United is in compliance with all requirements of the MOU.</w:t>
      </w:r>
    </w:p>
    <w:p>
      <w:pPr>
        <w:spacing w:after="0" w:line="200" w:lineRule="exact"/>
        <w:rPr>
          <w:sz w:val="20"/>
          <w:szCs w:val="20"/>
          <w:color w:val="auto"/>
        </w:rPr>
      </w:pPr>
    </w:p>
    <w:p>
      <w:pPr>
        <w:spacing w:after="0" w:line="3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2011 and 2010.</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13 — Stock Price Information *</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w w:val="94"/>
              </w:rPr>
              <w:t>2011</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w w:val="94"/>
              </w:rPr>
              <w:t>2010</w:t>
            </w: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7"/>
              </w:rPr>
              <w:t>Avg Daily</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rPr>
              <w:t>Avg Daily</w:t>
            </w:r>
          </w:p>
        </w:tc>
        <w:tc>
          <w:tcPr>
            <w:tcW w:w="100" w:type="dxa"/>
            <w:vAlign w:val="bottom"/>
          </w:tcPr>
          <w:p>
            <w:pPr>
              <w:spacing w:after="0"/>
              <w:rPr>
                <w:sz w:val="16"/>
                <w:szCs w:val="16"/>
                <w:color w:val="auto"/>
              </w:rPr>
            </w:pPr>
          </w:p>
        </w:tc>
      </w:tr>
      <w:tr>
        <w:trPr>
          <w:trHeight w:val="234"/>
        </w:trPr>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620" w:type="dxa"/>
            <w:vAlign w:val="bottom"/>
            <w:gridSpan w:val="2"/>
          </w:tcPr>
          <w:p>
            <w:pPr>
              <w:ind w:left="120"/>
              <w:spacing w:after="0"/>
              <w:rPr>
                <w:sz w:val="20"/>
                <w:szCs w:val="20"/>
                <w:color w:val="auto"/>
              </w:rPr>
            </w:pPr>
            <w:r>
              <w:rPr>
                <w:rFonts w:ascii="Arial" w:cs="Arial" w:eastAsia="Arial" w:hAnsi="Arial"/>
                <w:sz w:val="18"/>
                <w:szCs w:val="18"/>
                <w:b w:val="1"/>
                <w:bCs w:val="1"/>
                <w:color w:val="auto"/>
              </w:rPr>
              <w:t>Low</w:t>
            </w:r>
          </w:p>
        </w:tc>
        <w:tc>
          <w:tcPr>
            <w:tcW w:w="32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Close</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Volume</w:t>
            </w:r>
          </w:p>
        </w:tc>
        <w:tc>
          <w:tcPr>
            <w:tcW w:w="160" w:type="dxa"/>
            <w:vAlign w:val="bottom"/>
          </w:tcPr>
          <w:p>
            <w:pPr>
              <w:spacing w:after="0"/>
              <w:rPr>
                <w:sz w:val="20"/>
                <w:szCs w:val="20"/>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High</w:t>
            </w:r>
          </w:p>
        </w:tc>
        <w:tc>
          <w:tcPr>
            <w:tcW w:w="620" w:type="dxa"/>
            <w:vAlign w:val="bottom"/>
            <w:gridSpan w:val="2"/>
          </w:tcPr>
          <w:p>
            <w:pPr>
              <w:ind w:left="120"/>
              <w:spacing w:after="0"/>
              <w:rPr>
                <w:sz w:val="20"/>
                <w:szCs w:val="20"/>
                <w:color w:val="auto"/>
              </w:rPr>
            </w:pPr>
            <w:r>
              <w:rPr>
                <w:rFonts w:ascii="Arial" w:cs="Arial" w:eastAsia="Arial" w:hAnsi="Arial"/>
                <w:sz w:val="18"/>
                <w:szCs w:val="18"/>
                <w:b w:val="1"/>
                <w:bCs w:val="1"/>
                <w:color w:val="auto"/>
              </w:rPr>
              <w:t>Low</w:t>
            </w:r>
          </w:p>
        </w:tc>
        <w:tc>
          <w:tcPr>
            <w:tcW w:w="32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Close</w:t>
            </w:r>
          </w:p>
        </w:tc>
        <w:tc>
          <w:tcPr>
            <w:tcW w:w="2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8"/>
              </w:rPr>
              <w:t>Volume</w:t>
            </w:r>
          </w:p>
        </w:tc>
      </w:tr>
      <w:tr>
        <w:trPr>
          <w:trHeight w:val="210"/>
        </w:trPr>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$ 11.85</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5.95</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$ 11.65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227,321</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$ 25.00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$ 16.05</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$ 22.05</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176,585</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Second quarter</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14.65</w:t>
            </w:r>
          </w:p>
        </w:tc>
        <w:tc>
          <w:tcPr>
            <w:tcW w:w="1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9.80</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10.56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139,741</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31.00</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19.30</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19.75</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169,997</w:t>
            </w: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20.50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10.20</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11.20</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162,032</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13.00</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9.75</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216,916</w:t>
            </w:r>
          </w:p>
        </w:tc>
      </w:tr>
    </w:tbl>
    <w:p>
      <w:pPr>
        <w:spacing w:after="0" w:line="25" w:lineRule="exact"/>
        <w:rPr>
          <w:sz w:val="20"/>
          <w:szCs w:val="20"/>
          <w:color w:val="auto"/>
        </w:rPr>
      </w:pPr>
    </w:p>
    <w:p>
      <w:pPr>
        <w:ind w:left="720" w:right="179" w:hanging="388"/>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stock price information shown above has been adjusted to reflect United’s 1 for 5 reverse stock split as though it had occurred at the beginning of the earliest reported period.</w:t>
      </w:r>
    </w:p>
    <w:p>
      <w:pPr>
        <w:spacing w:after="0" w:line="130" w:lineRule="exact"/>
        <w:rPr>
          <w:sz w:val="20"/>
          <w:szCs w:val="20"/>
          <w:color w:val="auto"/>
        </w:rPr>
      </w:pPr>
    </w:p>
    <w:p>
      <w:pPr>
        <w:jc w:val="both"/>
        <w:ind w:left="340" w:right="159"/>
        <w:spacing w:after="0" w:line="293" w:lineRule="auto"/>
        <w:rPr>
          <w:sz w:val="20"/>
          <w:szCs w:val="20"/>
          <w:color w:val="auto"/>
        </w:rPr>
      </w:pPr>
      <w:r>
        <w:rPr>
          <w:rFonts w:ascii="Arial" w:cs="Arial" w:eastAsia="Arial" w:hAnsi="Arial"/>
          <w:sz w:val="16"/>
          <w:szCs w:val="16"/>
          <w:color w:val="auto"/>
        </w:rPr>
        <w:t>The Board of Governors of the Federal Reserve System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risk-weighted assets to determine the risk-based capital ratios. The guidelines require an 8% total risk-based capital ratio, of which 4% must be Tier I capital. However, to be considered well-capitalized under the guidelines, a 10% total risk-based capital ratio is required, of which 6% must be Tier I capital.</w:t>
      </w:r>
    </w:p>
    <w:p>
      <w:pPr>
        <w:spacing w:after="0" w:line="124"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Under the risk-based capital guidelines,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the company’s total risk weighted assets. Risk-weighted assets for purposes of United’s capital ratios are calculated under these guidelines.</w:t>
      </w:r>
    </w:p>
    <w:p>
      <w:pPr>
        <w:spacing w:after="0" w:line="146"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A minimum leverage ratio is required in addition to the risk-based capital standards and is defined as Tier I capital divided by average assets adjusted for goodwill and deposit-based intangibles. Although a minimum leverage ratio of 3% is required, the Federal Reserve Board requires a bank holding company to maintain a leverage ratio greater than 3%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pacing w:after="0" w:line="118"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following table shows United’s capital ratios, as calculated under regulatory guidelines, at June 30, 2011, December 31, 2010 and June 30, 2010.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14 — Capital Ratios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Regulatory</w:t>
            </w:r>
          </w:p>
        </w:tc>
        <w:tc>
          <w:tcPr>
            <w:tcW w:w="60" w:type="dxa"/>
            <w:vAlign w:val="bottom"/>
          </w:tcPr>
          <w:p>
            <w:pPr>
              <w:spacing w:after="0"/>
              <w:rPr>
                <w:sz w:val="18"/>
                <w:szCs w:val="18"/>
                <w:color w:val="auto"/>
              </w:rPr>
            </w:pPr>
          </w:p>
        </w:tc>
        <w:tc>
          <w:tcPr>
            <w:tcW w:w="3240" w:type="dxa"/>
            <w:vAlign w:val="bottom"/>
            <w:gridSpan w:val="9"/>
          </w:tcPr>
          <w:p>
            <w:pPr>
              <w:jc w:val="center"/>
              <w:ind w:right="280"/>
              <w:spacing w:after="0"/>
              <w:rPr>
                <w:sz w:val="20"/>
                <w:szCs w:val="20"/>
                <w:color w:val="auto"/>
              </w:rPr>
            </w:pPr>
            <w:r>
              <w:rPr>
                <w:rFonts w:ascii="Arial" w:cs="Arial" w:eastAsia="Arial" w:hAnsi="Arial"/>
                <w:sz w:val="18"/>
                <w:szCs w:val="18"/>
                <w:b w:val="1"/>
                <w:bCs w:val="1"/>
                <w:color w:val="auto"/>
                <w:w w:val="92"/>
              </w:rPr>
              <w:t>United Community Banks, Inc.</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Guidelines</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(Consolidated)</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92"/>
              </w:rPr>
              <w:t>United Community Bank</w:t>
            </w:r>
          </w:p>
        </w:tc>
      </w:tr>
      <w:tr>
        <w:trPr>
          <w:trHeight w:val="191"/>
        </w:trPr>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auto"/>
            </w:tcBorders>
            <w:gridSpan w:val="2"/>
          </w:tcPr>
          <w:p>
            <w:pPr>
              <w:jc w:val="right"/>
              <w:ind w:right="220"/>
              <w:spacing w:after="0" w:line="191" w:lineRule="exact"/>
              <w:rPr>
                <w:sz w:val="20"/>
                <w:szCs w:val="20"/>
                <w:color w:val="auto"/>
              </w:rPr>
            </w:pPr>
            <w:r>
              <w:rPr>
                <w:rFonts w:ascii="Arial" w:cs="Arial" w:eastAsia="Arial" w:hAnsi="Arial"/>
                <w:sz w:val="18"/>
                <w:szCs w:val="18"/>
                <w:b w:val="1"/>
                <w:bCs w:val="1"/>
                <w:color w:val="auto"/>
                <w:w w:val="88"/>
              </w:rPr>
              <w:t>June 30,</w:t>
            </w:r>
          </w:p>
        </w:tc>
        <w:tc>
          <w:tcPr>
            <w:tcW w:w="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16"/>
                <w:szCs w:val="16"/>
                <w:color w:val="auto"/>
              </w:rPr>
            </w:pPr>
          </w:p>
        </w:tc>
        <w:tc>
          <w:tcPr>
            <w:tcW w:w="960" w:type="dxa"/>
            <w:vAlign w:val="bottom"/>
            <w:tcBorders>
              <w:top w:val="single" w:sz="8" w:color="auto"/>
            </w:tcBorders>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88"/>
              </w:rPr>
              <w:t>June 30,</w:t>
            </w:r>
          </w:p>
        </w:tc>
        <w:tc>
          <w:tcPr>
            <w:tcW w:w="1320" w:type="dxa"/>
            <w:vAlign w:val="bottom"/>
            <w:tcBorders>
              <w:top w:val="single" w:sz="8" w:color="auto"/>
            </w:tcBorders>
            <w:gridSpan w:val="3"/>
          </w:tcPr>
          <w:p>
            <w:pPr>
              <w:jc w:val="center"/>
              <w:ind w:right="260"/>
              <w:spacing w:after="0" w:line="191" w:lineRule="exact"/>
              <w:rPr>
                <w:sz w:val="20"/>
                <w:szCs w:val="20"/>
                <w:color w:val="auto"/>
              </w:rPr>
            </w:pPr>
            <w:r>
              <w:rPr>
                <w:rFonts w:ascii="Arial" w:cs="Arial" w:eastAsia="Arial" w:hAnsi="Arial"/>
                <w:sz w:val="18"/>
                <w:szCs w:val="18"/>
                <w:b w:val="1"/>
                <w:bCs w:val="1"/>
                <w:color w:val="auto"/>
                <w:w w:val="90"/>
              </w:rPr>
              <w:t>December 31,</w:t>
            </w:r>
          </w:p>
        </w:tc>
        <w:tc>
          <w:tcPr>
            <w:tcW w:w="7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6"/>
                <w:szCs w:val="16"/>
                <w:color w:val="auto"/>
              </w:rPr>
            </w:pPr>
          </w:p>
        </w:tc>
      </w:tr>
      <w:tr>
        <w:trPr>
          <w:trHeight w:val="234"/>
        </w:trPr>
        <w:tc>
          <w:tcPr>
            <w:tcW w:w="1100" w:type="dxa"/>
            <w:vAlign w:val="bottom"/>
          </w:tcPr>
          <w:p>
            <w:pPr>
              <w:spacing w:after="0"/>
              <w:rPr>
                <w:sz w:val="20"/>
                <w:szCs w:val="20"/>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rPr>
              <w:t>Minimum</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Capitalized</w:t>
            </w:r>
          </w:p>
        </w:tc>
        <w:tc>
          <w:tcPr>
            <w:tcW w:w="7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2010</w:t>
            </w:r>
          </w:p>
        </w:tc>
        <w:tc>
          <w:tcPr>
            <w:tcW w:w="200" w:type="dxa"/>
            <w:vAlign w:val="bottom"/>
          </w:tcPr>
          <w:p>
            <w:pPr>
              <w:spacing w:after="0"/>
              <w:rPr>
                <w:sz w:val="20"/>
                <w:szCs w:val="20"/>
                <w:color w:val="auto"/>
              </w:rPr>
            </w:pPr>
          </w:p>
        </w:tc>
        <w:tc>
          <w:tcPr>
            <w:tcW w:w="7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2010</w:t>
            </w:r>
          </w:p>
        </w:tc>
        <w:tc>
          <w:tcPr>
            <w:tcW w:w="26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r>
      <w:tr>
        <w:trPr>
          <w:trHeight w:val="195"/>
        </w:trPr>
        <w:tc>
          <w:tcPr>
            <w:tcW w:w="1100" w:type="dxa"/>
            <w:vAlign w:val="bottom"/>
            <w:shd w:val="clear" w:color="auto" w:fill="CCEEFF"/>
          </w:tcPr>
          <w:p>
            <w:pPr>
              <w:jc w:val="center"/>
              <w:ind w:right="210"/>
              <w:spacing w:after="0" w:line="195" w:lineRule="exact"/>
              <w:rPr>
                <w:sz w:val="20"/>
                <w:szCs w:val="20"/>
                <w:color w:val="auto"/>
              </w:rPr>
            </w:pPr>
            <w:r>
              <w:rPr>
                <w:rFonts w:ascii="Arial" w:cs="Arial" w:eastAsia="Arial" w:hAnsi="Arial"/>
                <w:sz w:val="18"/>
                <w:szCs w:val="18"/>
                <w:color w:val="auto"/>
                <w:w w:val="88"/>
              </w:rPr>
              <w:t>Risk-based</w:t>
            </w:r>
          </w:p>
        </w:tc>
        <w:tc>
          <w:tcPr>
            <w:tcW w:w="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110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89"/>
              </w:rPr>
              <w:t>ratios:</w:t>
            </w: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02"/>
        </w:trPr>
        <w:tc>
          <w:tcPr>
            <w:tcW w:w="1100" w:type="dxa"/>
            <w:vAlign w:val="bottom"/>
          </w:tcPr>
          <w:p>
            <w:pPr>
              <w:jc w:val="center"/>
              <w:ind w:right="210"/>
              <w:spacing w:after="0" w:line="201" w:lineRule="exact"/>
              <w:rPr>
                <w:sz w:val="20"/>
                <w:szCs w:val="20"/>
                <w:color w:val="auto"/>
              </w:rPr>
            </w:pPr>
            <w:r>
              <w:rPr>
                <w:rFonts w:ascii="Arial" w:cs="Arial" w:eastAsia="Arial" w:hAnsi="Arial"/>
                <w:sz w:val="18"/>
                <w:szCs w:val="18"/>
                <w:color w:val="auto"/>
                <w:w w:val="97"/>
              </w:rPr>
              <w:t>Tier I</w:t>
            </w: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1100" w:type="dxa"/>
            <w:vAlign w:val="bottom"/>
          </w:tcPr>
          <w:p>
            <w:pPr>
              <w:ind w:left="400"/>
              <w:spacing w:after="0"/>
              <w:rPr>
                <w:sz w:val="20"/>
                <w:szCs w:val="20"/>
                <w:color w:val="auto"/>
              </w:rPr>
            </w:pPr>
            <w:r>
              <w:rPr>
                <w:rFonts w:ascii="Arial" w:cs="Arial" w:eastAsia="Arial" w:hAnsi="Arial"/>
                <w:sz w:val="18"/>
                <w:szCs w:val="18"/>
                <w:color w:val="auto"/>
              </w:rPr>
              <w:t>capital</w:t>
            </w: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rPr>
              <w:t>4.0%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13.88%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9.67%</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11.07%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13.62%</w:t>
            </w:r>
          </w:p>
        </w:tc>
        <w:tc>
          <w:tcPr>
            <w:tcW w:w="2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10.72%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10.90%</w:t>
            </w:r>
          </w:p>
        </w:tc>
      </w:tr>
      <w:tr>
        <w:trPr>
          <w:trHeight w:val="202"/>
        </w:trPr>
        <w:tc>
          <w:tcPr>
            <w:tcW w:w="1100" w:type="dxa"/>
            <w:vAlign w:val="bottom"/>
            <w:shd w:val="clear" w:color="auto" w:fill="CCEEFF"/>
          </w:tcPr>
          <w:p>
            <w:pPr>
              <w:jc w:val="center"/>
              <w:ind w:right="250"/>
              <w:spacing w:after="0" w:line="201" w:lineRule="exact"/>
              <w:rPr>
                <w:sz w:val="20"/>
                <w:szCs w:val="20"/>
                <w:color w:val="auto"/>
              </w:rPr>
            </w:pPr>
            <w:r>
              <w:rPr>
                <w:rFonts w:ascii="Arial" w:cs="Arial" w:eastAsia="Arial" w:hAnsi="Arial"/>
                <w:sz w:val="18"/>
                <w:szCs w:val="18"/>
                <w:color w:val="auto"/>
                <w:w w:val="89"/>
              </w:rPr>
              <w:t>Total</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w:t>
            </w: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8.0</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15.41</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12.67</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3"/>
              </w:rPr>
              <w:t>Leverage ratio</w:t>
            </w:r>
          </w:p>
        </w:tc>
        <w:tc>
          <w:tcPr>
            <w:tcW w:w="820" w:type="dxa"/>
            <w:vAlign w:val="bottom"/>
            <w:gridSpan w:val="2"/>
          </w:tcPr>
          <w:p>
            <w:pPr>
              <w:ind w:left="600"/>
              <w:spacing w:after="0"/>
              <w:rPr>
                <w:sz w:val="20"/>
                <w:szCs w:val="20"/>
                <w:color w:val="auto"/>
              </w:rPr>
            </w:pPr>
            <w:r>
              <w:rPr>
                <w:rFonts w:ascii="Arial" w:cs="Arial" w:eastAsia="Arial" w:hAnsi="Arial"/>
                <w:sz w:val="18"/>
                <w:szCs w:val="18"/>
                <w:color w:val="auto"/>
                <w:w w:val="79"/>
              </w:rPr>
              <w:t>3.0</w:t>
            </w:r>
          </w:p>
        </w:tc>
        <w:tc>
          <w:tcPr>
            <w:tcW w:w="2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8.71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6.75</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7.72</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8.54</w:t>
            </w:r>
          </w:p>
        </w:tc>
        <w:tc>
          <w:tcPr>
            <w:tcW w:w="2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7.45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7.71</w:t>
            </w:r>
          </w:p>
        </w:tc>
      </w:tr>
      <w:tr>
        <w:trPr>
          <w:trHeight w:val="202"/>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1100" w:type="dxa"/>
            <w:vAlign w:val="bottom"/>
            <w:shd w:val="clear" w:color="auto" w:fill="CCEEFF"/>
          </w:tcPr>
          <w:p>
            <w:pPr>
              <w:jc w:val="center"/>
              <w:ind w:right="210"/>
              <w:spacing w:after="0" w:line="201" w:lineRule="exact"/>
              <w:rPr>
                <w:sz w:val="20"/>
                <w:szCs w:val="20"/>
                <w:color w:val="auto"/>
              </w:rPr>
            </w:pPr>
            <w:r>
              <w:rPr>
                <w:rFonts w:ascii="Arial" w:cs="Arial" w:eastAsia="Arial" w:hAnsi="Arial"/>
                <w:sz w:val="18"/>
                <w:szCs w:val="18"/>
                <w:color w:val="auto"/>
                <w:w w:val="97"/>
              </w:rPr>
              <w:t>Tier I</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w:t>
            </w: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$643,012</w:t>
            </w:r>
          </w:p>
        </w:tc>
        <w:tc>
          <w:tcPr>
            <w:tcW w:w="1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483,257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$568,047</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$629,543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534,161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$638,943</w:t>
            </w:r>
          </w:p>
        </w:tc>
      </w:tr>
      <w:tr>
        <w:trPr>
          <w:trHeight w:val="202"/>
        </w:trPr>
        <w:tc>
          <w:tcPr>
            <w:tcW w:w="1100" w:type="dxa"/>
            <w:vAlign w:val="bottom"/>
          </w:tcPr>
          <w:p>
            <w:pPr>
              <w:jc w:val="center"/>
              <w:ind w:right="250"/>
              <w:spacing w:after="0" w:line="201" w:lineRule="exact"/>
              <w:rPr>
                <w:sz w:val="20"/>
                <w:szCs w:val="20"/>
                <w:color w:val="auto"/>
              </w:rPr>
            </w:pPr>
            <w:r>
              <w:rPr>
                <w:rFonts w:ascii="Arial" w:cs="Arial" w:eastAsia="Arial" w:hAnsi="Arial"/>
                <w:sz w:val="18"/>
                <w:szCs w:val="18"/>
                <w:color w:val="auto"/>
                <w:w w:val="89"/>
              </w:rPr>
              <w:t>Total</w:t>
            </w: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1100" w:type="dxa"/>
            <w:vAlign w:val="bottom"/>
          </w:tcPr>
          <w:p>
            <w:pPr>
              <w:ind w:left="400"/>
              <w:spacing w:after="0"/>
              <w:rPr>
                <w:sz w:val="20"/>
                <w:szCs w:val="20"/>
                <w:color w:val="auto"/>
              </w:rPr>
            </w:pPr>
            <w:r>
              <w:rPr>
                <w:rFonts w:ascii="Arial" w:cs="Arial" w:eastAsia="Arial" w:hAnsi="Arial"/>
                <w:sz w:val="18"/>
                <w:szCs w:val="18"/>
                <w:color w:val="auto"/>
              </w:rPr>
              <w:t>capital</w:t>
            </w: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759,891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605,204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710,765</w:t>
            </w:r>
          </w:p>
        </w:tc>
        <w:tc>
          <w:tcPr>
            <w:tcW w:w="26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712,181</w:t>
            </w:r>
          </w:p>
        </w:tc>
        <w:tc>
          <w:tcPr>
            <w:tcW w:w="2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621,807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743,137</w:t>
            </w:r>
          </w:p>
        </w:tc>
      </w:tr>
    </w:tbl>
    <w:p>
      <w:pPr>
        <w:spacing w:after="0" w:line="175" w:lineRule="exact"/>
        <w:rPr>
          <w:sz w:val="20"/>
          <w:szCs w:val="20"/>
          <w:color w:val="auto"/>
        </w:rPr>
      </w:pPr>
    </w:p>
    <w:p>
      <w:pPr>
        <w:jc w:val="both"/>
        <w:ind w:left="340" w:right="179"/>
        <w:spacing w:after="0" w:line="259" w:lineRule="auto"/>
        <w:rPr>
          <w:sz w:val="20"/>
          <w:szCs w:val="20"/>
          <w:color w:val="auto"/>
        </w:rPr>
      </w:pPr>
      <w:r>
        <w:rPr>
          <w:rFonts w:ascii="Arial" w:cs="Arial" w:eastAsia="Arial" w:hAnsi="Arial"/>
          <w:sz w:val="18"/>
          <w:szCs w:val="18"/>
          <w:color w:val="auto"/>
        </w:rPr>
        <w:t>United’s Tier I capital excludes other comprehensive income, and consists of shareholders’ equity and qualifying capital securities, less goodwill and deposit-based intangibles. Tier II capital components include supplemental capital items such as a qualifying allowance for loan losses and qualifying subordinated debt. Tier I capital plus Tier II capital components is referred to as Total Risk-Based capital.</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0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46"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42"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02"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There have been no material changes in United’s quantitative and qualitative disclosures about market risk as of June 30, 2011 from that presented in the Annual Report on Form 10-K for the year ended December 31, 2010. The interest rate sensitivity position at June 30, 2011 is included in management’s discussion and analysis on page 50 of this report.</w:t>
      </w:r>
    </w:p>
    <w:p>
      <w:pPr>
        <w:spacing w:after="0" w:line="137"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United’s management, including the Chief Executive Officer and Chief Financial Officer, supervised and participated in an evaluation of the Company’s disclosure controls and procedures as of June 30, 2011.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Securities and Exchange Commission’s rules and forms and that the disclosure controls and procedures are designed to ensure that the information required to be disclosed in reports that are filed or submitted by United under the Act is recorded, processed, summarized and reported within the time periods specified in the Securities and Exchange Commission’s rules and forms.</w:t>
      </w:r>
    </w:p>
    <w:p>
      <w:pPr>
        <w:spacing w:after="0" w:line="152"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In the opinion of management, there is no pending or threatened proceeding in which an adverse decision could result in a material adverse change in the consolidated financial condition or results of operations of United.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incurred significant operating losses and our ability to maintain profitability is uncertain.</w:t>
      </w:r>
    </w:p>
    <w:p>
      <w:pPr>
        <w:spacing w:after="0" w:line="198" w:lineRule="exact"/>
        <w:rPr>
          <w:sz w:val="20"/>
          <w:szCs w:val="20"/>
          <w:color w:val="auto"/>
        </w:rPr>
      </w:pPr>
    </w:p>
    <w:p>
      <w:pPr>
        <w:jc w:val="both"/>
        <w:ind w:left="340" w:right="159"/>
        <w:spacing w:after="0" w:line="287" w:lineRule="auto"/>
        <w:rPr>
          <w:sz w:val="20"/>
          <w:szCs w:val="20"/>
          <w:color w:val="auto"/>
        </w:rPr>
      </w:pPr>
      <w:r>
        <w:rPr>
          <w:rFonts w:ascii="Arial" w:cs="Arial" w:eastAsia="Arial" w:hAnsi="Arial"/>
          <w:sz w:val="16"/>
          <w:szCs w:val="16"/>
          <w:color w:val="auto"/>
        </w:rPr>
        <w:t>We incurred a net operating loss from continuing operations of $142 million for the first quarter of 2011. This compared to a net operating loss from continuing operations of $34.5 million for the first quarter of 2010. Diluted operating loss from continuing operations per common share was $7.87 for the first quarter of 2011, compared to a diluted operating loss from continuing operations per common share of $1.96 for the first quarter of 2010. The first quarter of 2011 operating loss largely reflects the Board of Director’s decision to adopt the Problem Asset Disposition Plan described above under “Summary—Recent Developments” to quickly dispose of problem assets following our successful Private Placement also described in “Summary—Recent Developments”. We incurred a net operating loss from continuing operations of $143 million, or $8.12 per share, for the year ended December 31, 2010; $139 million, or $12.37 per share, for the year ended December 31, 2009; and $63.9 million, or $6.81 per share, for the year ended December 31, 2008, in each case due primarily to credit losses and associated costs, including significant provisions for loan losses. Although we had net income of $4.6 million and diluted earnings per share of $.08 for the second quarter of 2011, we may continue to have a higher than normal level of nonperforming assets and substantial charge-offs in 2011, which would continue to adversely impact our overall financial condition and results of operations and could impair ability to maintain profitability.</w:t>
      </w:r>
    </w:p>
    <w:p>
      <w:pPr>
        <w:spacing w:after="0" w:line="200" w:lineRule="exact"/>
        <w:rPr>
          <w:sz w:val="20"/>
          <w:szCs w:val="20"/>
          <w:color w:val="auto"/>
        </w:rPr>
      </w:pPr>
    </w:p>
    <w:p>
      <w:pPr>
        <w:spacing w:after="0" w:line="32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our deferred tax asset balances may be materially impaired.</w:t>
      </w:r>
    </w:p>
    <w:p>
      <w:pPr>
        <w:spacing w:after="0" w:line="198"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As of June 30, 2011, our net deferred tax asset balance was approximately $261 million, which includes approximately $212 million of federal and state net operating losses. We currently have a valuation allowance of $5.20 million against certain deferred state tax assets that have a very short carry forward period.</w:t>
      </w:r>
    </w:p>
    <w:p>
      <w:pPr>
        <w:spacing w:after="0" w:line="141"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Our ability to use these tax benefits would be substantially limited if we were to experience an “ownership change” as defined under Section 382 of the Internal Revenue Code of 1986, as amended, and related Internal Revenue Service pronouncements. As a result of the Private Placement we did not incur an “ownership change”, but are close to the threshold. In general, an “ownership change” would occur if our “5-percent shareholders”, as defined under Section 382, collectively increased their ownership in United by more than 50% over a rolling three-year period. A corporation that experiences an ownership change will generally be subject to an annual limitation on the use of its pre-ownership change deferred tax assets equal to the equity value of the corporation immediately before the ownership change, multiplied by the long-term tax-exempt rate, which was 4.55% for ownership changes occurring in March 2011, the month in which United completed the Private Placement.</w:t>
      </w:r>
    </w:p>
    <w:p>
      <w:pPr>
        <w:spacing w:after="0" w:line="138"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While we have taken measures to reduce the likelihood that future transactions in our stock will result in an ownership change, there can be no assurance that an ownership change will not occur in the future or that there will not be a change in applicable law that may result in an ownership change. More specifically, while our Tax Benefits Preservation Plan provides an economic disincentive for any one person or group to become a Threshold Holder (as defined in the plan) and for any existing Threshold Holder to acquire more than a specified amount of additional shares, there can be no assurance that the Tax Benefits Preservation Plan will deter a shareholder from increasing its ownership interests beyond the limits set by the plan. Such an increase could adversely affect our ownership change calculations.</w:t>
      </w:r>
    </w:p>
    <w:p>
      <w:pPr>
        <w:spacing w:after="0" w:line="162"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 addition, valuation allowances may need to be maintained for deferred tax assets that we estimate are more likely than not to be unrealizable, based on available evidence at the time the estimate is made. Valuation allowances related to deferred tax assets can be affected by changes to tax laws, statutory tax rates, and future taxable income levels and based on input from our auditors, tax advisors or regulatory authorities. In the event that we were to determine that we would not be able to realize all or a portion of our net deferred tax assets in the future, we would reduce such amounts through a charge to income tax expense in the period in which that determination was made, which could have a material adverse impact on our financial condition and results of operations and our ability to maintain profitability.</w:t>
      </w:r>
    </w:p>
    <w:p>
      <w:pPr>
        <w:spacing w:after="0" w:line="14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Other than the risk factors mentioned above, there have been no material changes from the risk associated with our business and industry, as well as the risks related to legislative and regulatory events, contained in the section entitled “Risk Factors” in our Annual Report on Form 10-K for the year ended December 31, 2010.</w:t>
      </w:r>
    </w:p>
    <w:p>
      <w:pPr>
        <w:spacing w:after="0" w:line="137"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 — None</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 — None</w:t>
      </w:r>
    </w:p>
    <w:p>
      <w:pPr>
        <w:spacing w:after="0" w:line="185"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185"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 — None</w:t>
      </w:r>
    </w:p>
    <w:p>
      <w:pPr>
        <w:spacing w:after="0" w:line="200" w:lineRule="exact"/>
        <w:rPr>
          <w:sz w:val="20"/>
          <w:szCs w:val="20"/>
          <w:color w:val="auto"/>
        </w:rPr>
      </w:pPr>
    </w:p>
    <w:p>
      <w:pPr>
        <w:spacing w:after="0" w:line="39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40" w:type="dxa"/>
            <w:vAlign w:val="bottom"/>
            <w:gridSpan w:val="2"/>
          </w:tcPr>
          <w:p>
            <w:pPr>
              <w:spacing w:after="0"/>
              <w:rPr>
                <w:sz w:val="17"/>
                <w:szCs w:val="17"/>
                <w:color w:val="auto"/>
              </w:rPr>
            </w:pPr>
          </w:p>
        </w:tc>
        <w:tc>
          <w:tcPr>
            <w:tcW w:w="816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81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2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Exhibit No.</w:t>
            </w:r>
          </w:p>
        </w:tc>
        <w:tc>
          <w:tcPr>
            <w:tcW w:w="280" w:type="dxa"/>
            <w:vAlign w:val="bottom"/>
          </w:tcPr>
          <w:p>
            <w:pPr>
              <w:spacing w:after="0"/>
              <w:rPr>
                <w:sz w:val="24"/>
                <w:szCs w:val="24"/>
                <w:color w:val="auto"/>
              </w:rPr>
            </w:pPr>
          </w:p>
        </w:tc>
        <w:tc>
          <w:tcPr>
            <w:tcW w:w="8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26"/>
        </w:trPr>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Restated Articles of Incorporation of United Community Banks, Inc.</w:t>
            </w:r>
          </w:p>
        </w:tc>
      </w:tr>
      <w:tr>
        <w:trPr>
          <w:trHeight w:val="418"/>
        </w:trPr>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0"/>
              </w:rPr>
              <w:t>Amended and Restated Bylaws of United Community Banks, Inc., as amended (incorporated herein by reference</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to Exhibit 3.2 to United Community Banks, Inc.’s Quarterly Report on Form 10-Q for the period ended</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March 31, 2011, filed with the SEC on May 4, 2011).</w:t>
            </w:r>
          </w:p>
        </w:tc>
      </w:tr>
      <w:tr>
        <w:trPr>
          <w:trHeight w:val="418"/>
        </w:trPr>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4"/>
              </w:rPr>
              <w:t>See Exhibits 3.1 and 3.2 for provisions of the Restated Articles of Incorporation of United Community Banks,</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0"/>
              </w:rPr>
              <w:t>Inc., as amended, and the Amended and Restated Bylaws, as amended, of United Community Banks, Inc., which</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define the rights of security holders.</w:t>
            </w:r>
          </w:p>
        </w:tc>
      </w:tr>
      <w:tr>
        <w:trPr>
          <w:trHeight w:val="418"/>
        </w:trPr>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6"/>
              </w:rPr>
              <w:t>Second Amendment to Tax Benefits Preservation Plan, dated as of June 17, 2011 (incorporated herein by</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3"/>
              </w:rPr>
              <w:t>reference to Exhibit 1.1 to United Community Banks, Inc.’s Current Report on Form 8-K, filed with the SEC on</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June 21, 2011).</w:t>
            </w:r>
          </w:p>
        </w:tc>
      </w:tr>
      <w:tr>
        <w:trPr>
          <w:trHeight w:val="418"/>
        </w:trPr>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0"/>
              </w:rPr>
              <w:t>Asset Purchase and Sale Agreement, dated as of April 18, 2011, among United Community Bank, CF Southeast,</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5"/>
              </w:rPr>
              <w:t>LLC and CF Southeast Trust 2011-1 (incorporated herein by reference to Exhibit 10.3 to United Community</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8"/>
              </w:rPr>
              <w:t>Banks, Inc.’s Quarterly Report on Form 10-Q for the period ended March 31, 2011, filed with the SEC on</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May 4, 2011).</w:t>
            </w:r>
          </w:p>
        </w:tc>
      </w:tr>
      <w:tr>
        <w:trPr>
          <w:trHeight w:val="418"/>
        </w:trPr>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4"/>
              </w:rPr>
              <w:t>Certification by Jimmy C. Tallent, President and Chief Executive Officer of United Community Banks, Inc., as</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418"/>
        </w:trPr>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w w:val="95"/>
              </w:rPr>
              <w:t>Certification by Rex S. Schuette, Executive Vice President and Chief Financial Officer of United Community</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Banks, Inc., as adopted pursuant to Section 302 of the Sarbanes-Oxley Act of 2002.</w:t>
            </w:r>
          </w:p>
        </w:tc>
      </w:tr>
    </w:tbl>
    <w:p>
      <w:pPr>
        <w:spacing w:after="0" w:line="202" w:lineRule="exact"/>
        <w:rPr>
          <w:sz w:val="20"/>
          <w:szCs w:val="20"/>
          <w:color w:val="auto"/>
        </w:rPr>
      </w:pPr>
    </w:p>
    <w:p>
      <w:pPr>
        <w:ind w:left="1900" w:right="179" w:hanging="951"/>
        <w:spacing w:after="0" w:line="277" w:lineRule="auto"/>
        <w:tabs>
          <w:tab w:leader="none" w:pos="1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482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-130810</wp:posOffset>
            </wp:positionV>
            <wp:extent cx="24180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482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-130810</wp:posOffset>
            </wp:positionV>
            <wp:extent cx="24180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482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-130810</wp:posOffset>
            </wp:positionV>
            <wp:extent cx="24180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Date: August 8, 2011</w:t>
      </w:r>
    </w:p>
    <w:p>
      <w:pPr>
        <w:spacing w:after="0" w:line="200" w:lineRule="exact"/>
        <w:rPr>
          <w:sz w:val="20"/>
          <w:szCs w:val="20"/>
          <w:color w:val="auto"/>
        </w:rPr>
      </w:pPr>
    </w:p>
    <w:p>
      <w:pPr>
        <w:spacing w:after="0" w:line="37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219"/>
          </w:cols>
          <w:pgMar w:left="240" w:top="419" w:right="1440" w:bottom="1440" w:gutter="0" w:footer="0" w:header="0"/>
        </w:sectPr>
      </w:pPr>
    </w:p>
    <w:bookmarkStart w:id="66" w:name="page67"/>
    <w:bookmarkEnd w:id="66"/>
    <w:p>
      <w:pPr>
        <w:jc w:val="right"/>
        <w:ind w:right="159"/>
        <w:spacing w:after="0"/>
        <w:rPr>
          <w:sz w:val="20"/>
          <w:szCs w:val="20"/>
          <w:color w:val="auto"/>
        </w:rPr>
      </w:pPr>
      <w:r>
        <w:rPr>
          <w:rFonts w:ascii="Arial" w:cs="Arial" w:eastAsia="Arial" w:hAnsi="Arial"/>
          <w:sz w:val="18"/>
          <w:szCs w:val="18"/>
          <w:b w:val="1"/>
          <w:bCs w:val="1"/>
          <w:color w:val="auto"/>
        </w:rPr>
        <w:t>EXHIBIT 3.1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ARTICLES OF AMENDMENT</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UNITED COMMUNITY BANKS, INC.</w:t>
      </w:r>
    </w:p>
    <w:p>
      <w:pPr>
        <w:spacing w:after="0" w:line="184" w:lineRule="exact"/>
        <w:rPr>
          <w:sz w:val="20"/>
          <w:szCs w:val="20"/>
          <w:color w:val="auto"/>
        </w:rPr>
      </w:pPr>
    </w:p>
    <w:p>
      <w:pPr>
        <w:jc w:val="right"/>
        <w:ind w:right="4959"/>
        <w:spacing w:after="0"/>
        <w:rPr>
          <w:sz w:val="20"/>
          <w:szCs w:val="20"/>
          <w:color w:val="auto"/>
        </w:rPr>
      </w:pPr>
      <w:r>
        <w:rPr>
          <w:rFonts w:ascii="Arial" w:cs="Arial" w:eastAsia="Arial" w:hAnsi="Arial"/>
          <w:sz w:val="18"/>
          <w:szCs w:val="18"/>
          <w:color w:val="auto"/>
        </w:rPr>
        <w:t>1.</w:t>
      </w:r>
    </w:p>
    <w:p>
      <w:pPr>
        <w:spacing w:after="0" w:line="185" w:lineRule="exact"/>
        <w:rPr>
          <w:sz w:val="20"/>
          <w:szCs w:val="20"/>
          <w:color w:val="auto"/>
        </w:rPr>
      </w:pPr>
    </w:p>
    <w:p>
      <w:pPr>
        <w:jc w:val="right"/>
        <w:ind w:right="4979"/>
        <w:spacing w:after="0"/>
        <w:rPr>
          <w:sz w:val="20"/>
          <w:szCs w:val="20"/>
          <w:color w:val="auto"/>
        </w:rPr>
      </w:pPr>
      <w:r>
        <w:rPr>
          <w:rFonts w:ascii="Arial" w:cs="Arial" w:eastAsia="Arial" w:hAnsi="Arial"/>
          <w:sz w:val="17"/>
          <w:szCs w:val="17"/>
          <w:color w:val="auto"/>
        </w:rPr>
        <w:t>The name of the corporation is United Community Banks, Inc.</w:t>
      </w:r>
    </w:p>
    <w:p>
      <w:pPr>
        <w:spacing w:after="0" w:line="196" w:lineRule="exact"/>
        <w:rPr>
          <w:sz w:val="20"/>
          <w:szCs w:val="20"/>
          <w:color w:val="auto"/>
        </w:rPr>
      </w:pPr>
    </w:p>
    <w:p>
      <w:pPr>
        <w:jc w:val="right"/>
        <w:ind w:right="4959"/>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Restated Articles of Incorporation, as amended, of the corporation are amended as follows:</w:t>
      </w:r>
    </w:p>
    <w:p>
      <w:pPr>
        <w:spacing w:after="0" w:line="185" w:lineRule="exact"/>
        <w:rPr>
          <w:sz w:val="20"/>
          <w:szCs w:val="20"/>
          <w:color w:val="auto"/>
        </w:rPr>
      </w:pPr>
    </w:p>
    <w:p>
      <w:pPr>
        <w:ind w:right="379" w:firstLine="381"/>
        <w:spacing w:after="0" w:line="277"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Amendment to Article V. Article V of the Restated Articles of Incorporation, as amended, of the corporation is amended by deleting the first paragraph of Article V and replacing it with the following in lieu thereof.</w:t>
      </w:r>
    </w:p>
    <w:p>
      <w:pPr>
        <w:spacing w:after="0" w:line="130" w:lineRule="exact"/>
        <w:rPr>
          <w:sz w:val="20"/>
          <w:szCs w:val="20"/>
          <w:color w:val="auto"/>
        </w:rPr>
      </w:pPr>
    </w:p>
    <w:p>
      <w:pPr>
        <w:ind w:left="740" w:right="179"/>
        <w:spacing w:after="0" w:line="270" w:lineRule="auto"/>
        <w:rPr>
          <w:sz w:val="20"/>
          <w:szCs w:val="20"/>
          <w:color w:val="auto"/>
        </w:rPr>
      </w:pPr>
      <w:r>
        <w:rPr>
          <w:rFonts w:ascii="Arial" w:cs="Arial" w:eastAsia="Arial" w:hAnsi="Arial"/>
          <w:sz w:val="17"/>
          <w:szCs w:val="17"/>
          <w:color w:val="auto"/>
        </w:rPr>
        <w:t>“The corporation shall have authority to issue 500,000,000 shares of common stock, $1.00 par value (the “Common Stock”), 130,000,000 shares of non-voting common stock, $1.00 par value (the “Non-Voting Common Stock”), having the powers, rights, and preferences, and the qualifications, limitations and restrictions thereof, as set forth in Exhibit A attached hereto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the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55" w:lineRule="exact"/>
        <w:rPr>
          <w:sz w:val="20"/>
          <w:szCs w:val="20"/>
          <w:color w:val="auto"/>
        </w:rPr>
      </w:pPr>
    </w:p>
    <w:p>
      <w:pPr>
        <w:jc w:val="both"/>
        <w:ind w:right="319" w:firstLine="381"/>
        <w:spacing w:after="0" w:line="264" w:lineRule="auto"/>
        <w:tabs>
          <w:tab w:leader="none" w:pos="6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Non-Voting Common Stock. The Restated Articles of Incorporation, as amended, of the corporation are amended by adding the powers, rights, and preferences, and the qualifications, limitations, and restrictions thereof, of the Non-Voting Common Stock as set forth in Exhibit A attached hereto.</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The amendment was adopted by the board of directors of the corporation at a meeting duly convened and held on March 14,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2011 and duly approved by the shareholders of the corporation on June 16, 2011 in accordance with the provisions of O.C.G.A. § 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2-1003.</w:t>
      </w:r>
    </w:p>
    <w:p>
      <w:pPr>
        <w:spacing w:after="0" w:line="18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time of these Articles of Amendment is at 5:00 p.m. on the date of filing of these Articles of Amendment.</w:t>
      </w:r>
    </w:p>
    <w:p>
      <w:pPr>
        <w:spacing w:after="0" w:line="181" w:lineRule="exact"/>
        <w:rPr>
          <w:sz w:val="20"/>
          <w:szCs w:val="20"/>
          <w:color w:val="auto"/>
        </w:rPr>
      </w:pPr>
    </w:p>
    <w:p>
      <w:pPr>
        <w:ind w:right="1179" w:firstLine="389"/>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these Articles of Amendment to the Restated Articles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as amended, of United Community Banks, Inc. this 17th day of June, 2011.</w:t>
      </w:r>
    </w:p>
    <w:p>
      <w:pPr>
        <w:spacing w:after="0" w:line="162"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w:t>
      </w:r>
      <w:r>
        <w:rPr>
          <w:rFonts w:ascii="Arial" w:cs="Arial" w:eastAsia="Arial" w:hAnsi="Arial"/>
          <w:sz w:val="18"/>
          <w:szCs w:val="18"/>
          <w:color w:val="auto"/>
        </w:rPr>
        <w:t xml:space="preserve"> Rex S. Schuette</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-130810</wp:posOffset>
            </wp:positionV>
            <wp:extent cx="23837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4620"/>
        <w:spacing w:after="0"/>
        <w:tabs>
          <w:tab w:leader="none" w:pos="5180" w:val="left"/>
        </w:tabs>
        <w:rPr>
          <w:sz w:val="20"/>
          <w:szCs w:val="20"/>
          <w:color w:val="auto"/>
        </w:rPr>
      </w:pPr>
      <w:r>
        <w:rPr>
          <w:rFonts w:ascii="Arial" w:cs="Arial" w:eastAsia="Arial" w:hAnsi="Arial"/>
          <w:sz w:val="18"/>
          <w:szCs w:val="18"/>
          <w:color w:val="auto"/>
        </w:rPr>
        <w:t>Title:</w:t>
        <w:tab/>
        <w:t>EVP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784225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67" w:name="page68"/>
    <w:bookmarkEnd w:id="67"/>
    <w:p>
      <w:pPr>
        <w:jc w:val="right"/>
        <w:ind w:right="159"/>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CERTIFICATE OF DESIGNATION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NON-VOTING COMMON STOCK</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UNITED COMMUNITY BANKS, INC.</w:t>
      </w:r>
    </w:p>
    <w:p>
      <w:pPr>
        <w:spacing w:after="0" w:line="170" w:lineRule="exact"/>
        <w:rPr>
          <w:sz w:val="20"/>
          <w:szCs w:val="20"/>
          <w:color w:val="auto"/>
        </w:rPr>
      </w:pPr>
    </w:p>
    <w:p>
      <w:pPr>
        <w:ind w:right="319" w:firstLine="770"/>
        <w:spacing w:after="0" w:line="342" w:lineRule="auto"/>
        <w:tabs>
          <w:tab w:leader="none" w:pos="958"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Designation. </w:t>
      </w:r>
      <w:r>
        <w:rPr>
          <w:rFonts w:ascii="Arial" w:cs="Arial" w:eastAsia="Arial" w:hAnsi="Arial"/>
          <w:sz w:val="16"/>
          <w:szCs w:val="16"/>
          <w:color w:val="auto"/>
        </w:rPr>
        <w:t>The shares of such class of non-voting common stock, $1.00 par value, of United Community Banks,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 Corporation “) shall be designated “ Non-Voting Common Stock “ (referred to herein as the “ Non-Voting Common Stock “).</w:t>
      </w:r>
    </w:p>
    <w:p>
      <w:pPr>
        <w:spacing w:after="0" w:line="83" w:lineRule="exact"/>
        <w:rPr>
          <w:rFonts w:ascii="Arial" w:cs="Arial" w:eastAsia="Arial" w:hAnsi="Arial"/>
          <w:sz w:val="16"/>
          <w:szCs w:val="16"/>
          <w:color w:val="auto"/>
        </w:rPr>
      </w:pPr>
    </w:p>
    <w:p>
      <w:pPr>
        <w:ind w:right="359" w:firstLine="770"/>
        <w:spacing w:after="0" w:line="277" w:lineRule="auto"/>
        <w:tabs>
          <w:tab w:leader="none" w:pos="958"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Authorized Number. </w:t>
      </w:r>
      <w:r>
        <w:rPr>
          <w:rFonts w:ascii="Arial" w:cs="Arial" w:eastAsia="Arial" w:hAnsi="Arial"/>
          <w:sz w:val="18"/>
          <w:szCs w:val="18"/>
          <w:color w:val="auto"/>
        </w:rPr>
        <w:t>The number of shares constituting the Non-Voting Common Stock shall be as set forth in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paragraph of Article V of the Restated Articles of Incorporation, as amended.</w:t>
      </w:r>
    </w:p>
    <w:p>
      <w:pPr>
        <w:spacing w:after="0" w:line="139" w:lineRule="exact"/>
        <w:rPr>
          <w:rFonts w:ascii="Arial" w:cs="Arial" w:eastAsia="Arial" w:hAnsi="Arial"/>
          <w:sz w:val="18"/>
          <w:szCs w:val="18"/>
          <w:color w:val="auto"/>
        </w:rPr>
      </w:pPr>
    </w:p>
    <w:p>
      <w:pPr>
        <w:ind w:right="199" w:firstLine="770"/>
        <w:spacing w:after="0" w:line="261" w:lineRule="auto"/>
        <w:tabs>
          <w:tab w:leader="none" w:pos="958"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set forth below, the Non-Voting Common Stock shall have the same rights and privileges, share ratably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be identical in all respects to the Common Stock as to all matters. Each share of Non-Voting Common Stock shall have the same relative powers, preferences and rights as, and shall be identical in all respects with, all the other shares of Non-Voting Common Stock of the Corporation.</w:t>
      </w:r>
    </w:p>
    <w:p>
      <w:pPr>
        <w:spacing w:after="0" w:line="143" w:lineRule="exact"/>
        <w:rPr>
          <w:rFonts w:ascii="Arial" w:cs="Arial" w:eastAsia="Arial" w:hAnsi="Arial"/>
          <w:sz w:val="18"/>
          <w:szCs w:val="18"/>
          <w:color w:val="auto"/>
        </w:rPr>
      </w:pPr>
    </w:p>
    <w:p>
      <w:pPr>
        <w:ind w:right="219" w:firstLine="770"/>
        <w:spacing w:after="0" w:line="276" w:lineRule="auto"/>
        <w:tabs>
          <w:tab w:leader="none" w:pos="958"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Voting Rights</w:t>
      </w:r>
      <w:r>
        <w:rPr>
          <w:rFonts w:ascii="Arial" w:cs="Arial" w:eastAsia="Arial" w:hAnsi="Arial"/>
          <w:sz w:val="17"/>
          <w:szCs w:val="17"/>
          <w:color w:val="auto"/>
        </w:rPr>
        <w:t>. The holders of Non-Voting Common Stock shall have no voting rights except as provided herein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by law. Notwithstanding the foregoing, and in addition to any other vote required by law, the affirmative vote of the holders of a majority of the outstanding shares of Non-Voting Common Stock, voting separately as a class, shall be required to amend, alter or repeal (including by merger, consolidation or otherwise) any provision of these Articles of Amendment that significantly and adversely affects the rights, preferences or privileges of the Non-Voting Common Stock contained herein.</w:t>
      </w:r>
    </w:p>
    <w:p>
      <w:pPr>
        <w:spacing w:after="0" w:line="132" w:lineRule="exact"/>
        <w:rPr>
          <w:rFonts w:ascii="Arial" w:cs="Arial" w:eastAsia="Arial" w:hAnsi="Arial"/>
          <w:sz w:val="17"/>
          <w:szCs w:val="17"/>
          <w:color w:val="auto"/>
        </w:rPr>
      </w:pPr>
    </w:p>
    <w:p>
      <w:pPr>
        <w:ind w:right="179" w:firstLine="770"/>
        <w:spacing w:after="0" w:line="287" w:lineRule="auto"/>
        <w:tabs>
          <w:tab w:leader="none" w:pos="958"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Dividends</w:t>
      </w:r>
      <w:r>
        <w:rPr>
          <w:rFonts w:ascii="Arial" w:cs="Arial" w:eastAsia="Arial" w:hAnsi="Arial"/>
          <w:sz w:val="16"/>
          <w:szCs w:val="16"/>
          <w:color w:val="auto"/>
        </w:rPr>
        <w:t>. Subject to preferential dividend rights, if any, applicable to any shares of the Preferred Stock, the holders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Non-Voting Common Stock shall be entitled to receive, to the extent permitted by law, such dividends as may be declared from time to time by the Board of Directors on the Common Stock. If a dividend is declared and paid with respect to the Common Stock, then the Board shall declare and pay an equivalent dividend, on a per share basis, to the Non-Voting Common Stock. Likewise, if the Board of Directors declares and pays a dividend on the Non-Voting Common Stock, it shall declare and pay an equivalent dividend, on a per share basis, on the Common Stock. The holders of the Non-Voting Common Stock shall share ratably in any such dividend in proportion to the number of shares of Common Stock and Non-Voting Common Stock held by each such holder. All dividends paid with respect to the Common Stock and Non-Voting Common Stock shall be paid pro rata to the holders of such shares entitled thereto; provided , however , that no dividend payable in Common Stock or rights or warrants to subscribe for Common Stock shall be declared on the Non-Voting Common Stock and no dividend payable in Non-Voting Common Stock or rights or warrants to subscribe for Non-Voting Common Stock shall be declared on the Common Stock, but instead, in the case of such a dividend, each class shall receive such dividend in like stock or rights or warrants to subscribe for like stock.</w:t>
      </w:r>
    </w:p>
    <w:p>
      <w:pPr>
        <w:spacing w:after="0" w:line="141" w:lineRule="exact"/>
        <w:rPr>
          <w:rFonts w:ascii="Arial" w:cs="Arial" w:eastAsia="Arial" w:hAnsi="Arial"/>
          <w:sz w:val="16"/>
          <w:szCs w:val="16"/>
          <w:color w:val="auto"/>
        </w:rPr>
      </w:pPr>
    </w:p>
    <w:p>
      <w:pPr>
        <w:ind w:right="219" w:firstLine="770"/>
        <w:spacing w:after="0" w:line="257" w:lineRule="auto"/>
        <w:tabs>
          <w:tab w:leader="none" w:pos="958"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Distributions. </w:t>
      </w:r>
      <w:r>
        <w:rPr>
          <w:rFonts w:ascii="Arial" w:cs="Arial" w:eastAsia="Arial" w:hAnsi="Arial"/>
          <w:sz w:val="18"/>
          <w:szCs w:val="18"/>
          <w:color w:val="auto"/>
        </w:rPr>
        <w:t>In the event of the voluntary or involuntary liquidation, dissolution, distribution of assets or winding up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Corporation, after distribution in full of the preferential amounts, if any, to be distributed to the holders of shares of Preferred Stock, holders of the Common Stock and the Non-Voting Common Stock shall be entitled to receive all the remaining assets of the Corporation of whatever kind available for distribution to shareholders ratably in proportion to the number of shares of Common Stock and Non-Voting Common Stock held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624205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68" w:name="page69"/>
    <w:bookmarkEnd w:id="68"/>
    <w:p>
      <w:pPr>
        <w:ind w:left="-770" w:right="179" w:firstLine="770"/>
        <w:spacing w:after="0" w:line="279" w:lineRule="auto"/>
        <w:tabs>
          <w:tab w:leader="none" w:pos="188"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Adjustment. </w:t>
      </w:r>
      <w:r>
        <w:rPr>
          <w:rFonts w:ascii="Arial" w:cs="Arial" w:eastAsia="Arial" w:hAnsi="Arial"/>
          <w:sz w:val="17"/>
          <w:szCs w:val="17"/>
          <w:color w:val="auto"/>
        </w:rPr>
        <w:t>In the event of any stock split, combination or other reclassification of shares of either the Common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the Non-Voting Common Stock, the outstanding shares of the other class shall be proportionately split, combined or reclassified in a similar manner, provided, however, that in any such transaction, only holders of Common Stock shall receive shares of Common Stock and only holders of Non-Voting Common Stock shall receive shares of Non-Voting Common Stock.</w:t>
      </w:r>
    </w:p>
    <w:p>
      <w:pPr>
        <w:spacing w:after="0" w:line="144" w:lineRule="exact"/>
        <w:rPr>
          <w:rFonts w:ascii="Arial" w:cs="Arial" w:eastAsia="Arial" w:hAnsi="Arial"/>
          <w:sz w:val="17"/>
          <w:szCs w:val="17"/>
          <w:color w:val="auto"/>
        </w:rPr>
      </w:pPr>
    </w:p>
    <w:p>
      <w:pPr>
        <w:ind w:left="190" w:hanging="190"/>
        <w:spacing w:after="0"/>
        <w:tabs>
          <w:tab w:leader="none" w:pos="19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Conversion.</w:t>
      </w:r>
    </w:p>
    <w:p>
      <w:pPr>
        <w:spacing w:after="0" w:line="185" w:lineRule="exact"/>
        <w:rPr>
          <w:sz w:val="20"/>
          <w:szCs w:val="20"/>
          <w:color w:val="auto"/>
        </w:rPr>
      </w:pPr>
    </w:p>
    <w:p>
      <w:pPr>
        <w:ind w:left="-770" w:right="199" w:firstLine="770"/>
        <w:spacing w:after="0" w:line="285" w:lineRule="auto"/>
        <w:tabs>
          <w:tab w:leader="none" w:pos="2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Non-Voting Common Stock may be converted into Common Stock in accordance with the provisions of this paragraph 8 by any Convertible Holder following an Approved Transfer (as defined herein). The term “ Approved Transfer “ means a sale or other transfer (i) to an Affiliate of the holder of the Non-Voting Common Stock to be transferred under common control with such holder’s ultimate parent, general partner or investment advisor but only if the transferee agrees in writing for the benefit of the Corporation to be bound by the terms of that certain Investment Agreement or Subscription Agreement by and between the Corporation and such holder pursuant to which such shares of Non-Voting Common Stock were sold to such holder (the “ Investment Agreement “); (ii) in a widely distributed public offering registered pursuant to the Securities Act of 1933, as amended; (iii) to a person that is acquiring at least a majority of the Corporation’s outstanding “voting securities” (as defined in the Bank Holding Company Act of 1956, as amended and any rules or regulations promulgated thereunder) not including any voting securities such person is acquiring from the holder of the Non-Voting Common Stock to be transferred or its Affiliates; or (iv) upon certification by the holder of the Non-Voting Common Stock to be transferred in writing to the Corporation that the such holder believes that the transferee shall not, after giving effect to such transfer, own for purposes of the Bank Holding Company Act of 1956, as amended, or the Change of Bank Control Act of 1978, as amended, and any rules and regulations promulgated thereunder, more than 2% of any class of voting securities of the Corporation outstanding at such time. The term “ Affiliate “ means, with respect to any person, any person directly or indirectly, controlling, controlled by or under common control with, such other person. “ Convertible Holder “ means a holder of Non-Voting Common Stock, other than the initial holder of such Non-Voting Common Stock or an Affiliate thereof, who acquires one or more shares of Non-Voting Common Stock in an Approved Transfer.</w:t>
      </w:r>
    </w:p>
    <w:p>
      <w:pPr>
        <w:spacing w:after="0" w:line="134" w:lineRule="exact"/>
        <w:rPr>
          <w:rFonts w:ascii="Arial" w:cs="Arial" w:eastAsia="Arial" w:hAnsi="Arial"/>
          <w:sz w:val="16"/>
          <w:szCs w:val="16"/>
          <w:color w:val="auto"/>
        </w:rPr>
      </w:pPr>
    </w:p>
    <w:p>
      <w:pPr>
        <w:ind w:left="-770" w:right="219" w:firstLine="770"/>
        <w:spacing w:after="0" w:line="287" w:lineRule="auto"/>
        <w:tabs>
          <w:tab w:leader="none" w:pos="262"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Conditions of Conversion</w:t>
      </w:r>
      <w:r>
        <w:rPr>
          <w:rFonts w:ascii="Arial" w:cs="Arial" w:eastAsia="Arial" w:hAnsi="Arial"/>
          <w:sz w:val="16"/>
          <w:szCs w:val="16"/>
          <w:color w:val="auto"/>
        </w:rPr>
        <w:t>. Following an Approved Transfer, a Convertible Holder may surrender to the Corporation (at</w:t>
      </w:r>
      <w:r>
        <w:rPr>
          <w:rFonts w:ascii="Arial" w:cs="Arial" w:eastAsia="Arial" w:hAnsi="Arial"/>
          <w:sz w:val="16"/>
          <w:szCs w:val="16"/>
          <w:i w:val="1"/>
          <w:iCs w:val="1"/>
          <w:color w:val="auto"/>
        </w:rPr>
        <w:t xml:space="preserve"> </w:t>
      </w:r>
      <w:r>
        <w:rPr>
          <w:rFonts w:ascii="Arial" w:cs="Arial" w:eastAsia="Arial" w:hAnsi="Arial"/>
          <w:sz w:val="16"/>
          <w:szCs w:val="16"/>
          <w:color w:val="auto"/>
        </w:rPr>
        <w:t>the principal office of the Corporation) a certificate or certificates representing all or part of the Convertible Holder’s shares of Non-Voting Common Stock and in such event each share of Non-Voting Common Stock represented by such certificate or certificates will convert into one share of Common Stock. Except as otherwise provided herein, each conversion of Non-Voting Common Stock shall be deemed to have been effected as of the close of business on the date on which the certificate or certificates representing such shares of Non-Voting Common Stock to be converted have been surrendered for conversion at the principal office of the Corporation. Notwithstanding any other provision hereof, if a conversion of Non-Voting Common Stock is to be made in connection with a merger, consolidation, reclassification or other transaction in which the shares of Common Stock are exchanged for or changed into other stock or securities, cash and/or any other property or any dissolution or liquidation, the conversion of any shares of Non-Voting Common Stock may, at the election of the holder thereof, be conditioned upon the consummation of such event or transaction, in which case such conversion shall not be deemed to be effective until such event or transaction has been consummated.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622935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09"/>
          </w:cols>
          <w:pgMar w:left="1350" w:top="936" w:right="1440" w:bottom="1440" w:gutter="0" w:footer="0" w:header="0"/>
        </w:sectPr>
      </w:pPr>
    </w:p>
    <w:bookmarkStart w:id="69" w:name="page70"/>
    <w:bookmarkEnd w:id="69"/>
    <w:p>
      <w:pPr>
        <w:ind w:left="-770" w:right="239" w:firstLine="770"/>
        <w:spacing w:after="0" w:line="269" w:lineRule="auto"/>
        <w:tabs>
          <w:tab w:leader="none" w:pos="252"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Reservation of Stock Issuable Upon Conversion</w:t>
      </w:r>
      <w:r>
        <w:rPr>
          <w:rFonts w:ascii="Arial" w:cs="Arial" w:eastAsia="Arial" w:hAnsi="Arial"/>
          <w:sz w:val="17"/>
          <w:szCs w:val="17"/>
          <w:color w:val="auto"/>
        </w:rPr>
        <w:t>. The Corporation shall at all times reserve and keep available out of its</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but unissued shares of Common Stock, solely for the purpose of effecting the conversion of the Non-Voting Common Stock, such number of shares of Common Stock as shall from time to time be sufficient to effect the conversion of all outstanding shares of Non-Voting Common Stock. The Corporation shall take all action necessary so that all shares of Common Stock issuable upon conversion of Non-Voting Common Stock will, upon issue, be duly and validly issued, fully paid, and non-assessable, and free from all taxes, liens, charges and encumbrances in respect of the issuance or delivery thereof. The Corporation shall take all such actions as may be necessary to assure that all such shares of Common Stock issuable upon conversion of the Non-Voting Common Stock may be so issued without violation of any applicable law or governmental regulation or any requirements of any domestic securities exchange upon which shares may be listed (except for official notice of issuance which shall be immediately delivered by the Corporation upon each such issuance). The Corporation shall not take any action which would cause the number of authorized but unissued shares of Common Stock to be less than the number of such shares required to be reserved hereunder for issuance upon conversion of the Non-Voting Common Stock.</w:t>
      </w:r>
    </w:p>
    <w:p>
      <w:pPr>
        <w:spacing w:after="0" w:line="153" w:lineRule="exact"/>
        <w:rPr>
          <w:sz w:val="20"/>
          <w:szCs w:val="20"/>
          <w:color w:val="auto"/>
        </w:rPr>
      </w:pPr>
    </w:p>
    <w:p>
      <w:pPr>
        <w:ind w:left="-770" w:right="159" w:firstLine="770"/>
        <w:spacing w:after="0" w:line="285" w:lineRule="auto"/>
        <w:tabs>
          <w:tab w:leader="none" w:pos="188"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Mergers, Consolidations, Etc</w:t>
      </w:r>
      <w:r>
        <w:rPr>
          <w:rFonts w:ascii="Arial" w:cs="Arial" w:eastAsia="Arial" w:hAnsi="Arial"/>
          <w:sz w:val="16"/>
          <w:szCs w:val="16"/>
          <w:color w:val="auto"/>
        </w:rPr>
        <w:t>. In the event of any merger, consolidation, reclassification or other transaction in which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Common Stock are exchanged for or changed into other stock or securities, cash and/or any other property, each share of Non-Voting Common Stock will at the same time be similarly exchanged or changed in an amount per whole share equal to the aggregate amount of stock, securities, cash and/or any other property (payable in kind), as the case may be, that each share of Common Stock would be entitled to receive as a result of such transaction, provided that at the election of such holder, any securities issued with respect to the Non-Voting Common Stock shall be non-voting securities under the resulting corporation’s organizational documents and the Corporation shall make appropriate provisions (in form and substance reasonably satisfactory to the holders of a majority of the Non-Voting Common Stock then outstanding) and take such actions necessary to ensure that holders of the Non-Voting Common Stock shall retain securities with substantially the same rights and benefits as the Non-Voting Common Stock. Subject to the foregoing, in the event the holders of Common Stock are provided the right to convert or exchange Common Stock for stock or securities, cash and/or any other property, then the holders of the Non-Voting Common Stock shall be provided the same right based upon the number of shares of Common Stock such holders would be entitled to receive if such shares of Non-Voting Common Stock were converted into shares of Common Stock immediately prior to such offering. In the event that the Corporation offers to repurchase shares of Common Stock from its shareholders generally, the Corporation shall offer to repurchase Non-Voting Common Stock pro rata based upon the number of shares of Common Stock such holders would be entitled to receive if such shares were converted into shares of Common Stock immediately prior to such repurchase. In the event of any pro rata subscription offer, rights offer or similar offer to holders of Common Stock, the Corporation shall provide the holders of the Non-Voting Common Stock the right to participate based upon the number of shares of Common Stock such holders would be entitled to receive if such shares were converted into shares of Common Stock immediately prior to such offering; provided that at the election of such holder, any shares issued with respect to the Non-Voting Common Stock shall be issued in the form of Non-Voting Common Stock rather than Common Stock.</w:t>
      </w:r>
    </w:p>
    <w:p>
      <w:pPr>
        <w:spacing w:after="0" w:line="127" w:lineRule="exact"/>
        <w:rPr>
          <w:rFonts w:ascii="Arial" w:cs="Arial" w:eastAsia="Arial" w:hAnsi="Arial"/>
          <w:sz w:val="16"/>
          <w:szCs w:val="16"/>
          <w:color w:val="auto"/>
        </w:rPr>
      </w:pPr>
    </w:p>
    <w:p>
      <w:pPr>
        <w:ind w:left="-770" w:right="219" w:firstLine="770"/>
        <w:spacing w:after="0" w:line="277" w:lineRule="auto"/>
        <w:tabs>
          <w:tab w:leader="none" w:pos="278"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Notices. </w:t>
      </w:r>
      <w:r>
        <w:rPr>
          <w:rFonts w:ascii="Arial" w:cs="Arial" w:eastAsia="Arial" w:hAnsi="Arial"/>
          <w:sz w:val="18"/>
          <w:szCs w:val="18"/>
          <w:color w:val="auto"/>
        </w:rPr>
        <w:t>At any time notice is provided to the holders of Common Stock, the Corporation shall give written notice to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Non-Voting Common Stock at or prior to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621030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09"/>
          </w:cols>
          <w:pgMar w:left="1350" w:top="935" w:right="1440" w:bottom="1440" w:gutter="0" w:footer="0" w:header="0"/>
        </w:sectPr>
      </w:pPr>
    </w:p>
    <w:bookmarkStart w:id="70" w:name="page71"/>
    <w:bookmarkEnd w:id="70"/>
    <w:p>
      <w:pPr>
        <w:jc w:val="center"/>
        <w:ind w:right="179"/>
        <w:spacing w:after="0"/>
        <w:rPr>
          <w:sz w:val="20"/>
          <w:szCs w:val="20"/>
          <w:color w:val="auto"/>
        </w:rPr>
      </w:pPr>
      <w:r>
        <w:rPr>
          <w:rFonts w:ascii="Arial" w:cs="Arial" w:eastAsia="Arial" w:hAnsi="Arial"/>
          <w:sz w:val="18"/>
          <w:szCs w:val="18"/>
          <w:b w:val="1"/>
          <w:bCs w:val="1"/>
          <w:color w:val="auto"/>
        </w:rPr>
        <w:t>ARTICLES OF AMENDMENT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UNITED COMMUNITY BANKS, INC.</w:t>
      </w:r>
    </w:p>
    <w:p>
      <w:pPr>
        <w:spacing w:after="0" w:line="184" w:lineRule="exact"/>
        <w:rPr>
          <w:sz w:val="20"/>
          <w:szCs w:val="20"/>
          <w:color w:val="auto"/>
        </w:rPr>
      </w:pPr>
    </w:p>
    <w:p>
      <w:pPr>
        <w:jc w:val="right"/>
        <w:ind w:right="4959"/>
        <w:spacing w:after="0"/>
        <w:rPr>
          <w:sz w:val="20"/>
          <w:szCs w:val="20"/>
          <w:color w:val="auto"/>
        </w:rPr>
      </w:pPr>
      <w:r>
        <w:rPr>
          <w:rFonts w:ascii="Arial" w:cs="Arial" w:eastAsia="Arial" w:hAnsi="Arial"/>
          <w:sz w:val="18"/>
          <w:szCs w:val="18"/>
          <w:color w:val="auto"/>
        </w:rPr>
        <w:t>1.</w:t>
      </w:r>
    </w:p>
    <w:p>
      <w:pPr>
        <w:spacing w:after="0" w:line="185" w:lineRule="exact"/>
        <w:rPr>
          <w:sz w:val="20"/>
          <w:szCs w:val="20"/>
          <w:color w:val="auto"/>
        </w:rPr>
      </w:pPr>
    </w:p>
    <w:p>
      <w:pPr>
        <w:jc w:val="right"/>
        <w:ind w:right="4979"/>
        <w:spacing w:after="0"/>
        <w:rPr>
          <w:sz w:val="20"/>
          <w:szCs w:val="20"/>
          <w:color w:val="auto"/>
        </w:rPr>
      </w:pPr>
      <w:r>
        <w:rPr>
          <w:rFonts w:ascii="Arial" w:cs="Arial" w:eastAsia="Arial" w:hAnsi="Arial"/>
          <w:sz w:val="17"/>
          <w:szCs w:val="17"/>
          <w:color w:val="auto"/>
        </w:rPr>
        <w:t>The name of the corporation is United Community Banks, Inc.</w:t>
      </w:r>
    </w:p>
    <w:p>
      <w:pPr>
        <w:spacing w:after="0" w:line="196" w:lineRule="exact"/>
        <w:rPr>
          <w:sz w:val="20"/>
          <w:szCs w:val="20"/>
          <w:color w:val="auto"/>
        </w:rPr>
      </w:pPr>
    </w:p>
    <w:p>
      <w:pPr>
        <w:jc w:val="right"/>
        <w:ind w:right="4959"/>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p>
      <w:pPr>
        <w:ind w:right="319"/>
        <w:spacing w:after="0" w:line="257" w:lineRule="auto"/>
        <w:rPr>
          <w:sz w:val="20"/>
          <w:szCs w:val="20"/>
          <w:color w:val="auto"/>
        </w:rPr>
      </w:pPr>
      <w:r>
        <w:rPr>
          <w:rFonts w:ascii="Arial" w:cs="Arial" w:eastAsia="Arial" w:hAnsi="Arial"/>
          <w:sz w:val="18"/>
          <w:szCs w:val="18"/>
          <w:color w:val="auto"/>
        </w:rPr>
        <w:t>In connection with the corporation’s reclassification of its common stock pursuant to which each 1 share of common stock is to be reclassified into one-fifth (1/5) of a share of common stock (so that, conversely, each 5 shares of such common stock is to be reclassified into 1 share of common stock), Section I of the Certificate of Designation of Common Stock Equivalent Junior Preferred Stock of United Community Banks, Inc. is amended by deleting the definition of “Initial Conversion Rate” therein and replacing it with the following in lieu thereof:</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“Initial Conversion Rate” means, for each share of Junior Preferred Stock, twenty (20) shares of Common Stock.</w:t>
      </w:r>
    </w:p>
    <w:p>
      <w:pPr>
        <w:spacing w:after="0" w:line="185" w:lineRule="exact"/>
        <w:rPr>
          <w:sz w:val="20"/>
          <w:szCs w:val="20"/>
          <w:color w:val="auto"/>
        </w:rPr>
      </w:pPr>
    </w:p>
    <w:p>
      <w:pPr>
        <w:ind w:right="319" w:firstLine="389"/>
        <w:spacing w:after="0" w:line="264" w:lineRule="auto"/>
        <w:rPr>
          <w:sz w:val="20"/>
          <w:szCs w:val="20"/>
          <w:color w:val="auto"/>
        </w:rPr>
      </w:pPr>
      <w:r>
        <w:rPr>
          <w:rFonts w:ascii="Arial" w:cs="Arial" w:eastAsia="Arial" w:hAnsi="Arial"/>
          <w:sz w:val="18"/>
          <w:szCs w:val="18"/>
          <w:color w:val="auto"/>
        </w:rPr>
        <w:t>In addition, in connection with such reclassification, the corporation hereby supplements the Certificate of Rights and Preferences of Series C Convertible Preferred Stock of United Community Banks, Inc. as set forth in the Supplemental Certificate of Rights and Preferences attached hereto as Exhibit A .</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Article V of the Restated Articles of Incorporation, as amended, of the corporation is amended by deleting the first paragraph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Article V and replacing it with the following in lieu thereof:</w:t>
      </w:r>
    </w:p>
    <w:p>
      <w:pPr>
        <w:spacing w:after="0" w:line="170" w:lineRule="exact"/>
        <w:rPr>
          <w:sz w:val="20"/>
          <w:szCs w:val="20"/>
          <w:color w:val="auto"/>
        </w:rPr>
      </w:pPr>
    </w:p>
    <w:p>
      <w:pPr>
        <w:ind w:left="740" w:right="179"/>
        <w:spacing w:after="0" w:line="270" w:lineRule="auto"/>
        <w:rPr>
          <w:sz w:val="20"/>
          <w:szCs w:val="20"/>
          <w:color w:val="auto"/>
        </w:rPr>
      </w:pPr>
      <w:r>
        <w:rPr>
          <w:rFonts w:ascii="Arial" w:cs="Arial" w:eastAsia="Arial" w:hAnsi="Arial"/>
          <w:sz w:val="17"/>
          <w:szCs w:val="17"/>
          <w:color w:val="auto"/>
        </w:rPr>
        <w:t>“The corporation shall have authority to issue 100,000,000 shares of common stock, $1.00 par value (the “Common Stock”), 26,000,000 shares of non-voting common stock, $1.00 par value (the “Non-Voting Common Stock”), having the powers, rights and preferences, and the qualifications, limitations and restrictions thereof, as set forth in Exhibit A attached hereto,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55" w:lineRule="exact"/>
        <w:rPr>
          <w:sz w:val="20"/>
          <w:szCs w:val="20"/>
          <w:color w:val="auto"/>
        </w:rPr>
      </w:pPr>
    </w:p>
    <w:p>
      <w:pPr>
        <w:ind w:right="239" w:firstLine="389"/>
        <w:spacing w:after="0" w:line="276" w:lineRule="auto"/>
        <w:rPr>
          <w:sz w:val="20"/>
          <w:szCs w:val="20"/>
          <w:color w:val="auto"/>
        </w:rPr>
      </w:pPr>
      <w:r>
        <w:rPr>
          <w:rFonts w:ascii="Arial" w:cs="Arial" w:eastAsia="Arial" w:hAnsi="Arial"/>
          <w:sz w:val="17"/>
          <w:szCs w:val="17"/>
          <w:color w:val="auto"/>
        </w:rPr>
        <w:t>The amendment to Article V of the Restated Articles of Incorporation, as amended, will result in each 1 share of the corporation’s common stock and each 1 share of the corporation’s non-voting common stock to be reclassified into one-fifth (1/5) of a share of common stock or non-voting common stock, respectively (so that, conversely, each 5 shares of such common stock or non-voting common stock is to be reclassified into 1 share of common stock or non-voting common stock, respectively). The $1.00 par value of the common stock and non-voting common stock will not change as a result of such reclassification.</w:t>
      </w:r>
    </w:p>
    <w:p>
      <w:pPr>
        <w:spacing w:after="0" w:line="200" w:lineRule="exact"/>
        <w:rPr>
          <w:sz w:val="20"/>
          <w:szCs w:val="20"/>
          <w:color w:val="auto"/>
        </w:rPr>
      </w:pP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71" w:name="page72"/>
    <w:bookmarkEnd w:id="71"/>
    <w:p>
      <w:pPr>
        <w:jc w:val="center"/>
        <w:ind w:right="179"/>
        <w:spacing w:after="0"/>
        <w:rPr>
          <w:sz w:val="20"/>
          <w:szCs w:val="20"/>
          <w:color w:val="auto"/>
        </w:rPr>
      </w:pPr>
      <w:r>
        <w:rPr>
          <w:rFonts w:ascii="Arial" w:cs="Arial" w:eastAsia="Arial" w:hAnsi="Arial"/>
          <w:sz w:val="18"/>
          <w:szCs w:val="18"/>
          <w:color w:val="auto"/>
        </w:rPr>
        <w:t>4.</w:t>
      </w:r>
    </w:p>
    <w:p>
      <w:pPr>
        <w:spacing w:after="0" w:line="198" w:lineRule="exact"/>
        <w:rPr>
          <w:sz w:val="20"/>
          <w:szCs w:val="20"/>
          <w:color w:val="auto"/>
        </w:rPr>
      </w:pPr>
    </w:p>
    <w:p>
      <w:pPr>
        <w:ind w:right="319" w:firstLine="389"/>
        <w:spacing w:after="0" w:line="264" w:lineRule="auto"/>
        <w:rPr>
          <w:sz w:val="20"/>
          <w:szCs w:val="20"/>
          <w:color w:val="auto"/>
        </w:rPr>
      </w:pPr>
      <w:r>
        <w:rPr>
          <w:rFonts w:ascii="Arial" w:cs="Arial" w:eastAsia="Arial" w:hAnsi="Arial"/>
          <w:sz w:val="18"/>
          <w:szCs w:val="18"/>
          <w:color w:val="auto"/>
        </w:rPr>
        <w:t>The amendment set for in Section 2 hereof was adopted by the board of directors of the corporation at a meeting duly convened and held on June 16, 2011, and shareholder approval was not required for such amendment pursuant to the Georgia Business Corporation Code.</w:t>
      </w:r>
    </w:p>
    <w:p>
      <w:pPr>
        <w:spacing w:after="0" w:line="141" w:lineRule="exact"/>
        <w:rPr>
          <w:sz w:val="20"/>
          <w:szCs w:val="20"/>
          <w:color w:val="auto"/>
        </w:rPr>
      </w:pPr>
    </w:p>
    <w:p>
      <w:pPr>
        <w:ind w:right="319" w:firstLine="389"/>
        <w:spacing w:after="0" w:line="264" w:lineRule="auto"/>
        <w:rPr>
          <w:sz w:val="20"/>
          <w:szCs w:val="20"/>
          <w:color w:val="auto"/>
        </w:rPr>
      </w:pPr>
      <w:r>
        <w:rPr>
          <w:rFonts w:ascii="Arial" w:cs="Arial" w:eastAsia="Arial" w:hAnsi="Arial"/>
          <w:sz w:val="18"/>
          <w:szCs w:val="18"/>
          <w:color w:val="auto"/>
        </w:rPr>
        <w:t>The amendment set for in Section 3 hereof was adopted by the board of directors of the corporation at a meeting duly convened and held on April 15, 2011 and duly approved by the shareholders of the corporation on June 16, 2011 in accordance with the provisions of Section 14-2-1003 of the Georgia Business Corporation Code.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effective time of these Articles of Amendment is at 5:01 p.m. on the date of the filing of these Articles of Amendment.</w:t>
      </w:r>
    </w:p>
    <w:p>
      <w:pPr>
        <w:spacing w:after="0" w:line="192" w:lineRule="exact"/>
        <w:rPr>
          <w:sz w:val="20"/>
          <w:szCs w:val="20"/>
          <w:color w:val="auto"/>
        </w:rPr>
      </w:pPr>
    </w:p>
    <w:p>
      <w:pPr>
        <w:ind w:right="1179" w:firstLine="389"/>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these Articles of Amendment to the Restated Articles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as amended, of United Community Banks, Inc. this 17th day of June, 2011.</w:t>
      </w:r>
    </w:p>
    <w:p>
      <w:pPr>
        <w:spacing w:after="0" w:line="162"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w:t>
      </w:r>
      <w:r>
        <w:rPr>
          <w:rFonts w:ascii="Arial" w:cs="Arial" w:eastAsia="Arial" w:hAnsi="Arial"/>
          <w:sz w:val="18"/>
          <w:szCs w:val="18"/>
          <w:color w:val="auto"/>
        </w:rPr>
        <w:t xml:space="preserve"> Rex S. Schuette</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-130810</wp:posOffset>
            </wp:positionV>
            <wp:extent cx="23837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4620"/>
        <w:spacing w:after="0"/>
        <w:tabs>
          <w:tab w:leader="none" w:pos="5180" w:val="left"/>
        </w:tabs>
        <w:rPr>
          <w:sz w:val="20"/>
          <w:szCs w:val="20"/>
          <w:color w:val="auto"/>
        </w:rPr>
      </w:pPr>
      <w:r>
        <w:rPr>
          <w:rFonts w:ascii="Arial" w:cs="Arial" w:eastAsia="Arial" w:hAnsi="Arial"/>
          <w:sz w:val="18"/>
          <w:szCs w:val="18"/>
          <w:color w:val="auto"/>
        </w:rPr>
        <w:t>Title:</w:t>
        <w:tab/>
        <w:t>EVP &amp; CFO</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72" w:name="page73"/>
    <w:bookmarkEnd w:id="72"/>
    <w:p>
      <w:pPr>
        <w:jc w:val="right"/>
        <w:ind w:right="159"/>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SUPPLEMENTAL CERTIFICATE OF RIGHTS AND PREFERENCES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SERIES C CONVERTIBLE PREFERRED STOCK</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UNITED COMMUNITY BANKS, INC.</w:t>
      </w:r>
    </w:p>
    <w:p>
      <w:pPr>
        <w:spacing w:after="0" w:line="170" w:lineRule="exact"/>
        <w:rPr>
          <w:sz w:val="20"/>
          <w:szCs w:val="20"/>
          <w:color w:val="auto"/>
        </w:rPr>
      </w:pPr>
    </w:p>
    <w:p>
      <w:pPr>
        <w:ind w:right="379" w:firstLine="389"/>
        <w:spacing w:after="0" w:line="259" w:lineRule="auto"/>
        <w:rPr>
          <w:sz w:val="20"/>
          <w:szCs w:val="20"/>
          <w:color w:val="auto"/>
        </w:rPr>
      </w:pPr>
      <w:r>
        <w:rPr>
          <w:rFonts w:ascii="Arial" w:cs="Arial" w:eastAsia="Arial" w:hAnsi="Arial"/>
          <w:sz w:val="18"/>
          <w:szCs w:val="18"/>
          <w:color w:val="auto"/>
        </w:rPr>
        <w:t>Pursuant to the authority vested in the Board of Directors (the “Board”) by the Restated Articles of Incorporation of United Community Banks, Inc. (the “ Corporation “), as amended (the “ Articles of Incorporation “), the Board does hereby supplement the Certificate of Rights and Preferences of Series C Convertible Preferred Stock of United Community Banks, Inc. (the “ Certificate “) by adding the following thereto:</w:t>
      </w:r>
    </w:p>
    <w:p>
      <w:pPr>
        <w:spacing w:after="0" w:line="146" w:lineRule="exact"/>
        <w:rPr>
          <w:sz w:val="20"/>
          <w:szCs w:val="20"/>
          <w:color w:val="auto"/>
        </w:rPr>
      </w:pPr>
    </w:p>
    <w:p>
      <w:pPr>
        <w:ind w:left="380" w:right="199" w:firstLine="373"/>
        <w:spacing w:after="0" w:line="293" w:lineRule="auto"/>
        <w:rPr>
          <w:sz w:val="20"/>
          <w:szCs w:val="20"/>
          <w:color w:val="auto"/>
        </w:rPr>
      </w:pPr>
      <w:r>
        <w:rPr>
          <w:rFonts w:ascii="Arial" w:cs="Arial" w:eastAsia="Arial" w:hAnsi="Arial"/>
          <w:sz w:val="16"/>
          <w:szCs w:val="16"/>
          <w:color w:val="auto"/>
        </w:rPr>
        <w:t>For purposes of clarification, if the Company at any time subdivides or combines (by, as applicable, any stock split, reverse stock split, stock dividend, other reclassification, recapitalization, reorganization or otherwise) the shares of Common Stock and/or Common Stock Equivalent Junior Preferred Stock into a greater or lesser number of shares, as the case may be, then, after the date of record for effecting each such transaction, all measurements and references herein related to Conversion Price and Redemption Price will be proportionately decreased or increased, respectively, and all references to share numbers for such securities herein will be proportionately increased or decreased, respectively, to reflect the effect of any such transaction.</w:t>
      </w:r>
    </w:p>
    <w:p>
      <w:pPr>
        <w:spacing w:after="0" w:line="138" w:lineRule="exact"/>
        <w:rPr>
          <w:sz w:val="20"/>
          <w:szCs w:val="20"/>
          <w:color w:val="auto"/>
        </w:rPr>
      </w:pPr>
    </w:p>
    <w:p>
      <w:pPr>
        <w:ind w:left="380" w:right="339" w:firstLine="373"/>
        <w:spacing w:after="0" w:line="297" w:lineRule="auto"/>
        <w:rPr>
          <w:sz w:val="20"/>
          <w:szCs w:val="20"/>
          <w:color w:val="auto"/>
        </w:rPr>
      </w:pPr>
      <w:r>
        <w:rPr>
          <w:rFonts w:ascii="Arial" w:cs="Arial" w:eastAsia="Arial" w:hAnsi="Arial"/>
          <w:sz w:val="16"/>
          <w:szCs w:val="16"/>
          <w:color w:val="auto"/>
        </w:rPr>
        <w:t>In addition, notwithstanding anything in the Certificate to the contrary, if the Company at any time combines (by any reverse stock split, recapitalization, reorganization, reclassification or otherwise) the shares of Common Stock and/or Common Stock Equivalent Junior Preferred Stock into a smaller number of shares, then, after the date of record for effecting each such transaction, all measurements and references herein related to share prices for such securities will be proportionately increased and all references to share numbers for such securities herein will be proportionately decreased.</w:t>
      </w:r>
    </w:p>
    <w:p>
      <w:pPr>
        <w:spacing w:after="0" w:line="200" w:lineRule="exact"/>
        <w:rPr>
          <w:sz w:val="20"/>
          <w:szCs w:val="20"/>
          <w:color w:val="auto"/>
        </w:rPr>
      </w:pP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3" w:name="page74"/>
    <w:bookmarkEnd w:id="73"/>
    <w:p>
      <w:pPr>
        <w:jc w:val="center"/>
        <w:ind w:right="179"/>
        <w:spacing w:after="0"/>
        <w:rPr>
          <w:sz w:val="20"/>
          <w:szCs w:val="20"/>
          <w:color w:val="auto"/>
        </w:rPr>
      </w:pPr>
      <w:r>
        <w:rPr>
          <w:rFonts w:ascii="Arial" w:cs="Arial" w:eastAsia="Arial" w:hAnsi="Arial"/>
          <w:sz w:val="18"/>
          <w:szCs w:val="18"/>
          <w:b w:val="1"/>
          <w:bCs w:val="1"/>
          <w:color w:val="auto"/>
        </w:rPr>
        <w:t>ARTICLES OF AMENDMENT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UNITED COMMUNITY BANKS, INC.</w:t>
      </w:r>
    </w:p>
    <w:p>
      <w:pPr>
        <w:spacing w:after="0" w:line="184" w:lineRule="exact"/>
        <w:rPr>
          <w:sz w:val="20"/>
          <w:szCs w:val="20"/>
          <w:color w:val="auto"/>
        </w:rPr>
      </w:pPr>
    </w:p>
    <w:p>
      <w:pPr>
        <w:jc w:val="right"/>
        <w:ind w:right="4959"/>
        <w:spacing w:after="0"/>
        <w:rPr>
          <w:sz w:val="20"/>
          <w:szCs w:val="20"/>
          <w:color w:val="auto"/>
        </w:rPr>
      </w:pPr>
      <w:r>
        <w:rPr>
          <w:rFonts w:ascii="Arial" w:cs="Arial" w:eastAsia="Arial" w:hAnsi="Arial"/>
          <w:sz w:val="18"/>
          <w:szCs w:val="18"/>
          <w:color w:val="auto"/>
        </w:rPr>
        <w:t>1.</w:t>
      </w:r>
    </w:p>
    <w:p>
      <w:pPr>
        <w:spacing w:after="0" w:line="185" w:lineRule="exact"/>
        <w:rPr>
          <w:sz w:val="20"/>
          <w:szCs w:val="20"/>
          <w:color w:val="auto"/>
        </w:rPr>
      </w:pPr>
    </w:p>
    <w:p>
      <w:pPr>
        <w:jc w:val="right"/>
        <w:ind w:right="4979"/>
        <w:spacing w:after="0"/>
        <w:rPr>
          <w:sz w:val="20"/>
          <w:szCs w:val="20"/>
          <w:color w:val="auto"/>
        </w:rPr>
      </w:pPr>
      <w:r>
        <w:rPr>
          <w:rFonts w:ascii="Arial" w:cs="Arial" w:eastAsia="Arial" w:hAnsi="Arial"/>
          <w:sz w:val="17"/>
          <w:szCs w:val="17"/>
          <w:color w:val="auto"/>
        </w:rPr>
        <w:t>The name of the corporation is United Community Banks, Inc.</w:t>
      </w:r>
    </w:p>
    <w:p>
      <w:pPr>
        <w:spacing w:after="0" w:line="196" w:lineRule="exact"/>
        <w:rPr>
          <w:sz w:val="20"/>
          <w:szCs w:val="20"/>
          <w:color w:val="auto"/>
        </w:rPr>
      </w:pPr>
    </w:p>
    <w:p>
      <w:pPr>
        <w:jc w:val="right"/>
        <w:ind w:right="4959"/>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p>
      <w:pPr>
        <w:ind w:right="559" w:firstLine="389"/>
        <w:spacing w:after="0" w:line="279" w:lineRule="auto"/>
        <w:rPr>
          <w:sz w:val="20"/>
          <w:szCs w:val="20"/>
          <w:color w:val="auto"/>
        </w:rPr>
      </w:pPr>
      <w:r>
        <w:rPr>
          <w:rFonts w:ascii="Arial" w:cs="Arial" w:eastAsia="Arial" w:hAnsi="Arial"/>
          <w:sz w:val="17"/>
          <w:szCs w:val="17"/>
          <w:color w:val="auto"/>
        </w:rPr>
        <w:t xml:space="preserve">The Restated Articles of Incorporation, as amended, of the corporation are amended by adding the powers, rights, and preferences, and the qualifications, limitations, and restrictions thereof, of the Mandatorily Convertible Cumulative Non-Voting Perpetual Preferred Stock, Series F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and Mandatorily Convertible Cumulative Non-Voting Perpetual Preferred Non-Voting Stock, Series G as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185" w:lineRule="exact"/>
        <w:rPr>
          <w:sz w:val="20"/>
          <w:szCs w:val="20"/>
          <w:color w:val="auto"/>
        </w:rPr>
      </w:pPr>
    </w:p>
    <w:p>
      <w:pPr>
        <w:ind w:right="559" w:firstLine="389"/>
        <w:spacing w:after="0" w:line="264" w:lineRule="auto"/>
        <w:rPr>
          <w:sz w:val="20"/>
          <w:szCs w:val="20"/>
          <w:color w:val="auto"/>
        </w:rPr>
      </w:pPr>
      <w:r>
        <w:rPr>
          <w:rFonts w:ascii="Arial" w:cs="Arial" w:eastAsia="Arial" w:hAnsi="Arial"/>
          <w:sz w:val="18"/>
          <w:szCs w:val="18"/>
          <w:color w:val="auto"/>
        </w:rPr>
        <w:t>The amendment was adopted by the board of directors of the corporation at a meeting duly convened and held on March 14, 2011. Pursuant to O.C.G.A. § 14-2-602 and Article V of the Restated Articles of Incorporation, as amended, of the corporation, shareholder consent was not required.</w:t>
      </w:r>
    </w:p>
    <w:p>
      <w:pPr>
        <w:spacing w:after="0" w:line="150" w:lineRule="exact"/>
        <w:rPr>
          <w:sz w:val="20"/>
          <w:szCs w:val="20"/>
          <w:color w:val="auto"/>
        </w:rPr>
      </w:pPr>
    </w:p>
    <w:p>
      <w:pPr>
        <w:ind w:right="1179" w:firstLine="389"/>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these Articles of Amendment to the Restated Articles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as amended, of United Community Banks, Inc. this 29th day of March, 2011.</w:t>
      </w:r>
    </w:p>
    <w:p>
      <w:pPr>
        <w:spacing w:after="0" w:line="162"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 /s/ Rex S. Schuette</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Name: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-130810</wp:posOffset>
            </wp:positionV>
            <wp:extent cx="23926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4600"/>
        <w:spacing w:after="0"/>
        <w:tabs>
          <w:tab w:leader="none" w:pos="5160" w:val="left"/>
        </w:tabs>
        <w:rPr>
          <w:sz w:val="20"/>
          <w:szCs w:val="20"/>
          <w:color w:val="auto"/>
        </w:rPr>
      </w:pPr>
      <w:r>
        <w:rPr>
          <w:rFonts w:ascii="Arial" w:cs="Arial" w:eastAsia="Arial" w:hAnsi="Arial"/>
          <w:sz w:val="18"/>
          <w:szCs w:val="18"/>
          <w:color w:val="auto"/>
        </w:rPr>
        <w:t>Title:</w:t>
        <w:tab/>
        <w:t>Executive Vice President and Chief</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638175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4" w:name="page75"/>
    <w:bookmarkEnd w:id="74"/>
    <w:p>
      <w:pPr>
        <w:jc w:val="center"/>
        <w:ind w:right="179"/>
        <w:spacing w:after="0"/>
        <w:rPr>
          <w:sz w:val="20"/>
          <w:szCs w:val="20"/>
          <w:color w:val="auto"/>
        </w:rPr>
      </w:pPr>
      <w:r>
        <w:rPr>
          <w:rFonts w:ascii="Arial" w:cs="Arial" w:eastAsia="Arial" w:hAnsi="Arial"/>
          <w:sz w:val="18"/>
          <w:szCs w:val="18"/>
          <w:b w:val="1"/>
          <w:bCs w:val="1"/>
          <w:color w:val="auto"/>
        </w:rPr>
        <w:t>EXHIBIT A</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DESIGNATIONS, POWERS, PREFERENCES,</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LIMITATIONS, RESTRICTIONS, AND RELATIVE RIGHTS</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MANDATORILY CONVERTIBLE CUMULATIVE NON-VOTING PERPETUAL PREFERRED STOCK, SERIES F</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UNITED COMMUNITY BANKS, INC.</w:t>
      </w:r>
    </w:p>
    <w:p>
      <w:pPr>
        <w:spacing w:after="0" w:line="185" w:lineRule="exact"/>
        <w:rPr>
          <w:sz w:val="20"/>
          <w:szCs w:val="20"/>
          <w:color w:val="auto"/>
        </w:rPr>
      </w:pPr>
    </w:p>
    <w:p>
      <w:pPr>
        <w:ind w:right="219" w:firstLine="778"/>
        <w:spacing w:after="0" w:line="282"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IRST</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 of the Corporation is</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NITED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OMMUNITY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ANKS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and existing under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Georgia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21" w:lineRule="exact"/>
        <w:rPr>
          <w:sz w:val="20"/>
          <w:szCs w:val="20"/>
          <w:color w:val="auto"/>
        </w:rPr>
      </w:pPr>
    </w:p>
    <w:p>
      <w:pPr>
        <w:ind w:right="299" w:firstLine="778"/>
        <w:spacing w:after="0" w:line="277" w:lineRule="auto"/>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ECOND</w:t>
      </w:r>
      <w:r>
        <w:rPr>
          <w:rFonts w:ascii="Arial" w:cs="Arial" w:eastAsia="Arial" w:hAnsi="Arial"/>
          <w:sz w:val="17"/>
          <w:szCs w:val="17"/>
          <w:b w:val="1"/>
          <w:bCs w:val="1"/>
          <w:color w:val="auto"/>
        </w:rPr>
        <w:t xml:space="preserve">: </w:t>
      </w:r>
      <w:r>
        <w:rPr>
          <w:rFonts w:ascii="Arial" w:cs="Arial" w:eastAsia="Arial" w:hAnsi="Arial"/>
          <w:sz w:val="17"/>
          <w:szCs w:val="17"/>
          <w:color w:val="auto"/>
        </w:rPr>
        <w:t>The Restated Articles of Incorporation of the Corporation, as amended, authorize the issuance of 10,000,000</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preferred stock, par value $1.00 per share, of the Corporation (“</w:t>
      </w:r>
      <w:r>
        <w:rPr>
          <w:rFonts w:ascii="Arial" w:cs="Arial" w:eastAsia="Arial" w:hAnsi="Arial"/>
          <w:sz w:val="17"/>
          <w:szCs w:val="17"/>
          <w:u w:val="single" w:color="auto"/>
          <w:color w:val="auto"/>
        </w:rPr>
        <w:t>Preferred Stock</w:t>
      </w:r>
      <w:r>
        <w:rPr>
          <w:rFonts w:ascii="Arial" w:cs="Arial" w:eastAsia="Arial" w:hAnsi="Arial"/>
          <w:sz w:val="17"/>
          <w:szCs w:val="17"/>
          <w:color w:val="auto"/>
        </w:rPr>
        <w:t>”) in one or more series, and authorizes the Board of Directors of the Corporation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to fix by resolution or resolutions the designation and number of shares of such series, and the voting and other powers, preferences and relative, participating, optional or other special rights, and the qualifications, limitations and restrictions thereof, of the shares of such series.</w:t>
      </w:r>
    </w:p>
    <w:p>
      <w:pPr>
        <w:spacing w:after="0" w:line="141" w:lineRule="exact"/>
        <w:rPr>
          <w:sz w:val="20"/>
          <w:szCs w:val="20"/>
          <w:color w:val="auto"/>
        </w:rPr>
      </w:pPr>
    </w:p>
    <w:p>
      <w:pPr>
        <w:jc w:val="both"/>
        <w:ind w:right="319" w:firstLine="778"/>
        <w:spacing w:after="0" w:line="26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HIRD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following resolution was duly adopted by the Board of Directors as required by O.C.G.A. § 14-2-602 and</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V of the Restated Articles of Incorporation at a meeting duly convened and held on March 14, 2011, at which a quorum was present and acting throughout.</w:t>
      </w:r>
    </w:p>
    <w:p>
      <w:pPr>
        <w:spacing w:after="0" w:line="136" w:lineRule="exact"/>
        <w:rPr>
          <w:sz w:val="20"/>
          <w:szCs w:val="20"/>
          <w:color w:val="auto"/>
        </w:rPr>
      </w:pPr>
    </w:p>
    <w:p>
      <w:pPr>
        <w:ind w:right="359" w:firstLine="778"/>
        <w:spacing w:after="0" w:line="303" w:lineRule="auto"/>
        <w:rPr>
          <w:sz w:val="20"/>
          <w:szCs w:val="20"/>
          <w:color w:val="auto"/>
        </w:rPr>
      </w:pPr>
      <w:r>
        <w:rPr>
          <w:rFonts w:ascii="Arial" w:cs="Arial" w:eastAsia="Arial" w:hAnsi="Arial"/>
          <w:sz w:val="16"/>
          <w:szCs w:val="16"/>
          <w:b w:val="1"/>
          <w:bCs w:val="1"/>
          <w:color w:val="auto"/>
        </w:rPr>
        <w:t>R</w:t>
      </w:r>
      <w:r>
        <w:rPr>
          <w:rFonts w:ascii="Arial" w:cs="Arial" w:eastAsia="Arial" w:hAnsi="Arial"/>
          <w:sz w:val="11"/>
          <w:szCs w:val="11"/>
          <w:b w:val="1"/>
          <w:bCs w:val="1"/>
          <w:color w:val="auto"/>
        </w:rPr>
        <w:t>ESOLVED</w:t>
      </w:r>
      <w:r>
        <w:rPr>
          <w:rFonts w:ascii="Arial" w:cs="Arial" w:eastAsia="Arial" w:hAnsi="Arial"/>
          <w:sz w:val="16"/>
          <w:szCs w:val="16"/>
          <w:b w:val="1"/>
          <w:bCs w:val="1"/>
          <w:color w:val="auto"/>
        </w:rPr>
        <w:t xml:space="preserve">, </w:t>
      </w:r>
      <w:r>
        <w:rPr>
          <w:rFonts w:ascii="Arial" w:cs="Arial" w:eastAsia="Arial" w:hAnsi="Arial"/>
          <w:sz w:val="16"/>
          <w:szCs w:val="16"/>
          <w:color w:val="auto"/>
        </w:rPr>
        <w:t>that pursuant to the provisions of the Restated Articles of Incorporation of the Corporation, as amended, and</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a series of Preferred Stock, par value $1.00 per share, of the Corporation be and hereby is created, and that the designation and number of shares of such series, and the voting and other powers, preferences and relative, participating, optional or other rights, and the qualifications, limitations and restrictions thereof, of the shares of such series, are as follows: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RIGHTS AND PREFERENCES</w:t>
      </w:r>
    </w:p>
    <w:p>
      <w:pPr>
        <w:spacing w:after="0" w:line="202" w:lineRule="exact"/>
        <w:rPr>
          <w:sz w:val="20"/>
          <w:szCs w:val="20"/>
          <w:color w:val="auto"/>
        </w:rPr>
      </w:pPr>
    </w:p>
    <w:p>
      <w:pPr>
        <w:ind w:right="219" w:firstLine="778"/>
        <w:spacing w:after="0" w:line="279" w:lineRule="auto"/>
        <w:rPr>
          <w:sz w:val="20"/>
          <w:szCs w:val="20"/>
          <w:color w:val="auto"/>
        </w:rPr>
      </w:pPr>
      <w:r>
        <w:rPr>
          <w:rFonts w:ascii="Arial" w:cs="Arial" w:eastAsia="Arial" w:hAnsi="Arial"/>
          <w:sz w:val="17"/>
          <w:szCs w:val="17"/>
          <w:i w:val="1"/>
          <w:iCs w:val="1"/>
          <w:color w:val="auto"/>
        </w:rPr>
        <w:t xml:space="preserve">Section 1. Designation. </w:t>
      </w:r>
      <w:r>
        <w:rPr>
          <w:rFonts w:ascii="Arial" w:cs="Arial" w:eastAsia="Arial" w:hAnsi="Arial"/>
          <w:sz w:val="17"/>
          <w:szCs w:val="17"/>
          <w:color w:val="auto"/>
        </w:rPr>
        <w:t>There is hereby created out of the authorized and unissued shares of preferred stock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a series of preferred stock designated as the “Mandatorily Convertible Cumulative Non-Voting Perpetual Preferred Stock, Series F” (the “</w:t>
      </w:r>
      <w:r>
        <w:rPr>
          <w:rFonts w:ascii="Arial" w:cs="Arial" w:eastAsia="Arial" w:hAnsi="Arial"/>
          <w:sz w:val="17"/>
          <w:szCs w:val="17"/>
          <w:u w:val="single" w:color="auto"/>
          <w:color w:val="auto"/>
        </w:rPr>
        <w:t>Series F Preferred Stock</w:t>
      </w:r>
      <w:r>
        <w:rPr>
          <w:rFonts w:ascii="Arial" w:cs="Arial" w:eastAsia="Arial" w:hAnsi="Arial"/>
          <w:sz w:val="17"/>
          <w:szCs w:val="17"/>
          <w:color w:val="auto"/>
        </w:rPr>
        <w:t>”). The number of shares constituting such series shall be 195,872. The par value of the Series F Preferred Stock shall be $1.00 per share, and the liquidation preference shall be $1,000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613410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337" w:right="1440" w:bottom="1440" w:gutter="0" w:footer="0" w:header="0"/>
        </w:sectPr>
      </w:pPr>
    </w:p>
    <w:bookmarkStart w:id="75" w:name="page76"/>
    <w:bookmarkEnd w:id="75"/>
    <w:p>
      <w:pPr>
        <w:ind w:right="159" w:firstLine="778"/>
        <w:spacing w:after="0" w:line="286" w:lineRule="auto"/>
        <w:rPr>
          <w:sz w:val="20"/>
          <w:szCs w:val="20"/>
          <w:color w:val="auto"/>
        </w:rPr>
      </w:pPr>
      <w:r>
        <w:rPr>
          <w:rFonts w:ascii="Arial" w:cs="Arial" w:eastAsia="Arial" w:hAnsi="Arial"/>
          <w:sz w:val="16"/>
          <w:szCs w:val="16"/>
          <w:i w:val="1"/>
          <w:iCs w:val="1"/>
          <w:color w:val="auto"/>
        </w:rPr>
        <w:t>Section 2. Ranking</w:t>
      </w:r>
      <w:r>
        <w:rPr>
          <w:rFonts w:ascii="Arial" w:cs="Arial" w:eastAsia="Arial" w:hAnsi="Arial"/>
          <w:sz w:val="16"/>
          <w:szCs w:val="16"/>
          <w:color w:val="auto"/>
        </w:rPr>
        <w:t>. The Series F Preferred Stock will, with respect to dividend rights and rights on liquidation, winding up</w:t>
      </w:r>
      <w:r>
        <w:rPr>
          <w:rFonts w:ascii="Arial" w:cs="Arial" w:eastAsia="Arial" w:hAnsi="Arial"/>
          <w:sz w:val="16"/>
          <w:szCs w:val="16"/>
          <w:i w:val="1"/>
          <w:iCs w:val="1"/>
          <w:color w:val="auto"/>
        </w:rPr>
        <w:t xml:space="preserve"> </w:t>
      </w:r>
      <w:r>
        <w:rPr>
          <w:rFonts w:ascii="Arial" w:cs="Arial" w:eastAsia="Arial" w:hAnsi="Arial"/>
          <w:sz w:val="16"/>
          <w:szCs w:val="16"/>
          <w:color w:val="auto"/>
        </w:rPr>
        <w:t>and dissolution, rank (i) on a parity with the Corporation’s Series A Non-Cumulative Preferred Stock, the Fixed Rate Cumulative Perpetual Preferred Stock, Series B, the Series C Fixed Rate Cumulative Perpetual Preferred Stock, the Cumulative Perpetual Preferred Stock, Series D, the Junior Participating Preferred Stock, Series E, the Series G Mandatorily Convertible Perpetual Preferred Stock (the “</w:t>
      </w:r>
      <w:r>
        <w:rPr>
          <w:rFonts w:ascii="Arial" w:cs="Arial" w:eastAsia="Arial" w:hAnsi="Arial"/>
          <w:sz w:val="16"/>
          <w:szCs w:val="16"/>
          <w:u w:val="single" w:color="auto"/>
          <w:color w:val="auto"/>
        </w:rPr>
        <w:t>Series G Preferred Stock</w:t>
      </w:r>
      <w:r>
        <w:rPr>
          <w:rFonts w:ascii="Arial" w:cs="Arial" w:eastAsia="Arial" w:hAnsi="Arial"/>
          <w:sz w:val="16"/>
          <w:szCs w:val="16"/>
          <w:color w:val="auto"/>
        </w:rPr>
        <w:t>”) and with each other class or series of equity securities of the Corporation the terms of which do not expressly provide that such class or series will rank senior or junior to the Series F Preferred Stock as to dividend rights and rights on liquidation, winding-up and dissolution of the Corporation (collectively referred to as “</w:t>
      </w:r>
      <w:r>
        <w:rPr>
          <w:rFonts w:ascii="Arial" w:cs="Arial" w:eastAsia="Arial" w:hAnsi="Arial"/>
          <w:sz w:val="16"/>
          <w:szCs w:val="16"/>
          <w:u w:val="single" w:color="auto"/>
          <w:color w:val="auto"/>
        </w:rPr>
        <w:t>Parity Securities</w:t>
      </w:r>
      <w:r>
        <w:rPr>
          <w:rFonts w:ascii="Arial" w:cs="Arial" w:eastAsia="Arial" w:hAnsi="Arial"/>
          <w:sz w:val="16"/>
          <w:szCs w:val="16"/>
          <w:color w:val="auto"/>
        </w:rPr>
        <w:t>”), and (ii) senior to the Corporation’s common stock, par value $1.00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the Corporation’s non-voting common stock, par value $1.00 per share (the “</w:t>
      </w:r>
      <w:r>
        <w:rPr>
          <w:rFonts w:ascii="Arial" w:cs="Arial" w:eastAsia="Arial" w:hAnsi="Arial"/>
          <w:sz w:val="16"/>
          <w:szCs w:val="16"/>
          <w:u w:val="single" w:color="auto"/>
          <w:color w:val="auto"/>
        </w:rPr>
        <w:t>Non-Voting Common Stock</w:t>
      </w:r>
      <w:r>
        <w:rPr>
          <w:rFonts w:ascii="Arial" w:cs="Arial" w:eastAsia="Arial" w:hAnsi="Arial"/>
          <w:sz w:val="16"/>
          <w:szCs w:val="16"/>
          <w:color w:val="auto"/>
        </w:rPr>
        <w:t>” and, together with the Common Stock, the “</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and each other class or series of capital stock of the Corporation outstanding or established after the Effective Date by the Corporation the terms of which do not expressly provide that it ranks on a parity with or senior to the Series F Preferred Stock as to dividend rights and rights on liquidation, winding-up and dissolution of the Corporation (collectively referred to as “</w:t>
      </w:r>
      <w:r>
        <w:rPr>
          <w:rFonts w:ascii="Arial" w:cs="Arial" w:eastAsia="Arial" w:hAnsi="Arial"/>
          <w:sz w:val="16"/>
          <w:szCs w:val="16"/>
          <w:u w:val="single" w:color="auto"/>
          <w:color w:val="auto"/>
        </w:rPr>
        <w:t>Junior Securities</w:t>
      </w:r>
      <w:r>
        <w:rPr>
          <w:rFonts w:ascii="Arial" w:cs="Arial" w:eastAsia="Arial" w:hAnsi="Arial"/>
          <w:sz w:val="16"/>
          <w:szCs w:val="16"/>
          <w:color w:val="auto"/>
        </w:rPr>
        <w:t>”). The Corporation has the power to authorize and/or issue additional shares or classes or series of Junior Securities without the consent of the Holders.</w:t>
      </w:r>
    </w:p>
    <w:p>
      <w:pPr>
        <w:spacing w:after="0" w:line="148" w:lineRule="exact"/>
        <w:rPr>
          <w:sz w:val="20"/>
          <w:szCs w:val="20"/>
          <w:color w:val="auto"/>
        </w:rPr>
      </w:pPr>
    </w:p>
    <w:p>
      <w:pPr>
        <w:ind w:right="559" w:firstLine="778"/>
        <w:spacing w:after="0" w:line="277" w:lineRule="auto"/>
        <w:rPr>
          <w:sz w:val="20"/>
          <w:szCs w:val="20"/>
          <w:color w:val="auto"/>
        </w:rPr>
      </w:pPr>
      <w:r>
        <w:rPr>
          <w:rFonts w:ascii="Arial" w:cs="Arial" w:eastAsia="Arial" w:hAnsi="Arial"/>
          <w:sz w:val="18"/>
          <w:szCs w:val="18"/>
          <w:i w:val="1"/>
          <w:iCs w:val="1"/>
          <w:color w:val="auto"/>
        </w:rPr>
        <w:t>Section 3. Definitions</w:t>
      </w:r>
      <w:r>
        <w:rPr>
          <w:rFonts w:ascii="Arial" w:cs="Arial" w:eastAsia="Arial" w:hAnsi="Arial"/>
          <w:sz w:val="18"/>
          <w:szCs w:val="18"/>
          <w:color w:val="auto"/>
        </w:rPr>
        <w:t>. The following initially capitalized terms shall have the following meanings, whether used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singular or the plural:</w:t>
      </w:r>
    </w:p>
    <w:p>
      <w:pPr>
        <w:spacing w:after="0" w:line="130" w:lineRule="exact"/>
        <w:rPr>
          <w:sz w:val="20"/>
          <w:szCs w:val="20"/>
          <w:color w:val="auto"/>
        </w:rPr>
      </w:pPr>
    </w:p>
    <w:p>
      <w:pPr>
        <w:ind w:right="199" w:firstLine="770"/>
        <w:spacing w:after="0" w:line="302" w:lineRule="auto"/>
        <w:tabs>
          <w:tab w:leader="none" w:pos="1023" w:val="left"/>
        </w:tabs>
        <w:numPr>
          <w:ilvl w:val="0"/>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of any specified Person means any other Person directly or indirectly controlling or controlled by or under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13" w:lineRule="exact"/>
        <w:rPr>
          <w:rFonts w:ascii="Arial" w:cs="Arial" w:eastAsia="Arial" w:hAnsi="Arial"/>
          <w:sz w:val="16"/>
          <w:szCs w:val="16"/>
          <w:color w:val="auto"/>
        </w:rPr>
      </w:pPr>
    </w:p>
    <w:p>
      <w:pPr>
        <w:ind w:left="1020" w:hanging="250"/>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Conversion Price</w:t>
      </w:r>
      <w:r>
        <w:rPr>
          <w:rFonts w:ascii="Arial" w:cs="Arial" w:eastAsia="Arial" w:hAnsi="Arial"/>
          <w:sz w:val="18"/>
          <w:szCs w:val="18"/>
          <w:color w:val="auto"/>
        </w:rPr>
        <w:t>” means the Conversion Price in effect at any given time.</w:t>
      </w:r>
    </w:p>
    <w:p>
      <w:pPr>
        <w:spacing w:after="0" w:line="198" w:lineRule="exact"/>
        <w:rPr>
          <w:rFonts w:ascii="Arial" w:cs="Arial" w:eastAsia="Arial" w:hAnsi="Arial"/>
          <w:sz w:val="18"/>
          <w:szCs w:val="18"/>
          <w:color w:val="auto"/>
        </w:rPr>
      </w:pPr>
    </w:p>
    <w:p>
      <w:pPr>
        <w:ind w:left="1020" w:hanging="250"/>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means the Restated Articles of Incorporation of the Corporation, as amended.</w:t>
      </w:r>
    </w:p>
    <w:p>
      <w:pPr>
        <w:spacing w:after="0" w:line="184" w:lineRule="exact"/>
        <w:rPr>
          <w:rFonts w:ascii="Arial" w:cs="Arial" w:eastAsia="Arial" w:hAnsi="Arial"/>
          <w:sz w:val="18"/>
          <w:szCs w:val="18"/>
          <w:color w:val="auto"/>
        </w:rPr>
      </w:pPr>
    </w:p>
    <w:p>
      <w:pPr>
        <w:ind w:right="299" w:firstLine="770"/>
        <w:spacing w:after="0" w:line="255" w:lineRule="auto"/>
        <w:tabs>
          <w:tab w:leader="none" w:pos="1033"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As-Converted Dividend</w:t>
      </w:r>
      <w:r>
        <w:rPr>
          <w:rFonts w:ascii="Arial" w:cs="Arial" w:eastAsia="Arial" w:hAnsi="Arial"/>
          <w:sz w:val="18"/>
          <w:szCs w:val="18"/>
          <w:color w:val="auto"/>
        </w:rPr>
        <w:t xml:space="preserve">” means, with respect to any Dividend Period, the product of (i) the pro forma per share semi-annual Common Stock dividend derived by (A) annualizing the last dividend declared during such Dividend Period on the Common Stock and (B) dividing such annualized dividend by two and (ii) the number of shares of Common Stock into which a share of Series F Preferred Stock would then be convertible (assuming receipt of the Stockholder Approval);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any Dividend Period with respect to which no dividend on the Common Stock has been declared, the As-Converted Dividend shall be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635635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76" w:name="page77"/>
    <w:bookmarkEnd w:id="76"/>
    <w:p>
      <w:pPr>
        <w:ind w:left="1020" w:hanging="250"/>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w:t>
      </w:r>
      <w:r>
        <w:rPr>
          <w:rFonts w:ascii="Arial" w:cs="Arial" w:eastAsia="Arial" w:hAnsi="Arial"/>
          <w:sz w:val="18"/>
          <w:szCs w:val="18"/>
          <w:color w:val="auto"/>
        </w:rPr>
        <w:t>” means the Bank Holding Company Act of 1956, as amended.</w:t>
      </w:r>
    </w:p>
    <w:p>
      <w:pPr>
        <w:spacing w:after="0" w:line="198" w:lineRule="exact"/>
        <w:rPr>
          <w:rFonts w:ascii="Arial" w:cs="Arial" w:eastAsia="Arial" w:hAnsi="Arial"/>
          <w:sz w:val="18"/>
          <w:szCs w:val="18"/>
          <w:color w:val="auto"/>
        </w:rPr>
      </w:pPr>
    </w:p>
    <w:p>
      <w:pPr>
        <w:ind w:right="359" w:firstLine="770"/>
        <w:spacing w:after="0" w:line="308" w:lineRule="auto"/>
        <w:tabs>
          <w:tab w:leader="none" w:pos="1003" w:val="left"/>
        </w:tabs>
        <w:numPr>
          <w:ilvl w:val="0"/>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BHC Affiliated Person</w:t>
      </w:r>
      <w:r>
        <w:rPr>
          <w:rFonts w:ascii="Arial" w:cs="Arial" w:eastAsia="Arial" w:hAnsi="Arial"/>
          <w:sz w:val="17"/>
          <w:szCs w:val="17"/>
          <w:color w:val="auto"/>
        </w:rPr>
        <w:t>” means, with respect to any Person, its Affiliates which for purposes of this definition include all “affiliates” as defined in the BHC Act or Regulation Y of the Board of Governors of the Federal Reserve.</w:t>
      </w:r>
    </w:p>
    <w:p>
      <w:pPr>
        <w:spacing w:after="0" w:line="106" w:lineRule="exact"/>
        <w:rPr>
          <w:rFonts w:ascii="Arial" w:cs="Arial" w:eastAsia="Arial" w:hAnsi="Arial"/>
          <w:sz w:val="17"/>
          <w:szCs w:val="17"/>
          <w:color w:val="auto"/>
        </w:rPr>
      </w:pPr>
    </w:p>
    <w:p>
      <w:pPr>
        <w:ind w:right="779" w:firstLine="770"/>
        <w:spacing w:after="0" w:line="277" w:lineRule="auto"/>
        <w:tabs>
          <w:tab w:leader="none" w:pos="1033"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Saturday or Sunday and that, in New York City, is not a day on which banking institutions generally are authorized or obligated by law or executive order to be closed.</w:t>
      </w:r>
    </w:p>
    <w:p>
      <w:pPr>
        <w:spacing w:after="0" w:line="129" w:lineRule="exact"/>
        <w:rPr>
          <w:rFonts w:ascii="Arial" w:cs="Arial" w:eastAsia="Arial" w:hAnsi="Arial"/>
          <w:sz w:val="18"/>
          <w:szCs w:val="18"/>
          <w:color w:val="auto"/>
        </w:rPr>
      </w:pPr>
    </w:p>
    <w:p>
      <w:pPr>
        <w:ind w:left="1020" w:hanging="250"/>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Designations</w:t>
      </w:r>
      <w:r>
        <w:rPr>
          <w:rFonts w:ascii="Arial" w:cs="Arial" w:eastAsia="Arial" w:hAnsi="Arial"/>
          <w:sz w:val="16"/>
          <w:szCs w:val="16"/>
          <w:color w:val="auto"/>
        </w:rPr>
        <w:t>” means the Articles of Amendment to the Articles of Incorporation, dated March 29, 2011.</w:t>
      </w:r>
    </w:p>
    <w:p>
      <w:pPr>
        <w:spacing w:after="0" w:line="221" w:lineRule="exact"/>
        <w:rPr>
          <w:rFonts w:ascii="Arial" w:cs="Arial" w:eastAsia="Arial" w:hAnsi="Arial"/>
          <w:sz w:val="16"/>
          <w:szCs w:val="16"/>
          <w:color w:val="auto"/>
        </w:rPr>
      </w:pPr>
    </w:p>
    <w:p>
      <w:pPr>
        <w:ind w:left="980" w:hanging="210"/>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CIBC Act</w:t>
      </w:r>
      <w:r>
        <w:rPr>
          <w:rFonts w:ascii="Arial" w:cs="Arial" w:eastAsia="Arial" w:hAnsi="Arial"/>
          <w:sz w:val="18"/>
          <w:szCs w:val="18"/>
          <w:color w:val="auto"/>
        </w:rPr>
        <w:t>” means the Change in Bank Control Act of 1978, as amended.</w:t>
      </w:r>
    </w:p>
    <w:p>
      <w:pPr>
        <w:spacing w:after="0" w:line="184" w:lineRule="exact"/>
        <w:rPr>
          <w:rFonts w:ascii="Arial" w:cs="Arial" w:eastAsia="Arial" w:hAnsi="Arial"/>
          <w:sz w:val="18"/>
          <w:szCs w:val="18"/>
          <w:color w:val="auto"/>
        </w:rPr>
      </w:pPr>
    </w:p>
    <w:p>
      <w:pPr>
        <w:ind w:right="199" w:firstLine="770"/>
        <w:spacing w:after="0" w:line="286" w:lineRule="auto"/>
        <w:tabs>
          <w:tab w:leader="none" w:pos="993"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Price</w:t>
      </w:r>
      <w:r>
        <w:rPr>
          <w:rFonts w:ascii="Arial" w:cs="Arial" w:eastAsia="Arial" w:hAnsi="Arial"/>
          <w:sz w:val="16"/>
          <w:szCs w:val="16"/>
          <w:color w:val="auto"/>
        </w:rPr>
        <w:t>” of the Common Stock (or other relevant capital stock or equity interest) on any date of determination means the closing sale price or, if no closing sale price is reported, the last reported sale price of the shares of the Common Stock (or other relevant capital stock or equity interest) on The NASDAQ Global Select Market on such date. If the Common Stock (or other relevant capital stock or equity interest) is not traded on The NASDAQ Global Select Market on any date of determination, the Closing Price of the Common Stock (or other relevant capital stock or equity interest) on such date of determination means the closing sale price as reported in the composite transactions for the principal U.S. national or regional securities exchange on which the Common Stock (or other relevant capital stock or equity interest) is so listed or quoted, or, if no closing sale price is reported, the last reported sale price on the principal U.S. national or regional securities exchange on which the Common Stock (or other relevant capital stock or equity interest) is so listed or quoted, or if the Common Stock (or other relevant capital stock or equity interest) is not so listed or quoted on a U.S. national or regional securities exchange, the last quoted bid price for the Common Stock (or other relevant capital stock or equity interest) in the over-the-counter market as reported by Pink OTC Markets Inc. or similar organization, or, if that bid price is not available, the market price of the Common Stock (or other relevant capital stock or equity interest) on that date as determined by a nationally recognized independent investment banking firm retained by the Corporation for this purpose.</w:t>
      </w:r>
    </w:p>
    <w:p>
      <w:pPr>
        <w:spacing w:after="0" w:line="134" w:lineRule="exact"/>
        <w:rPr>
          <w:sz w:val="20"/>
          <w:szCs w:val="20"/>
          <w:color w:val="auto"/>
        </w:rPr>
      </w:pPr>
    </w:p>
    <w:p>
      <w:pPr>
        <w:ind w:right="259"/>
        <w:spacing w:after="0" w:line="293" w:lineRule="auto"/>
        <w:rPr>
          <w:sz w:val="20"/>
          <w:szCs w:val="20"/>
          <w:color w:val="auto"/>
        </w:rPr>
      </w:pPr>
      <w:r>
        <w:rPr>
          <w:rFonts w:ascii="Arial" w:cs="Arial" w:eastAsia="Arial" w:hAnsi="Arial"/>
          <w:sz w:val="16"/>
          <w:szCs w:val="16"/>
          <w:color w:val="auto"/>
        </w:rPr>
        <w:t>For purposes of this Certificate of Designation, all references herein to the “</w:t>
      </w:r>
      <w:r>
        <w:rPr>
          <w:rFonts w:ascii="Arial" w:cs="Arial" w:eastAsia="Arial" w:hAnsi="Arial"/>
          <w:sz w:val="16"/>
          <w:szCs w:val="16"/>
          <w:u w:val="single" w:color="auto"/>
          <w:color w:val="auto"/>
        </w:rPr>
        <w:t>Closing Price</w:t>
      </w:r>
      <w:r>
        <w:rPr>
          <w:rFonts w:ascii="Arial" w:cs="Arial" w:eastAsia="Arial" w:hAnsi="Arial"/>
          <w:sz w:val="16"/>
          <w:szCs w:val="16"/>
          <w:color w:val="auto"/>
        </w:rPr>
        <w:t>” and “</w:t>
      </w:r>
      <w:r>
        <w:rPr>
          <w:rFonts w:ascii="Arial" w:cs="Arial" w:eastAsia="Arial" w:hAnsi="Arial"/>
          <w:sz w:val="16"/>
          <w:szCs w:val="16"/>
          <w:u w:val="single" w:color="auto"/>
          <w:color w:val="auto"/>
        </w:rPr>
        <w:t>last reported sale price</w:t>
      </w:r>
      <w:r>
        <w:rPr>
          <w:rFonts w:ascii="Arial" w:cs="Arial" w:eastAsia="Arial" w:hAnsi="Arial"/>
          <w:sz w:val="16"/>
          <w:szCs w:val="16"/>
          <w:color w:val="auto"/>
        </w:rPr>
        <w:t xml:space="preserve">” of the Common Stock (or other relevant capital stock or equity interest) on The NASDAQ Global Select Market shall be such closing sale price and last reported sale price as reflected on the website of The NASDAQ Global Select Market (http://www.nasdaq.com) and as reported by Bloomberg Professional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there is a discrepancy between the closing sale price or last reported sale price as reflected on the website of The NASDAQ Global Select Market and as reported by Bloomberg Professional Service, the closing sale price and last reported sale price on the website of The NASDAQ Global Select Market shall govern.</w:t>
      </w:r>
    </w:p>
    <w:p>
      <w:pPr>
        <w:spacing w:after="0" w:line="138" w:lineRule="exact"/>
        <w:rPr>
          <w:sz w:val="20"/>
          <w:szCs w:val="20"/>
          <w:color w:val="auto"/>
        </w:rPr>
      </w:pPr>
    </w:p>
    <w:p>
      <w:pPr>
        <w:ind w:left="1020" w:hanging="250"/>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has the meaning set forth in Section 2.</w:t>
      </w:r>
    </w:p>
    <w:p>
      <w:pPr>
        <w:spacing w:after="0" w:line="184" w:lineRule="exact"/>
        <w:rPr>
          <w:rFonts w:ascii="Arial" w:cs="Arial" w:eastAsia="Arial" w:hAnsi="Arial"/>
          <w:sz w:val="18"/>
          <w:szCs w:val="18"/>
          <w:color w:val="auto"/>
        </w:rPr>
      </w:pPr>
    </w:p>
    <w:p>
      <w:pPr>
        <w:ind w:left="980" w:hanging="210"/>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has the meaning set forth in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77" w:name="page78"/>
    <w:bookmarkEnd w:id="77"/>
    <w:p>
      <w:pPr>
        <w:ind w:left="1088" w:hanging="310"/>
        <w:spacing w:after="0"/>
        <w:tabs>
          <w:tab w:leader="none" w:pos="10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means $1.90, subject to adjustment as set forth herein.</w:t>
      </w:r>
    </w:p>
    <w:p>
      <w:pPr>
        <w:spacing w:after="0" w:line="198" w:lineRule="exact"/>
        <w:rPr>
          <w:rFonts w:ascii="Arial" w:cs="Arial" w:eastAsia="Arial" w:hAnsi="Arial"/>
          <w:sz w:val="18"/>
          <w:szCs w:val="18"/>
          <w:color w:val="auto"/>
        </w:rPr>
      </w:pPr>
    </w:p>
    <w:p>
      <w:pPr>
        <w:jc w:val="both"/>
        <w:ind w:left="8" w:right="379" w:firstLine="770"/>
        <w:spacing w:after="0" w:line="259" w:lineRule="auto"/>
        <w:tabs>
          <w:tab w:leader="none" w:pos="10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Market Price</w:t>
      </w:r>
      <w:r>
        <w:rPr>
          <w:rFonts w:ascii="Arial" w:cs="Arial" w:eastAsia="Arial" w:hAnsi="Arial"/>
          <w:sz w:val="18"/>
          <w:szCs w:val="18"/>
          <w:color w:val="auto"/>
        </w:rPr>
        <w:t>” means, on any date, the average of the daily Closing Price per share of the Common Stock or other securities on each of the five consecutive Trading Days preceding the earlier of the day before the date in question and the day before the Ex-Date with respect to the issuance or distribution giving rise to an adjustment to the Conversion Price pursuant to Section 10.</w:t>
      </w:r>
    </w:p>
    <w:p>
      <w:pPr>
        <w:spacing w:after="0" w:line="146" w:lineRule="exact"/>
        <w:rPr>
          <w:rFonts w:ascii="Arial" w:cs="Arial" w:eastAsia="Arial" w:hAnsi="Arial"/>
          <w:sz w:val="18"/>
          <w:szCs w:val="18"/>
          <w:color w:val="auto"/>
        </w:rPr>
      </w:pPr>
    </w:p>
    <w:p>
      <w:pPr>
        <w:ind w:left="1028" w:hanging="250"/>
        <w:spacing w:after="0"/>
        <w:tabs>
          <w:tab w:leader="none" w:pos="1028"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Distributed Property</w:t>
      </w:r>
      <w:r>
        <w:rPr>
          <w:rFonts w:ascii="Arial" w:cs="Arial" w:eastAsia="Arial" w:hAnsi="Arial"/>
          <w:sz w:val="18"/>
          <w:szCs w:val="18"/>
          <w:color w:val="auto"/>
        </w:rPr>
        <w:t>” has the meaning set forth in Section 10(a)(iv).</w:t>
      </w:r>
    </w:p>
    <w:p>
      <w:pPr>
        <w:spacing w:after="0" w:line="184" w:lineRule="exact"/>
        <w:rPr>
          <w:rFonts w:ascii="Arial" w:cs="Arial" w:eastAsia="Arial" w:hAnsi="Arial"/>
          <w:sz w:val="18"/>
          <w:szCs w:val="18"/>
          <w:color w:val="auto"/>
        </w:rPr>
      </w:pPr>
    </w:p>
    <w:p>
      <w:pPr>
        <w:ind w:left="1028" w:hanging="250"/>
        <w:spacing w:after="0"/>
        <w:tabs>
          <w:tab w:leader="none" w:pos="1028"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w:t>
      </w:r>
      <w:r>
        <w:rPr>
          <w:rFonts w:ascii="Arial" w:cs="Arial" w:eastAsia="Arial" w:hAnsi="Arial"/>
          <w:sz w:val="18"/>
          <w:szCs w:val="18"/>
          <w:color w:val="auto"/>
        </w:rPr>
        <w:t>” has the meaning set forth in Section 4(b).</w:t>
      </w:r>
    </w:p>
    <w:p>
      <w:pPr>
        <w:spacing w:after="0" w:line="198" w:lineRule="exact"/>
        <w:rPr>
          <w:rFonts w:ascii="Arial" w:cs="Arial" w:eastAsia="Arial" w:hAnsi="Arial"/>
          <w:sz w:val="18"/>
          <w:szCs w:val="18"/>
          <w:color w:val="auto"/>
        </w:rPr>
      </w:pPr>
    </w:p>
    <w:p>
      <w:pPr>
        <w:ind w:left="1028" w:hanging="250"/>
        <w:spacing w:after="0"/>
        <w:tabs>
          <w:tab w:leader="none" w:pos="1028"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has the meaning set forth in Section 4(b).</w:t>
      </w:r>
    </w:p>
    <w:p>
      <w:pPr>
        <w:spacing w:after="0" w:line="184" w:lineRule="exact"/>
        <w:rPr>
          <w:rFonts w:ascii="Arial" w:cs="Arial" w:eastAsia="Arial" w:hAnsi="Arial"/>
          <w:sz w:val="18"/>
          <w:szCs w:val="18"/>
          <w:color w:val="auto"/>
        </w:rPr>
      </w:pPr>
    </w:p>
    <w:p>
      <w:pPr>
        <w:ind w:left="1008" w:hanging="230"/>
        <w:spacing w:after="0"/>
        <w:tabs>
          <w:tab w:leader="none" w:pos="1008"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has the meaning set forth in Section 4(c).</w:t>
      </w:r>
    </w:p>
    <w:p>
      <w:pPr>
        <w:spacing w:after="0" w:line="184" w:lineRule="exact"/>
        <w:rPr>
          <w:rFonts w:ascii="Arial" w:cs="Arial" w:eastAsia="Arial" w:hAnsi="Arial"/>
          <w:sz w:val="18"/>
          <w:szCs w:val="18"/>
          <w:color w:val="auto"/>
        </w:rPr>
      </w:pPr>
    </w:p>
    <w:p>
      <w:pPr>
        <w:ind w:left="1008" w:hanging="230"/>
        <w:spacing w:after="0"/>
        <w:tabs>
          <w:tab w:leader="none" w:pos="1008" w:val="left"/>
        </w:tabs>
        <w:numPr>
          <w:ilvl w:val="1"/>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Dividend Rate</w:t>
      </w:r>
      <w:r>
        <w:rPr>
          <w:rFonts w:ascii="Arial" w:cs="Arial" w:eastAsia="Arial" w:hAnsi="Arial"/>
          <w:sz w:val="16"/>
          <w:szCs w:val="16"/>
          <w:color w:val="auto"/>
        </w:rPr>
        <w:t>” means, with respect to any Dividend Period, the sum of (a) the greater of (i) LIBOR and (ii) 2.0% plus</w:t>
      </w:r>
    </w:p>
    <w:p>
      <w:pPr>
        <w:spacing w:after="0" w:line="46" w:lineRule="exact"/>
        <w:rPr>
          <w:rFonts w:ascii="Arial" w:cs="Arial" w:eastAsia="Arial" w:hAnsi="Arial"/>
          <w:sz w:val="16"/>
          <w:szCs w:val="16"/>
          <w:color w:val="auto"/>
        </w:rPr>
      </w:pPr>
    </w:p>
    <w:p>
      <w:pPr>
        <w:ind w:left="248" w:hanging="248"/>
        <w:spacing w:after="0"/>
        <w:tabs>
          <w:tab w:leader="none" w:pos="2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15.0%;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if such amount is greater than 18.0%, the Dividend Rate shall be 18.0%.</w:t>
      </w:r>
    </w:p>
    <w:p>
      <w:pPr>
        <w:spacing w:after="0" w:line="183" w:lineRule="exact"/>
        <w:rPr>
          <w:rFonts w:ascii="Arial" w:cs="Arial" w:eastAsia="Arial" w:hAnsi="Arial"/>
          <w:sz w:val="18"/>
          <w:szCs w:val="18"/>
          <w:color w:val="auto"/>
        </w:rPr>
      </w:pPr>
    </w:p>
    <w:p>
      <w:pPr>
        <w:ind w:left="988" w:hanging="210"/>
        <w:spacing w:after="0"/>
        <w:tabs>
          <w:tab w:leader="none" w:pos="988"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shares of the Series F Preferred Stock are first issued.</w:t>
      </w:r>
    </w:p>
    <w:p>
      <w:pPr>
        <w:spacing w:after="0" w:line="184" w:lineRule="exact"/>
        <w:rPr>
          <w:rFonts w:ascii="Arial" w:cs="Arial" w:eastAsia="Arial" w:hAnsi="Arial"/>
          <w:sz w:val="18"/>
          <w:szCs w:val="18"/>
          <w:color w:val="auto"/>
        </w:rPr>
      </w:pPr>
    </w:p>
    <w:p>
      <w:pPr>
        <w:ind w:left="1028" w:hanging="250"/>
        <w:spacing w:after="0"/>
        <w:tabs>
          <w:tab w:leader="none" w:pos="1028"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Property</w:t>
      </w:r>
      <w:r>
        <w:rPr>
          <w:rFonts w:ascii="Arial" w:cs="Arial" w:eastAsia="Arial" w:hAnsi="Arial"/>
          <w:sz w:val="18"/>
          <w:szCs w:val="18"/>
          <w:color w:val="auto"/>
        </w:rPr>
        <w:t>” has the meaning set forth in Section 11(a).</w:t>
      </w:r>
    </w:p>
    <w:p>
      <w:pPr>
        <w:spacing w:after="0" w:line="184" w:lineRule="exact"/>
        <w:rPr>
          <w:rFonts w:ascii="Arial" w:cs="Arial" w:eastAsia="Arial" w:hAnsi="Arial"/>
          <w:sz w:val="18"/>
          <w:szCs w:val="18"/>
          <w:color w:val="auto"/>
        </w:rPr>
      </w:pPr>
    </w:p>
    <w:p>
      <w:pPr>
        <w:ind w:left="8" w:right="279" w:firstLine="770"/>
        <w:spacing w:after="0" w:line="264" w:lineRule="auto"/>
        <w:tabs>
          <w:tab w:leader="none" w:pos="1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Ex-Date</w:t>
      </w:r>
      <w:r>
        <w:rPr>
          <w:rFonts w:ascii="Arial" w:cs="Arial" w:eastAsia="Arial" w:hAnsi="Arial"/>
          <w:sz w:val="18"/>
          <w:szCs w:val="18"/>
          <w:color w:val="auto"/>
        </w:rPr>
        <w:t>”, when used with respect to any issuance or distribution, means the first date on which the Common Stock or other securities trade without the right to receive the issuance or distribution giving rise to an adjustment to the Conversion Price pursuant to Section 10.</w:t>
      </w:r>
    </w:p>
    <w:p>
      <w:pPr>
        <w:spacing w:after="0" w:line="154" w:lineRule="exact"/>
        <w:rPr>
          <w:rFonts w:ascii="Arial" w:cs="Arial" w:eastAsia="Arial" w:hAnsi="Arial"/>
          <w:sz w:val="18"/>
          <w:szCs w:val="18"/>
          <w:color w:val="auto"/>
        </w:rPr>
      </w:pPr>
    </w:p>
    <w:p>
      <w:pPr>
        <w:jc w:val="both"/>
        <w:ind w:left="8" w:right="559" w:firstLine="770"/>
        <w:spacing w:after="0" w:line="264"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the Person in whose name the shares of the Series F Preferred Stock are registered, which may be treated by the Corporation as the absolute owner of the shares of Series F Preferred Stock for the purpose of making payment and settling the related conversions and for all other purposes.</w:t>
      </w:r>
    </w:p>
    <w:p>
      <w:pPr>
        <w:spacing w:after="0" w:line="140" w:lineRule="exact"/>
        <w:rPr>
          <w:rFonts w:ascii="Arial" w:cs="Arial" w:eastAsia="Arial" w:hAnsi="Arial"/>
          <w:sz w:val="18"/>
          <w:szCs w:val="18"/>
          <w:color w:val="auto"/>
        </w:rPr>
      </w:pPr>
    </w:p>
    <w:p>
      <w:pPr>
        <w:ind w:left="1028" w:hanging="250"/>
        <w:spacing w:after="0"/>
        <w:tabs>
          <w:tab w:leader="none" w:pos="1028" w:val="left"/>
        </w:tabs>
        <w:numPr>
          <w:ilvl w:val="1"/>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Securities</w:t>
      </w:r>
      <w:r>
        <w:rPr>
          <w:rFonts w:ascii="Arial" w:cs="Arial" w:eastAsia="Arial" w:hAnsi="Arial"/>
          <w:sz w:val="18"/>
          <w:szCs w:val="18"/>
          <w:color w:val="auto"/>
        </w:rPr>
        <w:t>” has the meaning set forth in Section 2.</w:t>
      </w:r>
    </w:p>
    <w:p>
      <w:pPr>
        <w:spacing w:after="0" w:line="184" w:lineRule="exact"/>
        <w:rPr>
          <w:rFonts w:ascii="Arial" w:cs="Arial" w:eastAsia="Arial" w:hAnsi="Arial"/>
          <w:sz w:val="18"/>
          <w:szCs w:val="18"/>
          <w:color w:val="auto"/>
        </w:rPr>
      </w:pPr>
    </w:p>
    <w:p>
      <w:pPr>
        <w:ind w:left="8" w:right="239" w:firstLine="770"/>
        <w:spacing w:after="0" w:line="285" w:lineRule="auto"/>
        <w:tabs>
          <w:tab w:leader="none" w:pos="10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w:t>
      </w:r>
      <w:r>
        <w:rPr>
          <w:rFonts w:ascii="Arial" w:cs="Arial" w:eastAsia="Arial" w:hAnsi="Arial"/>
          <w:sz w:val="16"/>
          <w:szCs w:val="16"/>
          <w:color w:val="auto"/>
        </w:rPr>
        <w:t>” means, with respect to any Dividend Period, the rate for deposits in U.S. dollars for a three-month period that appears on Bloomberg Screen US0003M Index &lt;GO&gt; page (or other applicable page) as of 11:00 a.m. (London time) on the second London Banking Day preceding the first day of that Dividend Period. If the rate described above does not appear on such Bloomberg Screen page, LIBOR will be determined on the basis of the rates at which deposits in U.S. dollars for a three-month period and in a principal amount of not less than $1,000,000 are offered to prime banks in the London interbank market by four major banks in the London interbank market selected by the Corporation, at approximately 11:00 a.m., London time on the second London Banking Day preceding the first day of that Dividend Period. The Corporation will request the principal London office of each of such banks to provide a quotation of its rate. If at least two such quotations are provided, LIBOR with respect to that Dividend Period will be the arithmetic mean (rounded upward if necessary to the nearest .00001 of 1%) of such quotations. If fewer than two quotations are provided, LIBOR with respect to that Dividend Period will be the arithmetic mean (rounded upward if necessary to the nearest .00001 of 1%) of the rates quoted by three major banks in New York, New York, selected by the Corporation, at approximately 11:00 a.m., New York City time, on the first day of that Dividend Period for loans in U.S. dollars to leading European banks for a three-month period and in a principal amount of not less than $1,000,000. However, if the banks selected by the Corporation to provide quotations are not quoting as described above, LIBOR for that Dividend Period will be the same as LIBOR as determined for the previous Dividend Period, or in the case of the first Dividend Period, the most recent rate that could have been determined in accordance with the first sentence of this paragraph had the Series F Preferred Stock been outstanding. The establishment of LIBOR will be final and binding in the absence of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624205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78" w:name="page79"/>
    <w:bookmarkEnd w:id="78"/>
    <w:p>
      <w:pPr>
        <w:ind w:left="-770" w:right="919" w:firstLine="770"/>
        <w:spacing w:after="0" w:line="342" w:lineRule="auto"/>
        <w:tabs>
          <w:tab w:leader="none" w:pos="253" w:val="left"/>
        </w:tabs>
        <w:numPr>
          <w:ilvl w:val="0"/>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Liquidation Preference</w:t>
      </w:r>
      <w:r>
        <w:rPr>
          <w:rFonts w:ascii="Arial" w:cs="Arial" w:eastAsia="Arial" w:hAnsi="Arial"/>
          <w:sz w:val="16"/>
          <w:szCs w:val="16"/>
          <w:color w:val="auto"/>
        </w:rPr>
        <w:t>” means, as to the Series F Preferred Stock, $1,000 per share (as adjusted for any split, subdivision, combination, consolidation, recapitalization or similar event with respect to the Series F Preferred Stock).</w:t>
      </w:r>
    </w:p>
    <w:p>
      <w:pPr>
        <w:spacing w:after="0" w:line="97" w:lineRule="exact"/>
        <w:rPr>
          <w:sz w:val="20"/>
          <w:szCs w:val="20"/>
          <w:color w:val="auto"/>
        </w:rPr>
      </w:pPr>
    </w:p>
    <w:p>
      <w:pPr>
        <w:ind w:left="-770" w:right="299" w:firstLine="770"/>
        <w:spacing w:after="0" w:line="277" w:lineRule="auto"/>
        <w:tabs>
          <w:tab w:leader="none" w:pos="3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commercial banks are open for general business (including dealings in deposits in U.S. dollars) in London.</w:t>
      </w:r>
    </w:p>
    <w:p>
      <w:pPr>
        <w:spacing w:after="0" w:line="129" w:lineRule="exact"/>
        <w:rPr>
          <w:rFonts w:ascii="Arial" w:cs="Arial" w:eastAsia="Arial" w:hAnsi="Arial"/>
          <w:sz w:val="18"/>
          <w:szCs w:val="18"/>
          <w:color w:val="auto"/>
        </w:rPr>
      </w:pPr>
    </w:p>
    <w:p>
      <w:pPr>
        <w:ind w:left="-770" w:right="239" w:firstLine="770"/>
        <w:spacing w:after="0" w:line="269" w:lineRule="auto"/>
        <w:tabs>
          <w:tab w:leader="none" w:pos="353" w:val="left"/>
        </w:tabs>
        <w:numPr>
          <w:ilvl w:val="0"/>
          <w:numId w:val="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Mandatory Conversion Date</w:t>
      </w:r>
      <w:r>
        <w:rPr>
          <w:rFonts w:ascii="Arial" w:cs="Arial" w:eastAsia="Arial" w:hAnsi="Arial"/>
          <w:sz w:val="17"/>
          <w:szCs w:val="17"/>
          <w:color w:val="auto"/>
        </w:rPr>
        <w:t xml:space="preserve">” means, with respect to the shares of Series F Preferred Stock of any Holder, the second Business Day after which the Corporation has received the Stockholder Approvals (or if a Reorganization Event has theretofore been consummated, the date of consummation of such Reorganization Event) necessary to permit such Holder to convert such shares of Series F Preferred Stock into authorized Common Stock without such conversion resulting in a Violation,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 Mandatory Conversion Date would otherwise occur on or after an Ex-Date for an issuance or distribution that results in an adjustment of the Conversion Price pursuant to Section 10 and on or before the Record Date for such issuance or distribution, such Mandatory Conversion Date shall instead occur on the first calendar day after the Record Date for such issuance or distribution,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a Mandatory Conversion Date would otherwise occur but such Holder has not received all accrued and unpaid</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whether or not declared with respect to any Dividend Period completed prior to such Mandatory Conversion Date, such Mandatory Conversion Date shall instead occur on the first calendar day after such Holder has received all such accrued and unpaid dividends.</w:t>
      </w:r>
    </w:p>
    <w:p>
      <w:pPr>
        <w:spacing w:after="0" w:line="142" w:lineRule="exact"/>
        <w:rPr>
          <w:rFonts w:ascii="Arial" w:cs="Arial" w:eastAsia="Arial" w:hAnsi="Arial"/>
          <w:sz w:val="17"/>
          <w:szCs w:val="17"/>
          <w:color w:val="auto"/>
        </w:rPr>
      </w:pPr>
    </w:p>
    <w:p>
      <w:pPr>
        <w:ind w:left="330" w:hanging="330"/>
        <w:spacing w:after="0"/>
        <w:tabs>
          <w:tab w:leader="none" w:pos="3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Non-Voting Common Stock</w:t>
      </w:r>
      <w:r>
        <w:rPr>
          <w:rFonts w:ascii="Arial" w:cs="Arial" w:eastAsia="Arial" w:hAnsi="Arial"/>
          <w:sz w:val="18"/>
          <w:szCs w:val="18"/>
          <w:color w:val="auto"/>
        </w:rPr>
        <w:t>” has the meaning set forth in Section 2.</w:t>
      </w:r>
    </w:p>
    <w:p>
      <w:pPr>
        <w:spacing w:after="0" w:line="198" w:lineRule="exact"/>
        <w:rPr>
          <w:rFonts w:ascii="Arial" w:cs="Arial" w:eastAsia="Arial" w:hAnsi="Arial"/>
          <w:sz w:val="18"/>
          <w:szCs w:val="18"/>
          <w:color w:val="auto"/>
        </w:rPr>
      </w:pPr>
    </w:p>
    <w:p>
      <w:pPr>
        <w:ind w:left="350" w:hanging="350"/>
        <w:spacing w:after="0"/>
        <w:tabs>
          <w:tab w:leader="none" w:pos="3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Mandatory Conversion</w:t>
      </w:r>
      <w:r>
        <w:rPr>
          <w:rFonts w:ascii="Arial" w:cs="Arial" w:eastAsia="Arial" w:hAnsi="Arial"/>
          <w:sz w:val="18"/>
          <w:szCs w:val="18"/>
          <w:color w:val="auto"/>
        </w:rPr>
        <w:t>” has the meaning set forth in Section 9(a).</w:t>
      </w:r>
    </w:p>
    <w:p>
      <w:pPr>
        <w:spacing w:after="0" w:line="184" w:lineRule="exact"/>
        <w:rPr>
          <w:rFonts w:ascii="Arial" w:cs="Arial" w:eastAsia="Arial" w:hAnsi="Arial"/>
          <w:sz w:val="18"/>
          <w:szCs w:val="18"/>
          <w:color w:val="auto"/>
        </w:rPr>
      </w:pPr>
    </w:p>
    <w:p>
      <w:pPr>
        <w:ind w:left="330" w:hanging="330"/>
        <w:spacing w:after="0"/>
        <w:tabs>
          <w:tab w:leader="none" w:pos="3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Securities</w:t>
      </w:r>
      <w:r>
        <w:rPr>
          <w:rFonts w:ascii="Arial" w:cs="Arial" w:eastAsia="Arial" w:hAnsi="Arial"/>
          <w:sz w:val="18"/>
          <w:szCs w:val="18"/>
          <w:color w:val="auto"/>
        </w:rPr>
        <w:t>” has the meaning set forth in Section 2.</w:t>
      </w:r>
    </w:p>
    <w:p>
      <w:pPr>
        <w:spacing w:after="0" w:line="184" w:lineRule="exact"/>
        <w:rPr>
          <w:rFonts w:ascii="Arial" w:cs="Arial" w:eastAsia="Arial" w:hAnsi="Arial"/>
          <w:sz w:val="18"/>
          <w:szCs w:val="18"/>
          <w:color w:val="auto"/>
        </w:rPr>
      </w:pPr>
    </w:p>
    <w:p>
      <w:pPr>
        <w:ind w:left="-770" w:right="519" w:firstLine="770"/>
        <w:spacing w:after="0" w:line="277" w:lineRule="auto"/>
        <w:tabs>
          <w:tab w:leader="none" w:pos="289"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legal person, including any individual, corporation, estate, partnership, joint venture, association, joint-stock company, limited liability company or trust.</w:t>
      </w:r>
    </w:p>
    <w:p>
      <w:pPr>
        <w:spacing w:after="0" w:line="143" w:lineRule="exact"/>
        <w:rPr>
          <w:rFonts w:ascii="Arial" w:cs="Arial" w:eastAsia="Arial" w:hAnsi="Arial"/>
          <w:sz w:val="18"/>
          <w:szCs w:val="18"/>
          <w:color w:val="auto"/>
        </w:rPr>
      </w:pPr>
    </w:p>
    <w:p>
      <w:pPr>
        <w:ind w:left="350" w:hanging="350"/>
        <w:spacing w:after="0"/>
        <w:tabs>
          <w:tab w:leader="none" w:pos="3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has the meaning set forth in Section 4(d).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647700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09"/>
          </w:cols>
          <w:pgMar w:left="1350" w:top="935" w:right="1440" w:bottom="1440" w:gutter="0" w:footer="0" w:header="0"/>
        </w:sectPr>
      </w:pPr>
    </w:p>
    <w:bookmarkStart w:id="79" w:name="page80"/>
    <w:bookmarkEnd w:id="79"/>
    <w:p>
      <w:pPr>
        <w:ind w:left="1128" w:hanging="350"/>
        <w:spacing w:after="0"/>
        <w:tabs>
          <w:tab w:leader="none" w:pos="1128" w:val="left"/>
        </w:tabs>
        <w:numPr>
          <w:ilvl w:val="2"/>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Event</w:t>
      </w:r>
      <w:r>
        <w:rPr>
          <w:rFonts w:ascii="Arial" w:cs="Arial" w:eastAsia="Arial" w:hAnsi="Arial"/>
          <w:sz w:val="18"/>
          <w:szCs w:val="18"/>
          <w:color w:val="auto"/>
        </w:rPr>
        <w:t>” has the meaning set forth in Section 11(a).</w:t>
      </w:r>
    </w:p>
    <w:p>
      <w:pPr>
        <w:spacing w:after="0" w:line="198" w:lineRule="exact"/>
        <w:rPr>
          <w:rFonts w:ascii="Arial" w:cs="Arial" w:eastAsia="Arial" w:hAnsi="Arial"/>
          <w:sz w:val="18"/>
          <w:szCs w:val="18"/>
          <w:color w:val="auto"/>
        </w:rPr>
      </w:pPr>
    </w:p>
    <w:p>
      <w:pPr>
        <w:ind w:left="1048" w:hanging="270"/>
        <w:spacing w:after="0"/>
        <w:tabs>
          <w:tab w:leader="none" w:pos="1048" w:val="left"/>
        </w:tabs>
        <w:numPr>
          <w:ilvl w:val="2"/>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Preferred Stock</w:t>
      </w:r>
      <w:r>
        <w:rPr>
          <w:rFonts w:ascii="Arial" w:cs="Arial" w:eastAsia="Arial" w:hAnsi="Arial"/>
          <w:sz w:val="18"/>
          <w:szCs w:val="18"/>
          <w:color w:val="auto"/>
        </w:rPr>
        <w:t>” has the meaning set forth in Section 1.</w:t>
      </w:r>
    </w:p>
    <w:p>
      <w:pPr>
        <w:spacing w:after="0" w:line="184" w:lineRule="exact"/>
        <w:rPr>
          <w:rFonts w:ascii="Arial" w:cs="Arial" w:eastAsia="Arial" w:hAnsi="Arial"/>
          <w:sz w:val="18"/>
          <w:szCs w:val="18"/>
          <w:color w:val="auto"/>
        </w:rPr>
      </w:pPr>
    </w:p>
    <w:p>
      <w:pPr>
        <w:ind w:left="1048" w:hanging="270"/>
        <w:spacing w:after="0"/>
        <w:tabs>
          <w:tab w:leader="none" w:pos="1048" w:val="left"/>
        </w:tabs>
        <w:numPr>
          <w:ilvl w:val="2"/>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Preferred Stock</w:t>
      </w:r>
      <w:r>
        <w:rPr>
          <w:rFonts w:ascii="Arial" w:cs="Arial" w:eastAsia="Arial" w:hAnsi="Arial"/>
          <w:sz w:val="18"/>
          <w:szCs w:val="18"/>
          <w:color w:val="auto"/>
        </w:rPr>
        <w:t>” has the meaning set forth in Section 2.</w:t>
      </w:r>
    </w:p>
    <w:p>
      <w:pPr>
        <w:spacing w:after="0" w:line="184" w:lineRule="exact"/>
        <w:rPr>
          <w:rFonts w:ascii="Arial" w:cs="Arial" w:eastAsia="Arial" w:hAnsi="Arial"/>
          <w:sz w:val="18"/>
          <w:szCs w:val="18"/>
          <w:color w:val="auto"/>
        </w:rPr>
      </w:pPr>
    </w:p>
    <w:p>
      <w:pPr>
        <w:jc w:val="both"/>
        <w:ind w:left="8" w:right="279" w:firstLine="770"/>
        <w:spacing w:after="0" w:line="286" w:lineRule="auto"/>
        <w:tabs>
          <w:tab w:leader="none" w:pos="1130" w:val="left"/>
        </w:tabs>
        <w:numPr>
          <w:ilvl w:val="2"/>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Stockholder Approvals</w:t>
      </w:r>
      <w:r>
        <w:rPr>
          <w:rFonts w:ascii="Arial" w:cs="Arial" w:eastAsia="Arial" w:hAnsi="Arial"/>
          <w:sz w:val="16"/>
          <w:szCs w:val="16"/>
          <w:color w:val="auto"/>
        </w:rPr>
        <w:t>” means all stockholder approvals necessary to (i) approve the conversion of the Series F Preferred Stock into Common Stock for purposes of Rule 5635 of the Nasdaq Stock Market Rules and (ii) amend the Articles of Incorporation to (A) authorize a number of shares of Non-Voting Common Stock sufficient to permit the full conversion of the Series G Preferred Stock into Non-Voting Common Stock and the issuance of certain additional shares of Non-Voting Common Stock and</w:t>
      </w:r>
    </w:p>
    <w:p>
      <w:pPr>
        <w:spacing w:after="0" w:line="1" w:lineRule="exact"/>
        <w:rPr>
          <w:rFonts w:ascii="Arial" w:cs="Arial" w:eastAsia="Arial" w:hAnsi="Arial"/>
          <w:sz w:val="16"/>
          <w:szCs w:val="16"/>
          <w:color w:val="auto"/>
        </w:rPr>
      </w:pPr>
    </w:p>
    <w:p>
      <w:pPr>
        <w:ind w:left="8" w:right="819" w:hanging="8"/>
        <w:spacing w:after="0" w:line="261" w:lineRule="auto"/>
        <w:tabs>
          <w:tab w:leader="none" w:pos="293"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 the number of authorized shares of Common Stock to at least such number as shall be sufficient to permit the full conversion of the Series F Preferred Stock and the Non-Voting Common Stock.</w:t>
      </w:r>
    </w:p>
    <w:p>
      <w:pPr>
        <w:spacing w:after="0" w:line="156" w:lineRule="exact"/>
        <w:rPr>
          <w:rFonts w:ascii="Arial" w:cs="Arial" w:eastAsia="Arial" w:hAnsi="Arial"/>
          <w:sz w:val="18"/>
          <w:szCs w:val="18"/>
          <w:color w:val="auto"/>
        </w:rPr>
      </w:pPr>
    </w:p>
    <w:p>
      <w:pPr>
        <w:ind w:left="1048" w:hanging="270"/>
        <w:spacing w:after="0"/>
        <w:tabs>
          <w:tab w:leader="none" w:pos="1048" w:val="left"/>
        </w:tabs>
        <w:numPr>
          <w:ilvl w:val="2"/>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shares of Common Stock:</w:t>
      </w:r>
    </w:p>
    <w:p>
      <w:pPr>
        <w:spacing w:after="0" w:line="184" w:lineRule="exact"/>
        <w:rPr>
          <w:rFonts w:ascii="Arial" w:cs="Arial" w:eastAsia="Arial" w:hAnsi="Arial"/>
          <w:sz w:val="18"/>
          <w:szCs w:val="18"/>
          <w:color w:val="auto"/>
        </w:rPr>
      </w:pPr>
    </w:p>
    <w:p>
      <w:pPr>
        <w:ind w:left="8" w:right="419" w:firstLine="381"/>
        <w:spacing w:after="0" w:line="277" w:lineRule="auto"/>
        <w:tabs>
          <w:tab w:leader="none" w:pos="612" w:val="left"/>
        </w:tabs>
        <w:numPr>
          <w:ilvl w:val="1"/>
          <w:numId w:val="37"/>
        </w:numPr>
        <w:rPr>
          <w:rFonts w:ascii="Arial" w:cs="Arial" w:eastAsia="Arial" w:hAnsi="Arial"/>
          <w:sz w:val="18"/>
          <w:szCs w:val="18"/>
          <w:color w:val="auto"/>
        </w:rPr>
      </w:pPr>
      <w:r>
        <w:rPr>
          <w:rFonts w:ascii="Arial" w:cs="Arial" w:eastAsia="Arial" w:hAnsi="Arial"/>
          <w:sz w:val="18"/>
          <w:szCs w:val="18"/>
          <w:color w:val="auto"/>
        </w:rPr>
        <w:t>are not suspended from trading on any national or regional securities exchange or association or over-the-counter market at the close of business; and</w:t>
      </w:r>
    </w:p>
    <w:p>
      <w:pPr>
        <w:spacing w:after="0" w:line="129" w:lineRule="exact"/>
        <w:rPr>
          <w:rFonts w:ascii="Arial" w:cs="Arial" w:eastAsia="Arial" w:hAnsi="Arial"/>
          <w:sz w:val="18"/>
          <w:szCs w:val="18"/>
          <w:color w:val="auto"/>
        </w:rPr>
      </w:pPr>
    </w:p>
    <w:p>
      <w:pPr>
        <w:ind w:left="8" w:right="299" w:firstLine="381"/>
        <w:spacing w:after="0" w:line="277" w:lineRule="auto"/>
        <w:tabs>
          <w:tab w:leader="none" w:pos="662" w:val="left"/>
        </w:tabs>
        <w:numPr>
          <w:ilvl w:val="1"/>
          <w:numId w:val="37"/>
        </w:numPr>
        <w:rPr>
          <w:rFonts w:ascii="Arial" w:cs="Arial" w:eastAsia="Arial" w:hAnsi="Arial"/>
          <w:sz w:val="18"/>
          <w:szCs w:val="18"/>
          <w:color w:val="auto"/>
        </w:rPr>
      </w:pPr>
      <w:r>
        <w:rPr>
          <w:rFonts w:ascii="Arial" w:cs="Arial" w:eastAsia="Arial" w:hAnsi="Arial"/>
          <w:sz w:val="18"/>
          <w:szCs w:val="18"/>
          <w:color w:val="auto"/>
        </w:rPr>
        <w:t>have traded at least once on the national or regional securities exchange or association or over-the-counter market that is the primary market for the trading of the Common Stock.</w:t>
      </w:r>
    </w:p>
    <w:p>
      <w:pPr>
        <w:spacing w:after="0" w:line="143" w:lineRule="exact"/>
        <w:rPr>
          <w:rFonts w:ascii="Arial" w:cs="Arial" w:eastAsia="Arial" w:hAnsi="Arial"/>
          <w:sz w:val="18"/>
          <w:szCs w:val="18"/>
          <w:color w:val="auto"/>
        </w:rPr>
      </w:pPr>
    </w:p>
    <w:p>
      <w:pPr>
        <w:ind w:left="1228" w:hanging="450"/>
        <w:spacing w:after="0"/>
        <w:tabs>
          <w:tab w:leader="none" w:pos="1228" w:val="left"/>
        </w:tabs>
        <w:numPr>
          <w:ilvl w:val="2"/>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Violation</w:t>
      </w:r>
      <w:r>
        <w:rPr>
          <w:rFonts w:ascii="Arial" w:cs="Arial" w:eastAsia="Arial" w:hAnsi="Arial"/>
          <w:sz w:val="17"/>
          <w:szCs w:val="17"/>
          <w:color w:val="auto"/>
        </w:rPr>
        <w:t>” means a violation of the stockholder approval requirements of Rule 5635 of the Nasdaq Stock Market</w:t>
      </w:r>
    </w:p>
    <w:p>
      <w:pPr>
        <w:spacing w:after="0" w:line="34" w:lineRule="exact"/>
        <w:rPr>
          <w:rFonts w:ascii="Arial" w:cs="Arial" w:eastAsia="Arial" w:hAnsi="Arial"/>
          <w:sz w:val="17"/>
          <w:szCs w:val="17"/>
          <w:color w:val="auto"/>
        </w:rPr>
      </w:pPr>
    </w:p>
    <w:p>
      <w:pPr>
        <w:ind w:left="8"/>
        <w:spacing w:after="0"/>
        <w:rPr>
          <w:rFonts w:ascii="Arial" w:cs="Arial" w:eastAsia="Arial" w:hAnsi="Arial"/>
          <w:sz w:val="17"/>
          <w:szCs w:val="17"/>
          <w:color w:val="auto"/>
        </w:rPr>
      </w:pPr>
      <w:r>
        <w:rPr>
          <w:rFonts w:ascii="Arial" w:cs="Arial" w:eastAsia="Arial" w:hAnsi="Arial"/>
          <w:sz w:val="18"/>
          <w:szCs w:val="18"/>
          <w:color w:val="auto"/>
        </w:rPr>
        <w:t>Rules.</w:t>
      </w:r>
    </w:p>
    <w:p>
      <w:pPr>
        <w:spacing w:after="0" w:line="170" w:lineRule="exact"/>
        <w:rPr>
          <w:rFonts w:ascii="Arial" w:cs="Arial" w:eastAsia="Arial" w:hAnsi="Arial"/>
          <w:sz w:val="17"/>
          <w:szCs w:val="17"/>
          <w:color w:val="auto"/>
        </w:rPr>
      </w:pPr>
    </w:p>
    <w:p>
      <w:pPr>
        <w:ind w:left="1128" w:hanging="350"/>
        <w:spacing w:after="0"/>
        <w:tabs>
          <w:tab w:leader="none" w:pos="1128" w:val="left"/>
        </w:tabs>
        <w:numPr>
          <w:ilvl w:val="2"/>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Securities</w:t>
      </w:r>
      <w:r>
        <w:rPr>
          <w:rFonts w:ascii="Arial" w:cs="Arial" w:eastAsia="Arial" w:hAnsi="Arial"/>
          <w:sz w:val="17"/>
          <w:szCs w:val="17"/>
          <w:color w:val="auto"/>
        </w:rPr>
        <w:t>” has the meaning set forth in the BHC Act and any rules or regulations promulgated thereunder.</w:t>
      </w:r>
    </w:p>
    <w:p>
      <w:pPr>
        <w:spacing w:after="0" w:line="196" w:lineRule="exact"/>
        <w:rPr>
          <w:sz w:val="20"/>
          <w:szCs w:val="20"/>
          <w:color w:val="auto"/>
        </w:rPr>
      </w:pPr>
    </w:p>
    <w:p>
      <w:pPr>
        <w:jc w:val="both"/>
        <w:ind w:left="8" w:right="179" w:firstLine="778"/>
        <w:spacing w:after="0" w:line="286" w:lineRule="auto"/>
        <w:rPr>
          <w:sz w:val="20"/>
          <w:szCs w:val="20"/>
          <w:color w:val="auto"/>
        </w:rPr>
      </w:pPr>
      <w:r>
        <w:rPr>
          <w:rFonts w:ascii="Arial" w:cs="Arial" w:eastAsia="Arial" w:hAnsi="Arial"/>
          <w:sz w:val="17"/>
          <w:szCs w:val="17"/>
          <w:i w:val="1"/>
          <w:iCs w:val="1"/>
          <w:color w:val="auto"/>
        </w:rPr>
        <w:t xml:space="preserve">Section 4. Dividends. </w:t>
      </w:r>
      <w:r>
        <w:rPr>
          <w:rFonts w:ascii="Arial" w:cs="Arial" w:eastAsia="Arial" w:hAnsi="Arial"/>
          <w:sz w:val="17"/>
          <w:szCs w:val="17"/>
          <w:color w:val="auto"/>
        </w:rPr>
        <w:t>(a) From and after the Effective Date, the Holders shall be entitled to receive, when, as and if declared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Board of Directors or a duly authorized committee of the Board of Directors, out of funds legally available therefor, cumulative dividends of the type and in the amounts determined as set forth in this Section 4, and no more.</w:t>
      </w:r>
    </w:p>
    <w:p>
      <w:pPr>
        <w:spacing w:after="0" w:line="139" w:lineRule="exact"/>
        <w:rPr>
          <w:sz w:val="20"/>
          <w:szCs w:val="20"/>
          <w:color w:val="auto"/>
        </w:rPr>
      </w:pPr>
    </w:p>
    <w:p>
      <w:pPr>
        <w:ind w:left="8" w:right="199" w:firstLine="770"/>
        <w:spacing w:after="0" w:line="270"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Commencing on the Effective Date, dividends shall accrue and shall be payable semi-annually in arrears on March 30th and September 30th of each year (each, a “</w:t>
      </w:r>
      <w:r>
        <w:rPr>
          <w:rFonts w:ascii="Arial" w:cs="Arial" w:eastAsia="Arial" w:hAnsi="Arial"/>
          <w:sz w:val="17"/>
          <w:szCs w:val="17"/>
          <w:u w:val="single" w:color="auto"/>
          <w:color w:val="auto"/>
        </w:rPr>
        <w:t>Dividend Payment Date</w:t>
      </w:r>
      <w:r>
        <w:rPr>
          <w:rFonts w:ascii="Arial" w:cs="Arial" w:eastAsia="Arial" w:hAnsi="Arial"/>
          <w:sz w:val="17"/>
          <w:szCs w:val="17"/>
          <w:color w:val="auto"/>
        </w:rPr>
        <w:t>”) or, if any such day is not a Business Day, the next Business Day. Dividends payable pursuant to this Section 4, if, when and as declared by the Board of Directors or a duly authorized committee of the Board of Directors, will be, for each outstanding share of Series F Preferred Stock, payable in cash at an annual rate equal to the Dividend Rate multiplied by the sum of (i) the Liquidation Preference plus (ii) all accrued and unpaid dividends for any prior Dividend Period that are payable on such share of Series F Preferred Stock, payable in cash (such dividend, the “</w:t>
      </w:r>
      <w:r>
        <w:rPr>
          <w:rFonts w:ascii="Arial" w:cs="Arial" w:eastAsia="Arial" w:hAnsi="Arial"/>
          <w:sz w:val="17"/>
          <w:szCs w:val="17"/>
          <w:u w:val="single" w:color="auto"/>
          <w:color w:val="auto"/>
        </w:rPr>
        <w:t>Dividend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the As-Converted Dividend for such Dividend Period is greater than the Dividend, each outstanding share of Series F Preferred Stock shall be entitled to receive, when and as declared by the Board of Directors, the As-Converted Dividend rather than the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619760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80" w:name="page81"/>
    <w:bookmarkEnd w:id="80"/>
    <w:p>
      <w:pPr>
        <w:ind w:left="-770" w:right="159" w:firstLine="770"/>
        <w:spacing w:after="0" w:line="257" w:lineRule="auto"/>
        <w:tabs>
          <w:tab w:leader="none" w:pos="2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Dividends payable pursuant to Section 4 will be computed on the basis of a 360-day year of twelve 30-day months and, for any Dividend Period greater or less than a full Dividend Period, will be computed on the basis of the actual number of days elapsed in the period divided by 360. The period from the Effective Date to but excluding September 30, 2011 and each period from and including a Dividend Payment Date to but excluding the following Dividend Payment Date is herein referred to as a “</w:t>
      </w:r>
      <w:r>
        <w:rPr>
          <w:rFonts w:ascii="Arial" w:cs="Arial" w:eastAsia="Arial" w:hAnsi="Arial"/>
          <w:sz w:val="18"/>
          <w:szCs w:val="18"/>
          <w:u w:val="single" w:color="auto"/>
          <w:color w:val="auto"/>
        </w:rPr>
        <w:t>Dividend</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770" w:right="359" w:firstLine="770"/>
        <w:spacing w:after="0" w:line="286" w:lineRule="auto"/>
        <w:tabs>
          <w:tab w:leader="none" w:pos="263" w:val="left"/>
        </w:tabs>
        <w:numPr>
          <w:ilvl w:val="0"/>
          <w:numId w:val="40"/>
        </w:numPr>
        <w:rPr>
          <w:rFonts w:ascii="Arial" w:cs="Arial" w:eastAsia="Arial" w:hAnsi="Arial"/>
          <w:sz w:val="17"/>
          <w:szCs w:val="17"/>
          <w:color w:val="auto"/>
        </w:rPr>
      </w:pPr>
      <w:r>
        <w:rPr>
          <w:rFonts w:ascii="Arial" w:cs="Arial" w:eastAsia="Arial" w:hAnsi="Arial"/>
          <w:sz w:val="17"/>
          <w:szCs w:val="17"/>
          <w:color w:val="auto"/>
        </w:rPr>
        <w:t>Each dividend will be payable to Holders of record as they appear in the records of the Corporation on the applicable record date (each, a “</w:t>
      </w:r>
      <w:r>
        <w:rPr>
          <w:rFonts w:ascii="Arial" w:cs="Arial" w:eastAsia="Arial" w:hAnsi="Arial"/>
          <w:sz w:val="17"/>
          <w:szCs w:val="17"/>
          <w:u w:val="single" w:color="auto"/>
          <w:color w:val="auto"/>
        </w:rPr>
        <w:t>Record Date</w:t>
      </w:r>
      <w:r>
        <w:rPr>
          <w:rFonts w:ascii="Arial" w:cs="Arial" w:eastAsia="Arial" w:hAnsi="Arial"/>
          <w:sz w:val="17"/>
          <w:szCs w:val="17"/>
          <w:color w:val="auto"/>
        </w:rPr>
        <w:t>”), which with respect to dividends payable pursuant to this Section 4, shall be on the fifteenth day of the month immediately prior to the month in which the relevant Dividend Payment Date occurs.</w:t>
      </w:r>
    </w:p>
    <w:p>
      <w:pPr>
        <w:spacing w:after="0" w:line="125" w:lineRule="exact"/>
        <w:rPr>
          <w:rFonts w:ascii="Arial" w:cs="Arial" w:eastAsia="Arial" w:hAnsi="Arial"/>
          <w:sz w:val="17"/>
          <w:szCs w:val="17"/>
          <w:color w:val="auto"/>
        </w:rPr>
      </w:pPr>
    </w:p>
    <w:p>
      <w:pPr>
        <w:ind w:left="-770" w:right="179" w:firstLine="770"/>
        <w:spacing w:after="0" w:line="297" w:lineRule="auto"/>
        <w:tabs>
          <w:tab w:leader="none" w:pos="253"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Dividends on the Series F Preferred Stock are cumulative. Such dividends shall begin to accrue and be cumulative from the Effective Date (in the case of the shares of Series F Preferred Stock issued on the Effective Date), shall compound at the relevant rate on each subsequent Dividend Payment Date (</w:t>
      </w:r>
      <w:r>
        <w:rPr>
          <w:rFonts w:ascii="Arial" w:cs="Arial" w:eastAsia="Arial" w:hAnsi="Arial"/>
          <w:sz w:val="16"/>
          <w:szCs w:val="16"/>
          <w:i w:val="1"/>
          <w:iCs w:val="1"/>
          <w:color w:val="auto"/>
        </w:rPr>
        <w:t>i.e.</w:t>
      </w:r>
      <w:r>
        <w:rPr>
          <w:rFonts w:ascii="Arial" w:cs="Arial" w:eastAsia="Arial" w:hAnsi="Arial"/>
          <w:sz w:val="16"/>
          <w:szCs w:val="16"/>
          <w:color w:val="auto"/>
        </w:rPr>
        <w:t>, no dividends shall accrue on another dividend unless and until the first Dividend Payment Date for such other dividends has passed without such other dividends having been paid on such date) and shall be payable semi-annually in arrears on each Dividend Payment Date, commencing with the first such Dividend Payment Date.</w:t>
      </w:r>
    </w:p>
    <w:p>
      <w:pPr>
        <w:spacing w:after="0" w:line="117" w:lineRule="exact"/>
        <w:rPr>
          <w:rFonts w:ascii="Arial" w:cs="Arial" w:eastAsia="Arial" w:hAnsi="Arial"/>
          <w:sz w:val="16"/>
          <w:szCs w:val="16"/>
          <w:color w:val="auto"/>
        </w:rPr>
      </w:pPr>
    </w:p>
    <w:p>
      <w:pPr>
        <w:ind w:left="-770" w:right="179" w:firstLine="770"/>
        <w:spacing w:after="0" w:line="284" w:lineRule="auto"/>
        <w:tabs>
          <w:tab w:leader="none" w:pos="233" w:val="left"/>
        </w:tabs>
        <w:numPr>
          <w:ilvl w:val="0"/>
          <w:numId w:val="40"/>
        </w:numPr>
        <w:rPr>
          <w:rFonts w:ascii="Arial" w:cs="Arial" w:eastAsia="Arial" w:hAnsi="Arial"/>
          <w:sz w:val="16"/>
          <w:szCs w:val="16"/>
          <w:color w:val="auto"/>
        </w:rPr>
      </w:pPr>
      <w:r>
        <w:rPr>
          <w:rFonts w:ascii="Arial" w:cs="Arial" w:eastAsia="Arial" w:hAnsi="Arial"/>
          <w:sz w:val="16"/>
          <w:szCs w:val="16"/>
          <w:color w:val="auto"/>
        </w:rPr>
        <w:t>So long as any shares of Series F Preferred Stock remain outstanding, if all dividends payable pursuant to Section 4 on all outstanding shares of the Series F Preferred Stock for any Dividend Period have not been declared and paid, or declared and funds set aside therefor, the Corporation shall not, directly or indirectly, (x) declare or pay dividends with respect to, or make any distributions on, or, directly or indirectly, redeem, purchase or acquire any of its Junior Securities or (y) directly or indirectly, redeem, purchase or acquire any of its Parity Securities, other than, in each case, (i) redemptions, purchases or other acquisitions of Junior Securities or Parity Securities in connection with any employment contract, benefit plan or other similar arrangement with or for the benefit of any one or more employees, officers, directors or consultants or in connection with a dividend reinvestment plan, (ii) any declaration of a dividend in connection with any stockholders’ rights plan, or the issuance of rights, stock or other property under any stockholders’ rights plan, or the redemption or repurchase of rights pursuant thereto, (iii) conversions or exchanges of Junior Securities or Parity Securities for Junior Securities or Parity Securities, respectively, and (iv) any purchase of fractional interests in shares of the Corporation’s capital stock pursuant to the conversion or exchange provisions of such capital stock or the securities being converted or exchanged. If dividends payable pursuant to Section 4 for any Dividend Payment Date are not paid in full, or declared and funds set aside therefor on the shares of the Series F Preferred Stock and there are issued and outstanding shares of Parity Securities with the same Dividend Payment Date (or, in the case of Parity Securities having dividend payment dates different from the Dividend Payment Dates, on a dividend payment date falling within a Dividend Period applicable to such Dividend Payment Date), then all dividends declared on shares of the Series F Preferred Stock and such Parity Securities on such date or dates, as the case may be, shall be declared pro rata so that the respective amounts of such dividends shall bear the same ratio to each other as full semi-annual dividends per share payable on the shares of the Series F Preferred Stock pursuant to Section 4 and all such Parity Securities otherwise payable on such Dividend Payment Date (or, in the case of Parity Securities having dividend payment dates different from the Dividend Payment Dates, on a dividend payment date falling within a Dividend Period applicable to such Dividend Payment Date) (subject to such dividends on such Parity Securities having been declared by the Board of Directors out of legally available funds and including, in the case of any such Parity Securities that bear cumulative dividends, all accrued but unpaid dividends) bear to each other. However, the foregoing provisions shall not restrict the ability of any Affiliate of the Corporation to engage in any market making transactions in Junior Securities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763905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09"/>
          </w:cols>
          <w:pgMar w:left="1350" w:top="935" w:right="1440" w:bottom="1440" w:gutter="0" w:footer="0" w:header="0"/>
        </w:sectPr>
      </w:pPr>
    </w:p>
    <w:bookmarkStart w:id="81" w:name="page82"/>
    <w:bookmarkEnd w:id="81"/>
    <w:p>
      <w:pPr>
        <w:ind w:right="579" w:firstLine="770"/>
        <w:spacing w:after="0" w:line="257" w:lineRule="auto"/>
        <w:tabs>
          <w:tab w:leader="none" w:pos="1033"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Mandatory Conversion Date with respect to any share of Series F Preferred Stock is prior to the Dividend Payment Date applicable to any Dividend Period, the Holder of such share of Series F Preferred Stock will not have the right to receive any dividends on the Series F Preferred Stock with respect to such Dividend Period, provided that this provision shall not affect any rights to receive any accrued but unpaid dividends on the Series F Preferred Stock attributable to any Dividend Period completed prior to the Mandatory Conversion Date.</w:t>
      </w:r>
    </w:p>
    <w:p>
      <w:pPr>
        <w:spacing w:after="0" w:line="161" w:lineRule="exact"/>
        <w:rPr>
          <w:rFonts w:ascii="Arial" w:cs="Arial" w:eastAsia="Arial" w:hAnsi="Arial"/>
          <w:sz w:val="18"/>
          <w:szCs w:val="18"/>
          <w:color w:val="auto"/>
        </w:rPr>
      </w:pPr>
    </w:p>
    <w:p>
      <w:pPr>
        <w:ind w:right="459" w:firstLine="770"/>
        <w:spacing w:after="0" w:line="279" w:lineRule="auto"/>
        <w:tabs>
          <w:tab w:leader="none" w:pos="1029"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Corporation, in satisfaction of its obligation to issue preferred stock under any provision of this Certificate of Designations to any Holder, may, in order to minimize the number of its authorized and unissued shares of preferred stock used for such purpose, issue depositary shares for such preferred stock, with such depositary shares and underlying preferred stock being in such denominations as the Corporation and such Holder shall mutually agree.</w:t>
      </w:r>
    </w:p>
    <w:p>
      <w:pPr>
        <w:spacing w:after="0" w:line="131" w:lineRule="exact"/>
        <w:rPr>
          <w:sz w:val="20"/>
          <w:szCs w:val="20"/>
          <w:color w:val="auto"/>
        </w:rPr>
      </w:pPr>
    </w:p>
    <w:p>
      <w:pPr>
        <w:ind w:right="359" w:firstLine="778"/>
        <w:spacing w:after="0" w:line="270" w:lineRule="auto"/>
        <w:rPr>
          <w:sz w:val="20"/>
          <w:szCs w:val="20"/>
          <w:color w:val="auto"/>
        </w:rPr>
      </w:pPr>
      <w:r>
        <w:rPr>
          <w:rFonts w:ascii="Arial" w:cs="Arial" w:eastAsia="Arial" w:hAnsi="Arial"/>
          <w:sz w:val="17"/>
          <w:szCs w:val="17"/>
          <w:i w:val="1"/>
          <w:iCs w:val="1"/>
          <w:color w:val="auto"/>
        </w:rPr>
        <w:t xml:space="preserve">Section 5. Liquidation. </w:t>
      </w:r>
      <w:r>
        <w:rPr>
          <w:rFonts w:ascii="Arial" w:cs="Arial" w:eastAsia="Arial" w:hAnsi="Arial"/>
          <w:sz w:val="17"/>
          <w:szCs w:val="17"/>
          <w:color w:val="auto"/>
        </w:rPr>
        <w:t>(a) In the event the Corporation voluntarily or involuntarily liquidates, dissolves or winds up, the</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at the time shall be entitled to receive liquidating distributions in an amount equal to the greater of (i) the Liquidation Preference per share of Series F Preferred Stock plus an amount equal to any accrued but unpaid dividends, whether or not declared, thereon to and including the date of such liquidation and (ii) the payment or distribution to which such Holders would have been entitled if the Series F Preferred Stock were converted into Common Stock (assuming receipt of the Stockholder Approvals) immediately before such liquidation, dissolution or winding-up, out of assets legally available for distribution to the Corporation’s stockholders, before any distribution of assets is made to the holders of the Company Common Stock or any other Junior Securities. After payment of the full amount of such liquidation distribution, the Holders shall not be entitled to any further participation in any distribution of assets by the Corporation.</w:t>
      </w:r>
    </w:p>
    <w:p>
      <w:pPr>
        <w:spacing w:after="0" w:line="141" w:lineRule="exact"/>
        <w:rPr>
          <w:sz w:val="20"/>
          <w:szCs w:val="20"/>
          <w:color w:val="auto"/>
        </w:rPr>
      </w:pPr>
    </w:p>
    <w:p>
      <w:pPr>
        <w:ind w:right="179" w:firstLine="770"/>
        <w:spacing w:after="0" w:line="276" w:lineRule="auto"/>
        <w:tabs>
          <w:tab w:leader="none" w:pos="1033"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the event the assets of the Corporation available for distribution to stockholders upon any liquidation, dissolution or winding-up of the affairs of the Corporation, whether voluntary or involuntary, shall be insufficient to pay in full the amounts payable with respect to all outstanding shares of the Series F Preferred Stock and the corresponding amounts payable on any Parity Securities, Holders and the holders of such Parity Securities shall share ratably in any distribution of assets of the Corporation in proportion to the full respective liquidating distributions to which they would otherwise be respectively entitled.</w:t>
      </w:r>
    </w:p>
    <w:p>
      <w:pPr>
        <w:spacing w:after="0" w:line="145" w:lineRule="exact"/>
        <w:rPr>
          <w:rFonts w:ascii="Arial" w:cs="Arial" w:eastAsia="Arial" w:hAnsi="Arial"/>
          <w:sz w:val="17"/>
          <w:szCs w:val="17"/>
          <w:color w:val="auto"/>
        </w:rPr>
      </w:pPr>
    </w:p>
    <w:p>
      <w:pPr>
        <w:ind w:right="299" w:firstLine="770"/>
        <w:spacing w:after="0" w:line="264" w:lineRule="auto"/>
        <w:tabs>
          <w:tab w:leader="none" w:pos="101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Corporation’s consolidation or merger with or into any other entity, the consolidation or merger of any other entity with or into the Corporation, or the sale of all or substantially all of the Corporation’s property or business will not constitute its liquidation, dissolution or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619760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82" w:name="page83"/>
    <w:bookmarkEnd w:id="82"/>
    <w:p>
      <w:pPr>
        <w:ind w:right="279" w:firstLine="778"/>
        <w:spacing w:after="0" w:line="277" w:lineRule="auto"/>
        <w:rPr>
          <w:sz w:val="20"/>
          <w:szCs w:val="20"/>
          <w:color w:val="auto"/>
        </w:rPr>
      </w:pPr>
      <w:r>
        <w:rPr>
          <w:rFonts w:ascii="Arial" w:cs="Arial" w:eastAsia="Arial" w:hAnsi="Arial"/>
          <w:sz w:val="18"/>
          <w:szCs w:val="18"/>
          <w:i w:val="1"/>
          <w:iCs w:val="1"/>
          <w:color w:val="auto"/>
        </w:rPr>
        <w:t>Section 6. Maturity</w:t>
      </w:r>
      <w:r>
        <w:rPr>
          <w:rFonts w:ascii="Arial" w:cs="Arial" w:eastAsia="Arial" w:hAnsi="Arial"/>
          <w:sz w:val="18"/>
          <w:szCs w:val="18"/>
          <w:color w:val="auto"/>
        </w:rPr>
        <w:t>. The Series F Preferred Stock shall be perpetual unless converted in accordance with this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Designations.</w:t>
      </w:r>
    </w:p>
    <w:p>
      <w:pPr>
        <w:spacing w:after="0" w:line="143"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Section 7. Redemptions</w:t>
      </w:r>
      <w:r>
        <w:rPr>
          <w:rFonts w:ascii="Arial" w:cs="Arial" w:eastAsia="Arial" w:hAnsi="Arial"/>
          <w:sz w:val="18"/>
          <w:szCs w:val="18"/>
          <w:color w:val="auto"/>
        </w:rPr>
        <w:t>.</w:t>
      </w:r>
    </w:p>
    <w:p>
      <w:pPr>
        <w:spacing w:after="0" w:line="185" w:lineRule="exact"/>
        <w:rPr>
          <w:sz w:val="20"/>
          <w:szCs w:val="20"/>
          <w:color w:val="auto"/>
        </w:rPr>
      </w:pPr>
    </w:p>
    <w:p>
      <w:pPr>
        <w:ind w:right="179" w:firstLine="770"/>
        <w:spacing w:after="0" w:line="269" w:lineRule="auto"/>
        <w:tabs>
          <w:tab w:leader="none" w:pos="1022"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Optional Redemption</w:t>
      </w:r>
      <w:r>
        <w:rPr>
          <w:rFonts w:ascii="Arial" w:cs="Arial" w:eastAsia="Arial" w:hAnsi="Arial"/>
          <w:sz w:val="17"/>
          <w:szCs w:val="17"/>
          <w:color w:val="auto"/>
        </w:rPr>
        <w:t>. The Series F Preferred Stock may not be redeemed by the Corporation prior to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2015. After December 31, 2015, the Corporation, at its option, may redeem in whole at any time the shares of Series F Preferred Stock at the time outstanding, upon notice given as provided in Section 7(c) below, at a redemption price per share payable in cash equal to the greater of (i) 150.0% of the sum of (A) the Liquidation Preference, plus (B) all accrued and unpaid dividends, whether or not declared, up to, but excluding, the date fixed for redemption and (ii) 125.0% of (A) the number of shares of Common Stock into which a share of Series F Preferred Stock would be convertible on the Trading Day immediately prior to the date fixed for redemption (assuming receipt of Stockholder Approvals) multiplied by (B) the Closing Price of Common Stock on such Trading Day. The redemption price for any shares of Series F Preferred Stock shall be payable on the redemption date to the Holder of such shares against surrender of the certificate(s) evidencing such shares to the Corporation or its agent. Any declared but unpaid dividends payable on a redemption date that occurs subsequent to a Record Date for a Dividend Period shall not be paid to the Holder entitled to receive the redemption price on the redemption date, but rather shall be paid to the holder of record of the redeemed shares on such Record Date.</w:t>
      </w:r>
    </w:p>
    <w:p>
      <w:pPr>
        <w:spacing w:after="0" w:line="139" w:lineRule="exact"/>
        <w:rPr>
          <w:rFonts w:ascii="Arial" w:cs="Arial" w:eastAsia="Arial" w:hAnsi="Arial"/>
          <w:sz w:val="17"/>
          <w:szCs w:val="17"/>
          <w:color w:val="auto"/>
        </w:rPr>
      </w:pPr>
    </w:p>
    <w:p>
      <w:pPr>
        <w:ind w:right="239" w:firstLine="770"/>
        <w:spacing w:after="0" w:line="264" w:lineRule="auto"/>
        <w:tabs>
          <w:tab w:leader="none" w:pos="1032"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No Sinking Fund</w:t>
      </w:r>
      <w:r>
        <w:rPr>
          <w:rFonts w:ascii="Arial" w:cs="Arial" w:eastAsia="Arial" w:hAnsi="Arial"/>
          <w:sz w:val="18"/>
          <w:szCs w:val="18"/>
          <w:color w:val="auto"/>
        </w:rPr>
        <w:t>. The Series F Preferred Stock will not be subject to any mandatory redemption, sinking fund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similar provisions. Holders of Series F Preferred Stock will have no right to require redemption of any shares of Series F Preferred Stock.</w:t>
      </w:r>
    </w:p>
    <w:p>
      <w:pPr>
        <w:spacing w:after="0" w:line="154" w:lineRule="exact"/>
        <w:rPr>
          <w:rFonts w:ascii="Arial" w:cs="Arial" w:eastAsia="Arial" w:hAnsi="Arial"/>
          <w:sz w:val="18"/>
          <w:szCs w:val="18"/>
          <w:color w:val="auto"/>
        </w:rPr>
      </w:pPr>
    </w:p>
    <w:p>
      <w:pPr>
        <w:ind w:right="159" w:firstLine="770"/>
        <w:spacing w:after="0" w:line="287" w:lineRule="auto"/>
        <w:tabs>
          <w:tab w:leader="none" w:pos="1022"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Notice of Redemption</w:t>
      </w:r>
      <w:r>
        <w:rPr>
          <w:rFonts w:ascii="Arial" w:cs="Arial" w:eastAsia="Arial" w:hAnsi="Arial"/>
          <w:sz w:val="16"/>
          <w:szCs w:val="16"/>
          <w:color w:val="auto"/>
        </w:rPr>
        <w:t>. Notice of every redemption of shares of Series F Preferred Stock shall be given by first class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mail, postage prepaid, addressed to the Holders of the shares to be redeemed at their respective last addresses appearing on the books of the Corporation. Such mailing shall be at least 30 days and not more than 60 days before the date fixed for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failure to give such notice by mail, or any defect in such notice or in the mailing thereof, to any Holder of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Series F Preferred Stock designated for redemption shall not affect the validity of the proceedings for the redemption of any other shares of Series F Preferred Stock to be so redeemed except as to the Holder to whom the Corporation has failed to give such notice or except as to the Holder to whom notice was defective. Notwithstanding the foregoing, if the Series F Preferred Stock or any depositary shares representing interests in the Series F Preferred Stock are issued in book-entry form through The Depository Trust Company or any other similar facility, notice of redemption may be given to the Holders of Series F Preferred Stock at such time and in any manner permitted by such facility. Each such notice given to a Holder shall state: (1) the redemption date; (2) the number of shares of Series F Preferred Stock to be redeemed; (3) the redemption price (or manner of determination of the redemption price); and (4) the place or places where certificates for such shares are to be surrendered for payment of the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611505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83" w:name="page84"/>
    <w:bookmarkEnd w:id="83"/>
    <w:p>
      <w:pPr>
        <w:ind w:right="199" w:firstLine="770"/>
        <w:spacing w:after="0" w:line="286" w:lineRule="auto"/>
        <w:tabs>
          <w:tab w:leader="none" w:pos="1032"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Effectiveness of Redemption</w:t>
      </w:r>
      <w:r>
        <w:rPr>
          <w:rFonts w:ascii="Arial" w:cs="Arial" w:eastAsia="Arial" w:hAnsi="Arial"/>
          <w:sz w:val="16"/>
          <w:szCs w:val="16"/>
          <w:color w:val="auto"/>
        </w:rPr>
        <w:t>. If notice of redemption has been duly given as provided in Section 7(c) and if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before the redemption date specified in the notice all funds necessary for the redemption have been set aside by the Corporation, separate and apart from its other funds, in trust for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benefit of the Holders of the shares called for redemption, so as to be and continue to be available therefor, then, notwithstanding that any certificate for any share so called for redemption has not been surrendered for cancellation, on and after the redemption date unless the Corporation defaults in the payment of the redemption price, in which case such rights shall continue until the redemption price is paid,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without interest. Any funds unclaimed at the end of two years from the redemption date shall, to the extent permitted by law, be released to the Corporation, after which time the Holders of the shares so called for redemption shall look only to the Corporation for payment of the redemption price of such shares. Shares of outstanding Series F Preferred Stock that are redeemed, purchased or otherwise acquired by the Corporation, or converted into another series of Preferred Stock, shall be cancelled and shall revert to authorized but unissued shares of Preferred Stock undesignated as to series.</w:t>
      </w:r>
    </w:p>
    <w:p>
      <w:pPr>
        <w:spacing w:after="0" w:line="148" w:lineRule="exact"/>
        <w:rPr>
          <w:sz w:val="20"/>
          <w:szCs w:val="20"/>
          <w:color w:val="auto"/>
        </w:rPr>
      </w:pPr>
    </w:p>
    <w:p>
      <w:pPr>
        <w:ind w:right="199" w:firstLine="778"/>
        <w:spacing w:after="0" w:line="253" w:lineRule="auto"/>
        <w:rPr>
          <w:sz w:val="20"/>
          <w:szCs w:val="20"/>
          <w:color w:val="auto"/>
        </w:rPr>
      </w:pPr>
      <w:r>
        <w:rPr>
          <w:rFonts w:ascii="Arial" w:cs="Arial" w:eastAsia="Arial" w:hAnsi="Arial"/>
          <w:sz w:val="18"/>
          <w:szCs w:val="18"/>
          <w:i w:val="1"/>
          <w:iCs w:val="1"/>
          <w:color w:val="auto"/>
        </w:rPr>
        <w:t>Section 8. Mandatory Conversion</w:t>
      </w:r>
      <w:r>
        <w:rPr>
          <w:rFonts w:ascii="Arial" w:cs="Arial" w:eastAsia="Arial" w:hAnsi="Arial"/>
          <w:sz w:val="18"/>
          <w:szCs w:val="18"/>
          <w:color w:val="auto"/>
        </w:rPr>
        <w:t>. Effective as of the close of business on the Mandatory Conversion Date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shares of Series F Preferred Stock of a Holder, all such Holder’s shares of Series F Preferred Stock shall automatically convert into shares of Common Stock as set forth below. The number of shares of Common Stock into which a share of Series F Preferred Stock shall be convertible shall be determined by dividing (i) the Liquidation Preference by (ii) the Applicable Conversion Price (subject to the conversion procedures of Section 9 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the Series F Preferred Stock shall not convert into Common Stock unless and until all accrued and unpaid dividends, whether or not declared, with respect to any Dividend Period completed prior to the Mandatory Conversion Date (but not with respect to the Dividend Period in which the Mandatory Conversion Date occurs) have been paid in cash to the Holders. Upon conversion, Holders shall receive cash in lieu of fractional shares in accordance with Section 13 hereof.</w:t>
      </w:r>
    </w:p>
    <w:p>
      <w:pPr>
        <w:spacing w:after="0" w:line="157"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Section 9. Conversion Procedures</w:t>
      </w:r>
      <w:r>
        <w:rPr>
          <w:rFonts w:ascii="Arial" w:cs="Arial" w:eastAsia="Arial" w:hAnsi="Arial"/>
          <w:sz w:val="18"/>
          <w:szCs w:val="18"/>
          <w:color w:val="auto"/>
        </w:rPr>
        <w:t>.</w:t>
      </w:r>
    </w:p>
    <w:p>
      <w:pPr>
        <w:spacing w:after="0" w:line="185" w:lineRule="exact"/>
        <w:rPr>
          <w:sz w:val="20"/>
          <w:szCs w:val="20"/>
          <w:color w:val="auto"/>
        </w:rPr>
      </w:pPr>
    </w:p>
    <w:p>
      <w:pPr>
        <w:ind w:right="179" w:firstLine="770"/>
        <w:spacing w:after="0" w:line="259" w:lineRule="auto"/>
        <w:tabs>
          <w:tab w:leader="none" w:pos="1013" w:val="left"/>
        </w:tabs>
        <w:numPr>
          <w:ilvl w:val="1"/>
          <w:numId w:val="45"/>
        </w:numPr>
        <w:rPr>
          <w:rFonts w:ascii="Arial" w:cs="Arial" w:eastAsia="Arial" w:hAnsi="Arial"/>
          <w:sz w:val="18"/>
          <w:szCs w:val="18"/>
          <w:color w:val="auto"/>
        </w:rPr>
      </w:pPr>
      <w:r>
        <w:rPr>
          <w:rFonts w:ascii="Arial" w:cs="Arial" w:eastAsia="Arial" w:hAnsi="Arial"/>
          <w:sz w:val="18"/>
          <w:szCs w:val="18"/>
          <w:color w:val="auto"/>
        </w:rPr>
        <w:t>At least one Business Day prior to the Mandatory Conversion Date with respect to shares of any Holder, the Corporation shall provide notice of such conversion to such Holder (such notice a “</w:t>
      </w:r>
      <w:r>
        <w:rPr>
          <w:rFonts w:ascii="Arial" w:cs="Arial" w:eastAsia="Arial" w:hAnsi="Arial"/>
          <w:sz w:val="18"/>
          <w:szCs w:val="18"/>
          <w:u w:val="single" w:color="auto"/>
          <w:color w:val="auto"/>
        </w:rPr>
        <w:t>Notice of Mandatory Conversion</w:t>
      </w:r>
      <w:r>
        <w:rPr>
          <w:rFonts w:ascii="Arial" w:cs="Arial" w:eastAsia="Arial" w:hAnsi="Arial"/>
          <w:sz w:val="18"/>
          <w:szCs w:val="18"/>
          <w:color w:val="auto"/>
        </w:rPr>
        <w:t>”). In addition to any information required by applicable law or regulation, the Notice of Mandatory Conversion with respect to such Holder shall state, as appropriate:</w:t>
      </w:r>
    </w:p>
    <w:p>
      <w:pPr>
        <w:spacing w:after="0" w:line="159" w:lineRule="exact"/>
        <w:rPr>
          <w:rFonts w:ascii="Arial" w:cs="Arial" w:eastAsia="Arial" w:hAnsi="Arial"/>
          <w:sz w:val="18"/>
          <w:szCs w:val="18"/>
          <w:color w:val="auto"/>
        </w:rPr>
      </w:pPr>
    </w:p>
    <w:p>
      <w:pPr>
        <w:ind w:left="600" w:hanging="219"/>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Mandatory Conversion Date;</w:t>
      </w:r>
    </w:p>
    <w:p>
      <w:pPr>
        <w:spacing w:after="0" w:line="184" w:lineRule="exact"/>
        <w:rPr>
          <w:rFonts w:ascii="Arial" w:cs="Arial" w:eastAsia="Arial" w:hAnsi="Arial"/>
          <w:sz w:val="18"/>
          <w:szCs w:val="18"/>
          <w:color w:val="auto"/>
        </w:rPr>
      </w:pPr>
    </w:p>
    <w:p>
      <w:pPr>
        <w:ind w:left="640" w:hanging="259"/>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Applicable Conversion Price;</w:t>
      </w:r>
    </w:p>
    <w:p>
      <w:pPr>
        <w:spacing w:after="0" w:line="184" w:lineRule="exact"/>
        <w:rPr>
          <w:rFonts w:ascii="Arial" w:cs="Arial" w:eastAsia="Arial" w:hAnsi="Arial"/>
          <w:sz w:val="18"/>
          <w:szCs w:val="18"/>
          <w:color w:val="auto"/>
        </w:rPr>
      </w:pPr>
    </w:p>
    <w:p>
      <w:pPr>
        <w:ind w:right="639" w:firstLine="381"/>
        <w:spacing w:after="0" w:line="277" w:lineRule="auto"/>
        <w:tabs>
          <w:tab w:leader="none" w:pos="7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shares of Common Stock to be issued upon conversion of each share of Series F Preferred Stock held of record by such Holder and subject to such mandatory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621030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84" w:name="page85"/>
    <w:bookmarkEnd w:id="84"/>
    <w:p>
      <w:pPr>
        <w:ind w:left="-381" w:right="319" w:firstLine="381"/>
        <w:spacing w:after="0" w:line="277" w:lineRule="auto"/>
        <w:tabs>
          <w:tab w:leader="none" w:pos="3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certificates are to be issued, the place or places where certificates for shares of Series F Preferred Stock held of record by such Holder are to be surrendered for issuance of certificates representing shares of Common Stock; and</w:t>
      </w:r>
    </w:p>
    <w:p>
      <w:pPr>
        <w:spacing w:after="0" w:line="143" w:lineRule="exact"/>
        <w:rPr>
          <w:rFonts w:ascii="Arial" w:cs="Arial" w:eastAsia="Arial" w:hAnsi="Arial"/>
          <w:sz w:val="18"/>
          <w:szCs w:val="18"/>
          <w:color w:val="auto"/>
        </w:rPr>
      </w:pPr>
    </w:p>
    <w:p>
      <w:pPr>
        <w:ind w:left="-381" w:right="459" w:firstLine="381"/>
        <w:spacing w:after="0" w:line="277" w:lineRule="auto"/>
        <w:tabs>
          <w:tab w:leader="none" w:pos="26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 of accrued and unpaid dividends to be paid in cash on each share of Series F Preferred Stock held of record by such Holder prior to such mandatory conversion.</w:t>
      </w:r>
    </w:p>
    <w:p>
      <w:pPr>
        <w:spacing w:after="0" w:line="129" w:lineRule="exact"/>
        <w:rPr>
          <w:rFonts w:ascii="Arial" w:cs="Arial" w:eastAsia="Arial" w:hAnsi="Arial"/>
          <w:sz w:val="18"/>
          <w:szCs w:val="18"/>
          <w:color w:val="auto"/>
        </w:rPr>
      </w:pPr>
    </w:p>
    <w:p>
      <w:pPr>
        <w:ind w:left="-381" w:right="259" w:firstLine="770"/>
        <w:spacing w:after="0" w:line="255" w:lineRule="auto"/>
        <w:tabs>
          <w:tab w:leader="none" w:pos="652" w:val="left"/>
        </w:tabs>
        <w:numPr>
          <w:ilvl w:val="1"/>
          <w:numId w:val="47"/>
        </w:numPr>
        <w:rPr>
          <w:rFonts w:ascii="Arial" w:cs="Arial" w:eastAsia="Arial" w:hAnsi="Arial"/>
          <w:sz w:val="18"/>
          <w:szCs w:val="18"/>
          <w:color w:val="auto"/>
        </w:rPr>
      </w:pPr>
      <w:r>
        <w:rPr>
          <w:rFonts w:ascii="Arial" w:cs="Arial" w:eastAsia="Arial" w:hAnsi="Arial"/>
          <w:sz w:val="18"/>
          <w:szCs w:val="18"/>
          <w:color w:val="auto"/>
        </w:rPr>
        <w:t>Effective immediately prior to the close of business on the Mandatory Conversion Date with respect to any shares of Series F Preferred Stock dividends shall no longer be declared on any such shares of Series F Preferred Stock and such shares of Series F Preferred Stock shall cease to be outstanding, in each case, subject to the right of the Holder to receive (i) shares of Common Stock issuable upon such mandatory conversion, (ii) any declared and unpaid dividends on such share to the extent provided in Section 4(g) and (iii) any other payments to which such Holder is otherwise entitled pursuant to Section 5, Section 7, Section 8, Section 11 or Section 13 hereof, as applicable.</w:t>
      </w:r>
    </w:p>
    <w:p>
      <w:pPr>
        <w:spacing w:after="0" w:line="152" w:lineRule="exact"/>
        <w:rPr>
          <w:rFonts w:ascii="Arial" w:cs="Arial" w:eastAsia="Arial" w:hAnsi="Arial"/>
          <w:sz w:val="18"/>
          <w:szCs w:val="18"/>
          <w:color w:val="auto"/>
        </w:rPr>
      </w:pPr>
    </w:p>
    <w:p>
      <w:pPr>
        <w:ind w:left="-381" w:right="179" w:firstLine="770"/>
        <w:spacing w:after="0" w:line="290" w:lineRule="auto"/>
        <w:tabs>
          <w:tab w:leader="none" w:pos="642" w:val="left"/>
        </w:tabs>
        <w:numPr>
          <w:ilvl w:val="1"/>
          <w:numId w:val="47"/>
        </w:numPr>
        <w:rPr>
          <w:rFonts w:ascii="Arial" w:cs="Arial" w:eastAsia="Arial" w:hAnsi="Arial"/>
          <w:sz w:val="16"/>
          <w:szCs w:val="16"/>
          <w:color w:val="auto"/>
        </w:rPr>
      </w:pPr>
      <w:r>
        <w:rPr>
          <w:rFonts w:ascii="Arial" w:cs="Arial" w:eastAsia="Arial" w:hAnsi="Arial"/>
          <w:sz w:val="16"/>
          <w:szCs w:val="16"/>
          <w:color w:val="auto"/>
        </w:rPr>
        <w:t>No allowance or adjustment, except pursuant to Section 4 or Section 10, shall be made in respect of dividends payable to holders of the Common Stock of record as of any date prior to the close of business on the Mandatory Conversion Date with respect to any share of Series F Preferred Stock. Prior to the close of business on the Mandatory Conversion Date with respect to any share of Series F Preferred Stock, shares of Common Stock issuable upon conversion thereof, or other securities issuable upon conversion of, such share of Series F Preferred Stock shall not be deemed outstanding for any purpose, and the Holder thereof shall have no rights with respect to the Common Stock or other securities issuable upon conversion (including voting rights, rights to respond to tender offers for the Common Stock or other securities issuable upon conversion and rights to receive any dividends or other distributions on the Common Stock or other securities issuable upon conversion) by virtue of holding such share of Series F Preferred Stock.</w:t>
      </w:r>
    </w:p>
    <w:p>
      <w:pPr>
        <w:spacing w:after="0" w:line="139" w:lineRule="exact"/>
        <w:rPr>
          <w:rFonts w:ascii="Arial" w:cs="Arial" w:eastAsia="Arial" w:hAnsi="Arial"/>
          <w:sz w:val="16"/>
          <w:szCs w:val="16"/>
          <w:color w:val="auto"/>
        </w:rPr>
      </w:pPr>
    </w:p>
    <w:p>
      <w:pPr>
        <w:ind w:left="-381" w:right="179" w:firstLine="770"/>
        <w:spacing w:after="0" w:line="255" w:lineRule="auto"/>
        <w:tabs>
          <w:tab w:leader="none" w:pos="652"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Shares of Series F Preferred Stock duly converted in accordance with this Certificate of Designations, or otherwise reacquired by the Corporation, will resume the status of authorized and unissued preferred stock, undesignated as to series and available for future issuance. The Corporation may from time-to-time take such appropriate action as may be necessary to reduce the authorized number of shares of Series F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Corporation shall not take any such action if such action would reduce the authorized number of shares of Series F Preferred Stock below the number of shares of Series F Preferred Stock then outstanding.</w:t>
      </w:r>
    </w:p>
    <w:p>
      <w:pPr>
        <w:spacing w:after="0" w:line="152" w:lineRule="exact"/>
        <w:rPr>
          <w:rFonts w:ascii="Arial" w:cs="Arial" w:eastAsia="Arial" w:hAnsi="Arial"/>
          <w:sz w:val="18"/>
          <w:szCs w:val="18"/>
          <w:color w:val="auto"/>
        </w:rPr>
      </w:pPr>
    </w:p>
    <w:p>
      <w:pPr>
        <w:ind w:left="-381" w:right="179" w:firstLine="770"/>
        <w:spacing w:after="0" w:line="291" w:lineRule="auto"/>
        <w:tabs>
          <w:tab w:leader="none" w:pos="638"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Person or Persons entitled to receive the Common Stock and/or cash, securities or other property issuable upon conversion of Series F Preferred Stock shall be treated for all purposes as the record holder(s) of such shares of Common Stock and/or securities as of the close of business on the Mandatory Conversion Date with respect thereto. In the event that a Holder shall not by written notice designate the name in which shares of Common Stock and/or cash, securities or other property (including payments of cash in lieu of fractional shares) to be issued or paid upon conversion of shares of Series F Preferred Stock should be registered or paid or the manner in which such shares should be delivered, the Corporation shall be entitled to register and deliver such shares, and make such payment, in the name of the Holder and in the manner shown on the records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619125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98"/>
          </w:cols>
          <w:pgMar w:left="961" w:top="935" w:right="1440" w:bottom="1440" w:gutter="0" w:footer="0" w:header="0"/>
        </w:sectPr>
      </w:pPr>
    </w:p>
    <w:bookmarkStart w:id="85" w:name="page86"/>
    <w:bookmarkEnd w:id="85"/>
    <w:p>
      <w:pPr>
        <w:ind w:right="159" w:firstLine="770"/>
        <w:spacing w:after="0" w:line="257" w:lineRule="auto"/>
        <w:tabs>
          <w:tab w:leader="none" w:pos="1003"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the Mandatory Conversion Date with respect to any share of Series F Preferred Stock, certificates representing shares of Common Stock shall be issued and delivered to the Holder thereof or such Holder’s designee (or, at the Corporation’s option such shares shall be registered in book-entry form) upon presentation and surrender of the certificate evidencing the Series F Preferred Stock to the Corporation and, if required, the furnishing of appropriate endorsements and transfer documents and the payment of all transfer and similar taxes.</w:t>
      </w:r>
    </w:p>
    <w:p>
      <w:pPr>
        <w:spacing w:after="0" w:line="161"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Section 10. Anti-Dilution Adjustments</w:t>
      </w:r>
      <w:r>
        <w:rPr>
          <w:rFonts w:ascii="Arial" w:cs="Arial" w:eastAsia="Arial" w:hAnsi="Arial"/>
          <w:sz w:val="18"/>
          <w:szCs w:val="18"/>
          <w:color w:val="auto"/>
        </w:rPr>
        <w:t>.</w:t>
      </w:r>
    </w:p>
    <w:p>
      <w:pPr>
        <w:spacing w:after="0" w:line="185" w:lineRule="exact"/>
        <w:rPr>
          <w:sz w:val="20"/>
          <w:szCs w:val="20"/>
          <w:color w:val="auto"/>
        </w:rPr>
      </w:pPr>
    </w:p>
    <w:p>
      <w:pPr>
        <w:ind w:left="1020" w:hanging="250"/>
        <w:spacing w:after="0"/>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Conversion Price shall be subject to the following adjustments:</w:t>
      </w:r>
    </w:p>
    <w:p>
      <w:pPr>
        <w:spacing w:after="0" w:line="184" w:lineRule="exact"/>
        <w:rPr>
          <w:rFonts w:ascii="Arial" w:cs="Arial" w:eastAsia="Arial" w:hAnsi="Arial"/>
          <w:sz w:val="18"/>
          <w:szCs w:val="18"/>
          <w:color w:val="auto"/>
        </w:rPr>
      </w:pPr>
    </w:p>
    <w:p>
      <w:pPr>
        <w:ind w:right="319" w:firstLine="381"/>
        <w:spacing w:after="0" w:line="264" w:lineRule="auto"/>
        <w:tabs>
          <w:tab w:leader="none" w:pos="60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Stock Dividends and Distributions</w:t>
      </w:r>
      <w:r>
        <w:rPr>
          <w:rFonts w:ascii="Arial" w:cs="Arial" w:eastAsia="Arial" w:hAnsi="Arial"/>
          <w:sz w:val="18"/>
          <w:szCs w:val="18"/>
          <w:color w:val="auto"/>
        </w:rPr>
        <w:t>. If the Corporation pays dividends or other distributions on the Company Common Stock in shares of Company Common Stock, then the Conversion Price in effect immediately prior to the Ex-Date for such dividend or distribution will be multiplied by the following fraction:</w:t>
      </w:r>
    </w:p>
    <w:p>
      <w:pPr>
        <w:spacing w:after="0" w:line="154"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OS</w:t>
      </w:r>
      <w:r>
        <w:rPr>
          <w:rFonts w:ascii="Arial" w:cs="Arial" w:eastAsia="Arial" w:hAnsi="Arial"/>
          <w:sz w:val="15"/>
          <w:szCs w:val="15"/>
          <w:u w:val="single" w:color="auto"/>
          <w:color w:val="auto"/>
        </w:rPr>
        <w:t>0</w:t>
      </w:r>
    </w:p>
    <w:p>
      <w:pPr>
        <w:spacing w:after="0" w:line="2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OS</w:t>
      </w:r>
      <w:r>
        <w:rPr>
          <w:rFonts w:ascii="Arial" w:cs="Arial" w:eastAsia="Arial" w:hAnsi="Arial"/>
          <w:sz w:val="13"/>
          <w:szCs w:val="13"/>
          <w:color w:val="auto"/>
        </w:rPr>
        <w:t>0</w:t>
      </w:r>
      <w:r>
        <w:rPr>
          <w:rFonts w:ascii="Arial" w:cs="Arial" w:eastAsia="Arial" w:hAnsi="Arial"/>
          <w:sz w:val="16"/>
          <w:szCs w:val="16"/>
          <w:color w:val="auto"/>
        </w:rPr>
        <w:t xml:space="preserve"> = the number of shares of Company Common Stock outstanding immediately prior to Ex-Date for such dividend or distribution.</w:t>
      </w:r>
    </w:p>
    <w:p>
      <w:pPr>
        <w:spacing w:after="0" w:line="221" w:lineRule="exact"/>
        <w:rPr>
          <w:sz w:val="20"/>
          <w:szCs w:val="20"/>
          <w:color w:val="auto"/>
        </w:rPr>
      </w:pPr>
    </w:p>
    <w:p>
      <w:pPr>
        <w:ind w:right="339"/>
        <w:spacing w:after="0" w:line="308" w:lineRule="auto"/>
        <w:rPr>
          <w:sz w:val="20"/>
          <w:szCs w:val="20"/>
          <w:color w:val="auto"/>
        </w:rPr>
      </w:pPr>
      <w:r>
        <w:rPr>
          <w:rFonts w:ascii="Arial" w:cs="Arial" w:eastAsia="Arial" w:hAnsi="Arial"/>
          <w:sz w:val="17"/>
          <w:szCs w:val="17"/>
          <w:color w:val="auto"/>
        </w:rPr>
        <w:t>OS</w:t>
      </w:r>
      <w:r>
        <w:rPr>
          <w:rFonts w:ascii="Arial" w:cs="Arial" w:eastAsia="Arial" w:hAnsi="Arial"/>
          <w:sz w:val="14"/>
          <w:szCs w:val="14"/>
          <w:color w:val="auto"/>
        </w:rPr>
        <w:t>1</w:t>
      </w:r>
      <w:r>
        <w:rPr>
          <w:rFonts w:ascii="Arial" w:cs="Arial" w:eastAsia="Arial" w:hAnsi="Arial"/>
          <w:sz w:val="17"/>
          <w:szCs w:val="17"/>
          <w:color w:val="auto"/>
        </w:rPr>
        <w:t xml:space="preserve"> = the sum of the number of shares of Company Common Stock outstanding immediately prior to the Ex-Date for such dividend or distribution plus the total number of shares of Company Common Stock constituting such dividend or distribution.</w:t>
      </w:r>
    </w:p>
    <w:p>
      <w:pPr>
        <w:spacing w:after="0" w:line="106" w:lineRule="exact"/>
        <w:rPr>
          <w:sz w:val="20"/>
          <w:szCs w:val="20"/>
          <w:color w:val="auto"/>
        </w:rPr>
      </w:pPr>
    </w:p>
    <w:p>
      <w:pPr>
        <w:ind w:right="319"/>
        <w:spacing w:after="0" w:line="297" w:lineRule="auto"/>
        <w:rPr>
          <w:sz w:val="20"/>
          <w:szCs w:val="20"/>
          <w:color w:val="auto"/>
        </w:rPr>
      </w:pPr>
      <w:r>
        <w:rPr>
          <w:rFonts w:ascii="Arial" w:cs="Arial" w:eastAsia="Arial" w:hAnsi="Arial"/>
          <w:sz w:val="16"/>
          <w:szCs w:val="16"/>
          <w:color w:val="auto"/>
        </w:rPr>
        <w:t>For the purposes of this clause (i), the number of shares of Company Common Stock at the time outstanding shall not include shares acquired by the Corporation. If any dividend or distribution described in this clause (i) is declared but not so paid or made, the Conversion Price shall be readjusted, effective as of the date the Board of Directors publicly announces its decision not to make such dividend or distribution, to such Conversion Price that would be in effect if such dividend or distribution had not been declared (but giving effect to any intervening adjustments that may have been made with respect to the Series 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613410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86" w:name="page87"/>
    <w:bookmarkEnd w:id="86"/>
    <w:p>
      <w:pPr>
        <w:ind w:right="259" w:firstLine="381"/>
        <w:spacing w:after="0" w:line="264" w:lineRule="auto"/>
        <w:tabs>
          <w:tab w:leader="none" w:pos="65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Subdivisions, Splits and Combination of the Company Common Stock</w:t>
      </w:r>
      <w:r>
        <w:rPr>
          <w:rFonts w:ascii="Arial" w:cs="Arial" w:eastAsia="Arial" w:hAnsi="Arial"/>
          <w:sz w:val="18"/>
          <w:szCs w:val="18"/>
          <w:color w:val="auto"/>
        </w:rPr>
        <w:t>. If the Corporation subdivides, splits or combines the shares of Company Common Stock, then the Conversion Price in effect immediately prior to the effective date of such share subdivision, split or combination will be multiplied by the following fraction:</w:t>
      </w:r>
    </w:p>
    <w:p>
      <w:pPr>
        <w:spacing w:after="0" w:line="154"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OS</w:t>
      </w:r>
      <w:r>
        <w:rPr>
          <w:rFonts w:ascii="Arial" w:cs="Arial" w:eastAsia="Arial" w:hAnsi="Arial"/>
          <w:sz w:val="15"/>
          <w:szCs w:val="15"/>
          <w:u w:val="single" w:color="auto"/>
          <w:color w:val="auto"/>
        </w:rPr>
        <w:t>0</w:t>
      </w:r>
    </w:p>
    <w:p>
      <w:pPr>
        <w:spacing w:after="0" w:line="2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85"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r>
        <w:rPr>
          <w:rFonts w:ascii="Arial" w:cs="Arial" w:eastAsia="Arial" w:hAnsi="Arial"/>
          <w:sz w:val="18"/>
          <w:szCs w:val="18"/>
          <w:color w:val="auto"/>
        </w:rPr>
        <w:t xml:space="preserve"> = the number of shares of Company Common Stock outstanding immediately prior to the effective date of such share subdivision, split or combination.</w:t>
      </w:r>
    </w:p>
    <w:p>
      <w:pPr>
        <w:spacing w:after="0" w:line="143"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r>
        <w:rPr>
          <w:rFonts w:ascii="Arial" w:cs="Arial" w:eastAsia="Arial" w:hAnsi="Arial"/>
          <w:sz w:val="18"/>
          <w:szCs w:val="18"/>
          <w:color w:val="auto"/>
        </w:rPr>
        <w:t xml:space="preserve"> = the number of shares of Company Common Stock outstanding immediately after the opening of business on the effective date of such share subdivision, split or combination.</w:t>
      </w:r>
    </w:p>
    <w:p>
      <w:pPr>
        <w:spacing w:after="0" w:line="130" w:lineRule="exact"/>
        <w:rPr>
          <w:sz w:val="20"/>
          <w:szCs w:val="20"/>
          <w:color w:val="auto"/>
        </w:rPr>
      </w:pPr>
    </w:p>
    <w:p>
      <w:pPr>
        <w:ind w:right="239"/>
        <w:spacing w:after="0" w:line="293" w:lineRule="auto"/>
        <w:rPr>
          <w:sz w:val="20"/>
          <w:szCs w:val="20"/>
          <w:color w:val="auto"/>
        </w:rPr>
      </w:pPr>
      <w:r>
        <w:rPr>
          <w:rFonts w:ascii="Arial" w:cs="Arial" w:eastAsia="Arial" w:hAnsi="Arial"/>
          <w:sz w:val="16"/>
          <w:szCs w:val="16"/>
          <w:color w:val="auto"/>
        </w:rPr>
        <w:t>For the purposes of this clause (ii), the number of shares of Company Common Stock at the time outstanding shall not include shares acquired by the Corporation. If any subdivision, split or combination described in this clause (ii) is announced but the outstanding shares of Company Common Stock are not subdivided, split or combined, the Conversion Price shall be readjusted, effective as of the date the Board of Directors publicly announces its decision not to subdivide, split or combine the outstanding shares of Company Common Stock, to such Conversion Price that would be in effect if such subdivision, split or combination had not been announced (but giving effect to any intervening adjustments that may have been made with respect to the Series F Preferred Stock).</w:t>
      </w:r>
    </w:p>
    <w:p>
      <w:pPr>
        <w:spacing w:after="0" w:line="124" w:lineRule="exact"/>
        <w:rPr>
          <w:sz w:val="20"/>
          <w:szCs w:val="20"/>
          <w:color w:val="auto"/>
        </w:rPr>
      </w:pPr>
    </w:p>
    <w:p>
      <w:pPr>
        <w:ind w:right="179" w:firstLine="381"/>
        <w:spacing w:after="0" w:line="255" w:lineRule="auto"/>
        <w:tabs>
          <w:tab w:leader="none" w:pos="70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Issuance of Stock Purchase Rights</w:t>
      </w:r>
      <w:r>
        <w:rPr>
          <w:rFonts w:ascii="Arial" w:cs="Arial" w:eastAsia="Arial" w:hAnsi="Arial"/>
          <w:sz w:val="18"/>
          <w:szCs w:val="18"/>
          <w:color w:val="auto"/>
        </w:rPr>
        <w:t>. If the Corporation issues to all or substantially all holders of the shares of Company Common Stock rights or warrants (other than rights or warrants issued pursuant to a stockholders’ rights plan, a dividend reinvestment plan or share purchase plan or other similar plans, including that certain Tax Benefits Preservation Plan, dated February 22, 2011, as amended, between the Corporation and Illinois Stock Transfer Company) entitling them to subscribe for or purchase the shares of Company Common Stock at less than the Current Market Price on the date fixed for the determination of stockholders entitled to receive such rights or warrants, then the Conversion Price in effect immediately prior to the Ex-Date for such distribution will be multiplied by the following fraction:</w:t>
      </w:r>
    </w:p>
    <w:p>
      <w:pPr>
        <w:spacing w:after="0" w:line="162"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OS</w:t>
      </w:r>
      <w:r>
        <w:rPr>
          <w:rFonts w:ascii="Arial" w:cs="Arial" w:eastAsia="Arial" w:hAnsi="Arial"/>
          <w:sz w:val="15"/>
          <w:szCs w:val="15"/>
          <w:u w:val="single" w:color="auto"/>
          <w:color w:val="auto"/>
        </w:rPr>
        <w:t>0</w:t>
      </w:r>
      <w:r>
        <w:rPr>
          <w:rFonts w:ascii="Arial" w:cs="Arial" w:eastAsia="Arial" w:hAnsi="Arial"/>
          <w:sz w:val="18"/>
          <w:szCs w:val="18"/>
          <w:u w:val="single" w:color="auto"/>
          <w:color w:val="auto"/>
        </w:rPr>
        <w:t xml:space="preserve"> + Y</w:t>
      </w:r>
    </w:p>
    <w:p>
      <w:pPr>
        <w:spacing w:after="0" w:line="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r>
        <w:rPr>
          <w:rFonts w:ascii="Arial" w:cs="Arial" w:eastAsia="Arial" w:hAnsi="Arial"/>
          <w:sz w:val="18"/>
          <w:szCs w:val="18"/>
          <w:color w:val="auto"/>
        </w:rPr>
        <w:t xml:space="preserve"> + X</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OS</w:t>
      </w:r>
      <w:r>
        <w:rPr>
          <w:rFonts w:ascii="Arial" w:cs="Arial" w:eastAsia="Arial" w:hAnsi="Arial"/>
          <w:sz w:val="14"/>
          <w:szCs w:val="14"/>
          <w:color w:val="auto"/>
        </w:rPr>
        <w:t>0</w:t>
      </w:r>
      <w:r>
        <w:rPr>
          <w:rFonts w:ascii="Arial" w:cs="Arial" w:eastAsia="Arial" w:hAnsi="Arial"/>
          <w:sz w:val="17"/>
          <w:szCs w:val="17"/>
          <w:color w:val="auto"/>
        </w:rPr>
        <w:t xml:space="preserve"> = the number of shares of Company Common Stock outstanding immediately prior to the Ex-Date for such distribution.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X = the total number of shares of Company Common Stock issuable pursuant to such rights or warrants.</w:t>
      </w:r>
    </w:p>
    <w:p>
      <w:pPr>
        <w:spacing w:after="0" w:line="185" w:lineRule="exact"/>
        <w:rPr>
          <w:sz w:val="20"/>
          <w:szCs w:val="20"/>
          <w:color w:val="auto"/>
        </w:rPr>
      </w:pPr>
    </w:p>
    <w:p>
      <w:pPr>
        <w:ind w:right="219"/>
        <w:spacing w:after="0" w:line="342" w:lineRule="auto"/>
        <w:rPr>
          <w:sz w:val="20"/>
          <w:szCs w:val="20"/>
          <w:color w:val="auto"/>
        </w:rPr>
      </w:pPr>
      <w:r>
        <w:rPr>
          <w:rFonts w:ascii="Arial" w:cs="Arial" w:eastAsia="Arial" w:hAnsi="Arial"/>
          <w:sz w:val="16"/>
          <w:szCs w:val="16"/>
          <w:color w:val="auto"/>
        </w:rPr>
        <w:t>Y = the number of shares of Company Common Stock equal to the aggregate price payable to exercise such rights or warrants divided by the Current Market Price on the date fixed for the determination of stockholders entitled to receive such rights or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591820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87" w:name="page88"/>
    <w:bookmarkEnd w:id="87"/>
    <w:p>
      <w:pPr>
        <w:ind w:right="159"/>
        <w:spacing w:after="0" w:line="286" w:lineRule="auto"/>
        <w:rPr>
          <w:sz w:val="20"/>
          <w:szCs w:val="20"/>
          <w:color w:val="auto"/>
        </w:rPr>
      </w:pPr>
      <w:r>
        <w:rPr>
          <w:rFonts w:ascii="Arial" w:cs="Arial" w:eastAsia="Arial" w:hAnsi="Arial"/>
          <w:sz w:val="16"/>
          <w:szCs w:val="16"/>
          <w:color w:val="auto"/>
        </w:rPr>
        <w:t>For the purposes of this clause (iii), the number of shares of Company Common Stock at the time outstanding shall not include shares acquired by the Corporation. The Corporation shall not issue any such rights or warrants in respect of shares of the Company Common Stock acquired by the Corporation. In the event that such rights or warrants described in this clause (iii) are not so issued, the Conversion Price shall be readjusted, effective as of the date the Board of Directors publicly announces its decision not to issue such rights or warrants, to the Conversion Price that would then be in effect if such issuance had not been declared (but giving effect to any intervening adjustments that may have been made with respect to the Series F Preferred Stock). To the extent that such rights or warrants are not exercised prior to their expiration or shares of Company Common Stock are otherwise not delivered pursuant to such rights or warrants upon the exercise of such rights or warrants, the Conversion Price shall be readjusted to such Conversion Price that would then be in effect had the adjustment made upon the issuance of such rights or warrants been made on the basis of the delivery of only the number of shares of Company Common Stock actually delivered (but giving effect to any intervening adjustments that may have been made with respect to the Series F Preferred Stock). In determining the aggregate offering price payable for such shares of Company Common Stock, there shall be taken into account any consideration received for such rights or warrants and the value of such consideration (if other than cash, to be determined in a reasonable manner by the Board of Directors).</w:t>
      </w:r>
    </w:p>
    <w:p>
      <w:pPr>
        <w:spacing w:after="0" w:line="148" w:lineRule="exact"/>
        <w:rPr>
          <w:sz w:val="20"/>
          <w:szCs w:val="20"/>
          <w:color w:val="auto"/>
        </w:rPr>
      </w:pPr>
    </w:p>
    <w:p>
      <w:pPr>
        <w:ind w:right="219" w:firstLine="381"/>
        <w:spacing w:after="0" w:line="271" w:lineRule="auto"/>
        <w:tabs>
          <w:tab w:leader="none" w:pos="694"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Debt or Asset Distributions</w:t>
      </w:r>
      <w:r>
        <w:rPr>
          <w:rFonts w:ascii="Arial" w:cs="Arial" w:eastAsia="Arial" w:hAnsi="Arial"/>
          <w:sz w:val="17"/>
          <w:szCs w:val="17"/>
          <w:color w:val="auto"/>
        </w:rPr>
        <w:t>. If the Corporation distributes to all or substantially all holders of shares of Common Stock evidences of indebtedness, shares of capital stock, securities, cash or other assets (excluding any dividend or distribution referred to in clause (i) above, any rights or warrants referred to in clause (iii) above, any dividend or distribution paid exclusively in cash, any consideration payable in connection with a tender or exchange offer made by the Corporation or any of its applicable subsidiaries, and any dividend of shares of capital stock of any class or series, or similar equity interests, of or relating to a subsidiary or other business unit in the case of certain spin-off transactions as described below) (such evidences of indebtedness, shares of capital stock, securities, cash or other assets, the “</w:t>
      </w:r>
      <w:r>
        <w:rPr>
          <w:rFonts w:ascii="Arial" w:cs="Arial" w:eastAsia="Arial" w:hAnsi="Arial"/>
          <w:sz w:val="17"/>
          <w:szCs w:val="17"/>
          <w:u w:val="single" w:color="auto"/>
          <w:color w:val="auto"/>
        </w:rPr>
        <w:t>Distributed Property</w:t>
      </w:r>
      <w:r>
        <w:rPr>
          <w:rFonts w:ascii="Arial" w:cs="Arial" w:eastAsia="Arial" w:hAnsi="Arial"/>
          <w:sz w:val="17"/>
          <w:szCs w:val="17"/>
          <w:color w:val="auto"/>
        </w:rPr>
        <w:t>”), then the Conversion Price in effect immediately prior to the Ex-Date for such distribution will be multiplied by the following fraction:</w:t>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SP</w:t>
      </w:r>
      <w:r>
        <w:rPr>
          <w:rFonts w:ascii="Arial" w:cs="Arial" w:eastAsia="Arial" w:hAnsi="Arial"/>
          <w:sz w:val="15"/>
          <w:szCs w:val="15"/>
          <w:u w:val="single" w:color="auto"/>
          <w:color w:val="auto"/>
        </w:rPr>
        <w:t>0</w:t>
      </w:r>
      <w:r>
        <w:rPr>
          <w:rFonts w:ascii="Arial" w:cs="Arial" w:eastAsia="Arial" w:hAnsi="Arial"/>
          <w:sz w:val="18"/>
          <w:szCs w:val="18"/>
          <w:u w:val="single" w:color="auto"/>
          <w:color w:val="auto"/>
        </w:rPr>
        <w:t xml:space="preserve"> – FMV</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r>
        <w:rPr>
          <w:rFonts w:ascii="Arial" w:cs="Arial" w:eastAsia="Arial" w:hAnsi="Arial"/>
          <w:sz w:val="18"/>
          <w:szCs w:val="18"/>
          <w:color w:val="auto"/>
        </w:rPr>
        <w:t xml:space="preserve"> = the Current Market Price per share of Common Stock on such date.</w:t>
      </w:r>
    </w:p>
    <w:p>
      <w:pPr>
        <w:spacing w:after="0" w:line="185" w:lineRule="exact"/>
        <w:rPr>
          <w:sz w:val="20"/>
          <w:szCs w:val="20"/>
          <w:color w:val="auto"/>
        </w:rPr>
      </w:pPr>
    </w:p>
    <w:p>
      <w:pPr>
        <w:ind w:left="380" w:right="859"/>
        <w:spacing w:after="0" w:line="277" w:lineRule="auto"/>
        <w:rPr>
          <w:sz w:val="20"/>
          <w:szCs w:val="20"/>
          <w:color w:val="auto"/>
        </w:rPr>
      </w:pPr>
      <w:r>
        <w:rPr>
          <w:rFonts w:ascii="Arial" w:cs="Arial" w:eastAsia="Arial" w:hAnsi="Arial"/>
          <w:sz w:val="18"/>
          <w:szCs w:val="18"/>
          <w:color w:val="auto"/>
        </w:rPr>
        <w:t>FMV = the fair market value of the portion of the distribution applicable to one share of Common Stock on such date as determined in good faith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621030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88" w:name="page89"/>
    <w:bookmarkEnd w:id="88"/>
    <w:p>
      <w:pPr>
        <w:ind w:left="8" w:right="159"/>
        <w:spacing w:after="0" w:line="259" w:lineRule="auto"/>
        <w:rPr>
          <w:sz w:val="20"/>
          <w:szCs w:val="20"/>
          <w:color w:val="auto"/>
        </w:rPr>
      </w:pPr>
      <w:r>
        <w:rPr>
          <w:rFonts w:ascii="Arial" w:cs="Arial" w:eastAsia="Arial" w:hAnsi="Arial"/>
          <w:sz w:val="18"/>
          <w:szCs w:val="18"/>
          <w:color w:val="auto"/>
        </w:rPr>
        <w:t>In a “spin-off”, where the Corporation makes a distribution to all holders of shares of Common Stock consisting of capital stock of any class or series, or similar equity interests of, or relating to, a subsidiary or other business unit, the Conversion Price will be adjusted on the fifteenth Trading Day after the effective date of the distribution by multiplying such Conversion Price in effect immediately prior to such fifteenth Trading Day by the following fraction:</w:t>
      </w:r>
    </w:p>
    <w:p>
      <w:pPr>
        <w:spacing w:after="0" w:line="160"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MP</w:t>
      </w:r>
      <w:r>
        <w:rPr>
          <w:rFonts w:ascii="Arial" w:cs="Arial" w:eastAsia="Arial" w:hAnsi="Arial"/>
          <w:sz w:val="15"/>
          <w:szCs w:val="15"/>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2830195</wp:posOffset>
            </wp:positionH>
            <wp:positionV relativeFrom="paragraph">
              <wp:posOffset>6350</wp:posOffset>
            </wp:positionV>
            <wp:extent cx="5143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5"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MP</w:t>
      </w:r>
      <w:r>
        <w:rPr>
          <w:rFonts w:ascii="Arial" w:cs="Arial" w:eastAsia="Arial" w:hAnsi="Arial"/>
          <w:sz w:val="15"/>
          <w:szCs w:val="15"/>
          <w:color w:val="auto"/>
        </w:rPr>
        <w:t>0</w:t>
      </w:r>
      <w:r>
        <w:rPr>
          <w:rFonts w:ascii="Arial" w:cs="Arial" w:eastAsia="Arial" w:hAnsi="Arial"/>
          <w:sz w:val="18"/>
          <w:szCs w:val="18"/>
          <w:color w:val="auto"/>
        </w:rPr>
        <w:t>+ MP</w:t>
      </w:r>
      <w:r>
        <w:rPr>
          <w:rFonts w:ascii="Arial" w:cs="Arial" w:eastAsia="Arial" w:hAnsi="Arial"/>
          <w:sz w:val="15"/>
          <w:szCs w:val="15"/>
          <w:color w:val="auto"/>
        </w:rPr>
        <w:t>s</w:t>
      </w:r>
    </w:p>
    <w:p>
      <w:pPr>
        <w:spacing w:after="0" w:line="169" w:lineRule="exact"/>
        <w:rPr>
          <w:sz w:val="20"/>
          <w:szCs w:val="20"/>
          <w:color w:val="auto"/>
        </w:rPr>
      </w:pPr>
    </w:p>
    <w:p>
      <w:pPr>
        <w:ind w:left="8"/>
        <w:spacing w:after="0"/>
        <w:rPr>
          <w:sz w:val="20"/>
          <w:szCs w:val="20"/>
          <w:color w:val="auto"/>
        </w:rPr>
      </w:pPr>
      <w:r>
        <w:rPr>
          <w:rFonts w:ascii="Arial" w:cs="Arial" w:eastAsia="Arial" w:hAnsi="Arial"/>
          <w:sz w:val="18"/>
          <w:szCs w:val="18"/>
          <w:color w:val="auto"/>
        </w:rPr>
        <w:t>Where,</w:t>
      </w:r>
    </w:p>
    <w:p>
      <w:pPr>
        <w:spacing w:after="0" w:line="185" w:lineRule="exact"/>
        <w:rPr>
          <w:sz w:val="20"/>
          <w:szCs w:val="20"/>
          <w:color w:val="auto"/>
        </w:rPr>
      </w:pPr>
    </w:p>
    <w:p>
      <w:pPr>
        <w:ind w:left="8" w:right="259"/>
        <w:spacing w:after="0" w:line="277" w:lineRule="auto"/>
        <w:rPr>
          <w:sz w:val="20"/>
          <w:szCs w:val="20"/>
          <w:color w:val="auto"/>
        </w:rPr>
      </w:pPr>
      <w:r>
        <w:rPr>
          <w:rFonts w:ascii="Arial" w:cs="Arial" w:eastAsia="Arial" w:hAnsi="Arial"/>
          <w:sz w:val="18"/>
          <w:szCs w:val="18"/>
          <w:color w:val="auto"/>
        </w:rPr>
        <w:t>MP</w:t>
      </w:r>
      <w:r>
        <w:rPr>
          <w:rFonts w:ascii="Arial" w:cs="Arial" w:eastAsia="Arial" w:hAnsi="Arial"/>
          <w:sz w:val="15"/>
          <w:szCs w:val="15"/>
          <w:color w:val="auto"/>
        </w:rPr>
        <w:t>0</w:t>
      </w:r>
      <w:r>
        <w:rPr>
          <w:rFonts w:ascii="Arial" w:cs="Arial" w:eastAsia="Arial" w:hAnsi="Arial"/>
          <w:sz w:val="18"/>
          <w:szCs w:val="18"/>
          <w:color w:val="auto"/>
        </w:rPr>
        <w:t xml:space="preserve"> = the average of the Closing Prices of the Common Stock over the first ten Trading Days commencing on and including the fifth Trading Day following the effective date of such distribution.</w:t>
      </w:r>
    </w:p>
    <w:p>
      <w:pPr>
        <w:spacing w:after="0" w:line="143" w:lineRule="exact"/>
        <w:rPr>
          <w:sz w:val="20"/>
          <w:szCs w:val="20"/>
          <w:color w:val="auto"/>
        </w:rPr>
      </w:pPr>
    </w:p>
    <w:p>
      <w:pPr>
        <w:ind w:left="8" w:right="179"/>
        <w:spacing w:after="0" w:line="257" w:lineRule="auto"/>
        <w:rPr>
          <w:sz w:val="20"/>
          <w:szCs w:val="20"/>
          <w:color w:val="auto"/>
        </w:rPr>
      </w:pPr>
      <w:r>
        <w:rPr>
          <w:rFonts w:ascii="Arial" w:cs="Arial" w:eastAsia="Arial" w:hAnsi="Arial"/>
          <w:sz w:val="18"/>
          <w:szCs w:val="18"/>
          <w:color w:val="auto"/>
        </w:rPr>
        <w:t>MP</w:t>
      </w:r>
      <w:r>
        <w:rPr>
          <w:rFonts w:ascii="Arial" w:cs="Arial" w:eastAsia="Arial" w:hAnsi="Arial"/>
          <w:sz w:val="15"/>
          <w:szCs w:val="15"/>
          <w:color w:val="auto"/>
        </w:rPr>
        <w:t>s</w:t>
      </w:r>
      <w:r>
        <w:rPr>
          <w:rFonts w:ascii="Arial" w:cs="Arial" w:eastAsia="Arial" w:hAnsi="Arial"/>
          <w:sz w:val="18"/>
          <w:szCs w:val="18"/>
          <w:color w:val="auto"/>
        </w:rPr>
        <w:t xml:space="preserve"> = the average of the Closing Prices of the capital stock or equity interests representing the portion of the distribution applicable to one share of Common Stock over the first ten Trading Days commencing on and including the fifth Trading Day following the effective date of such distribution, or, if not traded on a national or regional securities exchange or over-the-counter market, the fair market value of the capital stock or equity interests representing the portion of the distribution applicable to one share of Common Stock on such date as determined by the Board of Directors.</w:t>
      </w:r>
    </w:p>
    <w:p>
      <w:pPr>
        <w:spacing w:after="0" w:line="148" w:lineRule="exact"/>
        <w:rPr>
          <w:sz w:val="20"/>
          <w:szCs w:val="20"/>
          <w:color w:val="auto"/>
        </w:rPr>
      </w:pPr>
    </w:p>
    <w:p>
      <w:pPr>
        <w:ind w:left="8" w:right="299"/>
        <w:spacing w:after="0" w:line="279" w:lineRule="auto"/>
        <w:rPr>
          <w:sz w:val="20"/>
          <w:szCs w:val="20"/>
          <w:color w:val="auto"/>
        </w:rPr>
      </w:pPr>
      <w:r>
        <w:rPr>
          <w:rFonts w:ascii="Arial" w:cs="Arial" w:eastAsia="Arial" w:hAnsi="Arial"/>
          <w:sz w:val="17"/>
          <w:szCs w:val="17"/>
          <w:color w:val="auto"/>
        </w:rPr>
        <w:t>In the event that such distribution described in this clause (iv) is not so paid or made, the Conversion Price shall be readjusted, effective as of the date the Board of Directors publicly announces its decision not to pay or make such dividend or distribution, to the Conversion Price that would then be in effect if such dividend or distribution had not been declared (but giving effect to any intervening adjustments that may have been made with respect to the Series F Preferred Stock).</w:t>
      </w:r>
    </w:p>
    <w:p>
      <w:pPr>
        <w:spacing w:after="0" w:line="131" w:lineRule="exact"/>
        <w:rPr>
          <w:sz w:val="20"/>
          <w:szCs w:val="20"/>
          <w:color w:val="auto"/>
        </w:rPr>
      </w:pPr>
    </w:p>
    <w:p>
      <w:pPr>
        <w:ind w:left="8" w:right="159" w:firstLine="381"/>
        <w:spacing w:after="0" w:line="288" w:lineRule="auto"/>
        <w:tabs>
          <w:tab w:leader="none" w:pos="651"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Cash Distributions</w:t>
      </w:r>
      <w:r>
        <w:rPr>
          <w:rFonts w:ascii="Arial" w:cs="Arial" w:eastAsia="Arial" w:hAnsi="Arial"/>
          <w:sz w:val="16"/>
          <w:szCs w:val="16"/>
          <w:color w:val="auto"/>
        </w:rPr>
        <w:t>. If the Corporation makes a distribution consisting exclusively of cash to all holders of the Common Stock, excluding (a) any cash dividend on the Common Stock to the extent a corresponding cash dividend pursuant to Section 4 is paid on the Series F Preferred Stock, (b) any cash that is distributed in a Reorganization Event or as part of a “spin-off” referred to in clause</w:t>
      </w:r>
    </w:p>
    <w:p>
      <w:pPr>
        <w:ind w:left="8" w:right="399" w:hanging="8"/>
        <w:spacing w:after="0" w:line="254" w:lineRule="auto"/>
        <w:tabs>
          <w:tab w:leader="none" w:pos="313" w:val="left"/>
        </w:tabs>
        <w:numPr>
          <w:ilvl w:val="0"/>
          <w:numId w:val="55"/>
        </w:numPr>
        <w:rPr>
          <w:rFonts w:ascii="Arial" w:cs="Arial" w:eastAsia="Arial" w:hAnsi="Arial"/>
          <w:sz w:val="18"/>
          <w:szCs w:val="18"/>
          <w:color w:val="auto"/>
        </w:rPr>
      </w:pPr>
      <w:r>
        <w:rPr>
          <w:rFonts w:ascii="Arial" w:cs="Arial" w:eastAsia="Arial" w:hAnsi="Arial"/>
          <w:sz w:val="18"/>
          <w:szCs w:val="18"/>
          <w:color w:val="auto"/>
        </w:rPr>
        <w:t>above, (c) any dividend or distribution in connection with the Corporation’s liquidation, dissolution or winding up, and (d) any consideration payable in connection with a tender or exchange offer made by the Corporation or any of its subsidiaries, then in each event, the Conversion Price in effect immediately prior to the Ex-Date for such distribution will be multiplied by the following fraction:</w:t>
      </w:r>
    </w:p>
    <w:p>
      <w:pPr>
        <w:spacing w:after="0" w:line="163" w:lineRule="exact"/>
        <w:rPr>
          <w:sz w:val="20"/>
          <w:szCs w:val="20"/>
          <w:color w:val="auto"/>
        </w:rPr>
      </w:pPr>
    </w:p>
    <w:p>
      <w:pPr>
        <w:jc w:val="center"/>
        <w:ind w:right="151"/>
        <w:spacing w:after="0"/>
        <w:rPr>
          <w:sz w:val="20"/>
          <w:szCs w:val="20"/>
          <w:color w:val="auto"/>
        </w:rPr>
      </w:pPr>
      <w:r>
        <w:rPr>
          <w:rFonts w:ascii="Arial" w:cs="Arial" w:eastAsia="Arial" w:hAnsi="Arial"/>
          <w:sz w:val="18"/>
          <w:szCs w:val="18"/>
          <w:u w:val="single" w:color="auto"/>
          <w:color w:val="auto"/>
        </w:rPr>
        <w:t>SP</w:t>
      </w:r>
      <w:r>
        <w:rPr>
          <w:rFonts w:ascii="Arial" w:cs="Arial" w:eastAsia="Arial" w:hAnsi="Arial"/>
          <w:sz w:val="15"/>
          <w:szCs w:val="15"/>
          <w:u w:val="single" w:color="auto"/>
          <w:color w:val="auto"/>
        </w:rPr>
        <w:t>0</w:t>
      </w:r>
      <w:r>
        <w:rPr>
          <w:rFonts w:ascii="Arial" w:cs="Arial" w:eastAsia="Arial" w:hAnsi="Arial"/>
          <w:sz w:val="18"/>
          <w:szCs w:val="18"/>
          <w:u w:val="single" w:color="auto"/>
          <w:color w:val="auto"/>
        </w:rPr>
        <w:t xml:space="preserve"> – DIV</w:t>
      </w:r>
    </w:p>
    <w:p>
      <w:pPr>
        <w:spacing w:after="0" w:line="25"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p>
      <w:pPr>
        <w:spacing w:after="0" w:line="169" w:lineRule="exact"/>
        <w:rPr>
          <w:sz w:val="20"/>
          <w:szCs w:val="20"/>
          <w:color w:val="auto"/>
        </w:rPr>
      </w:pPr>
    </w:p>
    <w:p>
      <w:pPr>
        <w:ind w:left="8"/>
        <w:spacing w:after="0"/>
        <w:rPr>
          <w:sz w:val="20"/>
          <w:szCs w:val="20"/>
          <w:color w:val="auto"/>
        </w:rPr>
      </w:pPr>
      <w:r>
        <w:rPr>
          <w:rFonts w:ascii="Arial" w:cs="Arial" w:eastAsia="Arial" w:hAnsi="Arial"/>
          <w:sz w:val="18"/>
          <w:szCs w:val="18"/>
          <w:color w:val="auto"/>
        </w:rPr>
        <w:t>Where,</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r>
        <w:rPr>
          <w:rFonts w:ascii="Arial" w:cs="Arial" w:eastAsia="Arial" w:hAnsi="Arial"/>
          <w:sz w:val="18"/>
          <w:szCs w:val="18"/>
          <w:color w:val="auto"/>
        </w:rPr>
        <w:t xml:space="preserve"> = the Closing Price per share of Common Stock on the Trading Day immediately preceding the Ex-Date.</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6"/>
          <w:szCs w:val="16"/>
          <w:color w:val="auto"/>
        </w:rPr>
        <w:t>DIV = the amount per share of Common Stock of the cash distribution, as determined pursuant to the introduction to this paragraph</w:t>
      </w:r>
    </w:p>
    <w:p>
      <w:pPr>
        <w:spacing w:after="0" w:line="46" w:lineRule="exact"/>
        <w:rPr>
          <w:sz w:val="20"/>
          <w:szCs w:val="20"/>
          <w:color w:val="auto"/>
        </w:rPr>
      </w:pPr>
    </w:p>
    <w:p>
      <w:pPr>
        <w:ind w:left="8"/>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638175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89" w:name="page90"/>
    <w:bookmarkEnd w:id="89"/>
    <w:p>
      <w:pPr>
        <w:ind w:right="219"/>
        <w:spacing w:after="0" w:line="259" w:lineRule="auto"/>
        <w:rPr>
          <w:sz w:val="20"/>
          <w:szCs w:val="20"/>
          <w:color w:val="auto"/>
        </w:rPr>
      </w:pPr>
      <w:r>
        <w:rPr>
          <w:rFonts w:ascii="Arial" w:cs="Arial" w:eastAsia="Arial" w:hAnsi="Arial"/>
          <w:sz w:val="18"/>
          <w:szCs w:val="18"/>
          <w:color w:val="auto"/>
        </w:rPr>
        <w:t>In the event that any distribution described in this clause (v) is not so made, the Conversion Price shall be readjusted, effective as of the date the Board of Directors publicly announces its decision not to pay such distribution, to the Conversion Price which would then be in effect if such distribution had not been declared (but giving effect to any intervening adjustments that may have been made with respect to the Series F Preferred Stock).</w:t>
      </w:r>
    </w:p>
    <w:p>
      <w:pPr>
        <w:spacing w:after="0" w:line="160" w:lineRule="exact"/>
        <w:rPr>
          <w:sz w:val="20"/>
          <w:szCs w:val="20"/>
          <w:color w:val="auto"/>
        </w:rPr>
      </w:pPr>
    </w:p>
    <w:p>
      <w:pPr>
        <w:ind w:right="219" w:firstLine="381"/>
        <w:spacing w:after="0" w:line="257" w:lineRule="auto"/>
        <w:tabs>
          <w:tab w:leader="none" w:pos="69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Self Tender Offers and Exchange Offers</w:t>
      </w:r>
      <w:r>
        <w:rPr>
          <w:rFonts w:ascii="Arial" w:cs="Arial" w:eastAsia="Arial" w:hAnsi="Arial"/>
          <w:sz w:val="18"/>
          <w:szCs w:val="18"/>
          <w:color w:val="auto"/>
        </w:rPr>
        <w:t>. If the Corporation or any of its subsidiaries successfully completes a tender or exchange offer for the Common Stock where the cash and the value of any other consideration included in the payment per share of the Common Stock exceeds the Closing Price per share of the Common Stock on the Trading Day immediately succeeding the expiration of the tender or exchange offer, then the Conversion Price in effect at the close of business on such immediately succeeding Trading Day will be multiplied by the following fraction:</w:t>
      </w:r>
    </w:p>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r>
        <w:rPr>
          <w:rFonts w:ascii="Arial" w:cs="Arial" w:eastAsia="Arial" w:hAnsi="Arial"/>
          <w:sz w:val="18"/>
          <w:szCs w:val="18"/>
          <w:color w:val="auto"/>
        </w:rPr>
        <w:t xml:space="preserve"> x SP</w:t>
      </w:r>
      <w:r>
        <w:rPr>
          <w:rFonts w:ascii="Arial" w:cs="Arial" w:eastAsia="Arial" w:hAnsi="Arial"/>
          <w:sz w:val="15"/>
          <w:szCs w:val="15"/>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2661920</wp:posOffset>
            </wp:positionH>
            <wp:positionV relativeFrom="paragraph">
              <wp:posOffset>6350</wp:posOffset>
            </wp:positionV>
            <wp:extent cx="8407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AC + (SP</w:t>
      </w:r>
      <w:r>
        <w:rPr>
          <w:rFonts w:ascii="Arial" w:cs="Arial" w:eastAsia="Arial" w:hAnsi="Arial"/>
          <w:sz w:val="15"/>
          <w:szCs w:val="15"/>
          <w:color w:val="auto"/>
        </w:rPr>
        <w:t>0</w:t>
      </w:r>
      <w:r>
        <w:rPr>
          <w:rFonts w:ascii="Arial" w:cs="Arial" w:eastAsia="Arial" w:hAnsi="Arial"/>
          <w:sz w:val="18"/>
          <w:szCs w:val="18"/>
          <w:color w:val="auto"/>
        </w:rPr>
        <w:t xml:space="preserve"> x OS</w:t>
      </w:r>
      <w:r>
        <w:rPr>
          <w:rFonts w:ascii="Arial" w:cs="Arial" w:eastAsia="Arial" w:hAnsi="Arial"/>
          <w:sz w:val="15"/>
          <w:szCs w:val="15"/>
          <w:color w:val="auto"/>
        </w:rPr>
        <w:t>1</w:t>
      </w:r>
      <w:r>
        <w:rPr>
          <w:rFonts w:ascii="Arial" w:cs="Arial" w:eastAsia="Arial" w:hAnsi="Arial"/>
          <w:sz w:val="18"/>
          <w:szCs w:val="18"/>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98" w:lineRule="exact"/>
        <w:rPr>
          <w:sz w:val="20"/>
          <w:szCs w:val="20"/>
          <w:color w:val="auto"/>
        </w:rPr>
      </w:pPr>
    </w:p>
    <w:p>
      <w:pPr>
        <w:ind w:right="699"/>
        <w:spacing w:after="0" w:line="277" w:lineRule="auto"/>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r>
        <w:rPr>
          <w:rFonts w:ascii="Arial" w:cs="Arial" w:eastAsia="Arial" w:hAnsi="Arial"/>
          <w:sz w:val="18"/>
          <w:szCs w:val="18"/>
          <w:color w:val="auto"/>
        </w:rPr>
        <w:t xml:space="preserve"> = the Closing Price per share of Common Stock on the Trading Day immediately succeeding the expiration of the tender or exchange offer.</w:t>
      </w:r>
    </w:p>
    <w:p>
      <w:pPr>
        <w:spacing w:after="0" w:line="130" w:lineRule="exact"/>
        <w:rPr>
          <w:sz w:val="20"/>
          <w:szCs w:val="20"/>
          <w:color w:val="auto"/>
        </w:rPr>
      </w:pPr>
    </w:p>
    <w:p>
      <w:pPr>
        <w:ind w:right="759"/>
        <w:spacing w:after="0" w:line="277" w:lineRule="auto"/>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r>
        <w:rPr>
          <w:rFonts w:ascii="Arial" w:cs="Arial" w:eastAsia="Arial" w:hAnsi="Arial"/>
          <w:sz w:val="18"/>
          <w:szCs w:val="18"/>
          <w:color w:val="auto"/>
        </w:rPr>
        <w:t xml:space="preserve"> = the number of shares of Common Stock outstanding immediately prior to the expiration of the tender or exchange offer, including any shares validly tendered and not withdrawn.</w:t>
      </w:r>
    </w:p>
    <w:p>
      <w:pPr>
        <w:spacing w:after="0" w:line="130" w:lineRule="exact"/>
        <w:rPr>
          <w:sz w:val="20"/>
          <w:szCs w:val="20"/>
          <w:color w:val="auto"/>
        </w:rPr>
      </w:pPr>
    </w:p>
    <w:p>
      <w:pPr>
        <w:jc w:val="both"/>
        <w:ind w:right="479"/>
        <w:spacing w:after="0" w:line="264" w:lineRule="auto"/>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r>
        <w:rPr>
          <w:rFonts w:ascii="Arial" w:cs="Arial" w:eastAsia="Arial" w:hAnsi="Arial"/>
          <w:sz w:val="18"/>
          <w:szCs w:val="18"/>
          <w:color w:val="auto"/>
        </w:rPr>
        <w:t>= the number of shares of Common Stock outstanding immediately after the expiration of the tender or exchange offer, giving effect to consummation of the acquisition of all shares validly tendered or exchanged (and not withdrawn) in connection with such tender or exchange.</w:t>
      </w:r>
    </w:p>
    <w:p>
      <w:pPr>
        <w:spacing w:after="0" w:line="154" w:lineRule="exact"/>
        <w:rPr>
          <w:sz w:val="20"/>
          <w:szCs w:val="20"/>
          <w:color w:val="auto"/>
        </w:rPr>
      </w:pPr>
    </w:p>
    <w:p>
      <w:pPr>
        <w:ind w:right="219"/>
        <w:spacing w:after="0" w:line="277" w:lineRule="auto"/>
        <w:rPr>
          <w:sz w:val="20"/>
          <w:szCs w:val="20"/>
          <w:color w:val="auto"/>
        </w:rPr>
      </w:pPr>
      <w:r>
        <w:rPr>
          <w:rFonts w:ascii="Arial" w:cs="Arial" w:eastAsia="Arial" w:hAnsi="Arial"/>
          <w:sz w:val="18"/>
          <w:szCs w:val="18"/>
          <w:color w:val="auto"/>
        </w:rPr>
        <w:t>AC = the aggregate cash and fair market value of the other consideration payable in the tender or exchange offer, as determined by the Board of Directors.</w:t>
      </w:r>
    </w:p>
    <w:p>
      <w:pPr>
        <w:spacing w:after="0" w:line="130" w:lineRule="exact"/>
        <w:rPr>
          <w:sz w:val="20"/>
          <w:szCs w:val="20"/>
          <w:color w:val="auto"/>
        </w:rPr>
      </w:pPr>
    </w:p>
    <w:p>
      <w:pPr>
        <w:ind w:right="239"/>
        <w:spacing w:after="0" w:line="272" w:lineRule="auto"/>
        <w:rPr>
          <w:sz w:val="20"/>
          <w:szCs w:val="20"/>
          <w:color w:val="auto"/>
        </w:rPr>
      </w:pPr>
      <w:r>
        <w:rPr>
          <w:rFonts w:ascii="Arial" w:cs="Arial" w:eastAsia="Arial" w:hAnsi="Arial"/>
          <w:sz w:val="17"/>
          <w:szCs w:val="17"/>
          <w:color w:val="auto"/>
        </w:rPr>
        <w:t>In the event that the Corporation, or one of its subsidiaries, is obligated to purchase shares of Common Stock pursuant to any such tender offer or exchange offer, but the Corporation, or such subsidiary, is permanently prevented by applicable law from effecting any such purchases, or all such purchases are rescinded, then the Conversion Price shall be readjusted to be such Conversion Price that would then be in effect if such tender offer or exchange offer had not been made (but giving effect to any intervening adjustments that may have been made with respect to the Series F Preferred Stock). Except as set forth in the preceding sentence, if the application of this clause (vi) to any tender offer or exchange offer would result in an increase in the Conversion Price, no adjustment shall be made for such tender offer or exchange offer under this clause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626110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90" w:name="page91"/>
    <w:bookmarkEnd w:id="90"/>
    <w:p>
      <w:pPr>
        <w:ind w:left="-381" w:right="299" w:firstLine="381"/>
        <w:spacing w:after="0" w:line="255" w:lineRule="auto"/>
        <w:tabs>
          <w:tab w:leader="none" w:pos="363"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Rights Plans</w:t>
      </w:r>
      <w:r>
        <w:rPr>
          <w:rFonts w:ascii="Arial" w:cs="Arial" w:eastAsia="Arial" w:hAnsi="Arial"/>
          <w:sz w:val="18"/>
          <w:szCs w:val="18"/>
          <w:color w:val="auto"/>
        </w:rPr>
        <w:t>. To the extent that the Corporation has a rights plan in effect with respect to the Common Stock on the Mandatory Conversion Date, upon conversion of any shares of the Series F Preferred Stock, Holders will receive, in addition to the shares of Common Stock, the rights under the rights plan, unless, prior to the Mandatory Conversion Date, the rights have separated from the shares of Common Stock, in which case the Conversion Price will be adjusted at the time of separation as if the Corporation had made a distribution to all holders of the Common Stock as described in clause (iii) above, subject to readjustment in the event of the expiration, termination or redemption of such rights (but giving effect to any intervening adjustments that may have been made with respect to the Series F Preferred Stock).</w:t>
      </w:r>
    </w:p>
    <w:p>
      <w:pPr>
        <w:spacing w:after="0" w:line="162" w:lineRule="exact"/>
        <w:rPr>
          <w:rFonts w:ascii="Arial" w:cs="Arial" w:eastAsia="Arial" w:hAnsi="Arial"/>
          <w:sz w:val="18"/>
          <w:szCs w:val="18"/>
          <w:color w:val="auto"/>
        </w:rPr>
      </w:pPr>
    </w:p>
    <w:p>
      <w:pPr>
        <w:ind w:left="-381" w:right="339" w:firstLine="770"/>
        <w:spacing w:after="0" w:line="302" w:lineRule="auto"/>
        <w:tabs>
          <w:tab w:leader="none" w:pos="648"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Corporation may make such decreases in the Conversion Price, in addition to any other decreases required by this Section 10, if the Board of Directors deems it advisable, to avoid or diminish any income tax to holders of the Company Common Stock resulting from any dividend or distribution of shares of Company Common Stock (or issuance of rights or warrants to acquire shares of Company Common Stock) or from any event treated as such for income tax purposes or for any other reason.</w:t>
      </w:r>
    </w:p>
    <w:p>
      <w:pPr>
        <w:spacing w:after="0" w:line="113" w:lineRule="exact"/>
        <w:rPr>
          <w:rFonts w:ascii="Arial" w:cs="Arial" w:eastAsia="Arial" w:hAnsi="Arial"/>
          <w:sz w:val="16"/>
          <w:szCs w:val="16"/>
          <w:color w:val="auto"/>
        </w:rPr>
      </w:pPr>
    </w:p>
    <w:p>
      <w:pPr>
        <w:ind w:left="-381" w:right="179" w:firstLine="770"/>
        <w:spacing w:after="0" w:line="276" w:lineRule="auto"/>
        <w:tabs>
          <w:tab w:leader="none" w:pos="642"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(i) All adjustments to the Conversion Price shall be calculated to the nearest 1/10 of a cent. No adjustment in the Conversion Price shall be required if such adjustment would be less than $0.01;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adjustments which by reason of this subparagraph are not required to be made shall be carried forward and taken into account in any subsequent adjustment;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on the Mandatory Conversion Date adjustments to the Conversion Price will be made with respect to any such adjustment</w:t>
      </w:r>
      <w:r>
        <w:rPr>
          <w:rFonts w:ascii="Arial" w:cs="Arial" w:eastAsia="Arial" w:hAnsi="Arial"/>
          <w:sz w:val="17"/>
          <w:szCs w:val="17"/>
          <w:i w:val="1"/>
          <w:iCs w:val="1"/>
          <w:color w:val="auto"/>
        </w:rPr>
        <w:t xml:space="preserve"> </w:t>
      </w:r>
      <w:r>
        <w:rPr>
          <w:rFonts w:ascii="Arial" w:cs="Arial" w:eastAsia="Arial" w:hAnsi="Arial"/>
          <w:sz w:val="17"/>
          <w:szCs w:val="17"/>
          <w:color w:val="auto"/>
        </w:rPr>
        <w:t>carried forward and which has not been taken into account before such date.</w:t>
      </w:r>
    </w:p>
    <w:p>
      <w:pPr>
        <w:spacing w:after="0" w:line="132" w:lineRule="exact"/>
        <w:rPr>
          <w:sz w:val="20"/>
          <w:szCs w:val="20"/>
          <w:color w:val="auto"/>
        </w:rPr>
      </w:pPr>
    </w:p>
    <w:p>
      <w:pPr>
        <w:ind w:left="-381" w:right="279" w:firstLine="381"/>
        <w:spacing w:after="0" w:line="259" w:lineRule="auto"/>
        <w:tabs>
          <w:tab w:leader="none" w:pos="273"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adjustment to the Conversion Price shall be made if Holders may participate in the transaction that would otherwise give rise to an adjustment, as a result of holding the Series F Preferred Stock (including without limitation pursuant to Section 4 hereof), without having to convert the Series F Preferred Stock, as if they held the full number of shares of Common Stock into which a share of the Series F Preferred Stock may then be converted.</w:t>
      </w:r>
    </w:p>
    <w:p>
      <w:pPr>
        <w:spacing w:after="0" w:line="159" w:lineRule="exact"/>
        <w:rPr>
          <w:rFonts w:ascii="Arial" w:cs="Arial" w:eastAsia="Arial" w:hAnsi="Arial"/>
          <w:sz w:val="18"/>
          <w:szCs w:val="18"/>
          <w:color w:val="auto"/>
        </w:rPr>
      </w:pPr>
    </w:p>
    <w:p>
      <w:pPr>
        <w:ind w:left="319" w:hanging="319"/>
        <w:spacing w:after="0"/>
        <w:tabs>
          <w:tab w:leader="none" w:pos="31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Applicable Conversion Price shall not be adjusted:</w:t>
      </w:r>
    </w:p>
    <w:p>
      <w:pPr>
        <w:spacing w:after="0" w:line="185" w:lineRule="exact"/>
        <w:rPr>
          <w:sz w:val="20"/>
          <w:szCs w:val="20"/>
          <w:color w:val="auto"/>
        </w:rPr>
      </w:pPr>
    </w:p>
    <w:p>
      <w:pPr>
        <w:ind w:left="-381" w:right="559" w:firstLine="381"/>
        <w:spacing w:after="0" w:line="264" w:lineRule="auto"/>
        <w:tabs>
          <w:tab w:leader="none" w:pos="303"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upon the issuance of any shares of Company Common Stock pursuant to any present or future plan providing for the reinvestment of dividends or interest payable on the Corporation’s securities and the investment of additional optional amounts in shares of Company Common Stock under any such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628015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98"/>
          </w:cols>
          <w:pgMar w:left="961" w:top="935" w:right="1440" w:bottom="1440" w:gutter="0" w:footer="0" w:header="0"/>
        </w:sectPr>
      </w:pPr>
    </w:p>
    <w:bookmarkStart w:id="91" w:name="page92"/>
    <w:bookmarkEnd w:id="91"/>
    <w:p>
      <w:pPr>
        <w:ind w:right="259" w:firstLine="381"/>
        <w:spacing w:after="0" w:line="342" w:lineRule="auto"/>
        <w:tabs>
          <w:tab w:leader="none" w:pos="674" w:val="left"/>
        </w:tabs>
        <w:numPr>
          <w:ilvl w:val="0"/>
          <w:numId w:val="60"/>
        </w:numPr>
        <w:rPr>
          <w:rFonts w:ascii="Arial" w:cs="Arial" w:eastAsia="Arial" w:hAnsi="Arial"/>
          <w:sz w:val="16"/>
          <w:szCs w:val="16"/>
          <w:color w:val="auto"/>
        </w:rPr>
      </w:pPr>
      <w:r>
        <w:rPr>
          <w:rFonts w:ascii="Arial" w:cs="Arial" w:eastAsia="Arial" w:hAnsi="Arial"/>
          <w:sz w:val="16"/>
          <w:szCs w:val="16"/>
          <w:color w:val="auto"/>
        </w:rPr>
        <w:t>upon the issuance of any shares of Company Common Stock or rights or warrants to purchase those shares pursuant to any present or future employee, director or consultant benefit plan or program of or assumed by the Corporation or any of its subsidiaries;</w:t>
      </w:r>
    </w:p>
    <w:p>
      <w:pPr>
        <w:spacing w:after="0" w:line="96" w:lineRule="exact"/>
        <w:rPr>
          <w:rFonts w:ascii="Arial" w:cs="Arial" w:eastAsia="Arial" w:hAnsi="Arial"/>
          <w:sz w:val="16"/>
          <w:szCs w:val="16"/>
          <w:color w:val="auto"/>
        </w:rPr>
      </w:pPr>
    </w:p>
    <w:p>
      <w:pPr>
        <w:ind w:right="799" w:firstLine="381"/>
        <w:spacing w:after="0" w:line="264" w:lineRule="auto"/>
        <w:tabs>
          <w:tab w:leader="none" w:pos="674"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upon the issuance of any shares of Company Common Stock pursuant to any option, warrant, right or exercisable, exchangeable or convertible security outstanding as of the date shares of the Series F Preferred Stock were first issued and not substantially amended thereafter;</w:t>
      </w:r>
    </w:p>
    <w:p>
      <w:pPr>
        <w:spacing w:after="0" w:line="140" w:lineRule="exact"/>
        <w:rPr>
          <w:rFonts w:ascii="Arial" w:cs="Arial" w:eastAsia="Arial" w:hAnsi="Arial"/>
          <w:sz w:val="18"/>
          <w:szCs w:val="18"/>
          <w:color w:val="auto"/>
        </w:rPr>
      </w:pPr>
    </w:p>
    <w:p>
      <w:pPr>
        <w:ind w:left="680" w:hanging="299"/>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a change in the par value or no par value of Company Common Stock; or</w:t>
      </w:r>
    </w:p>
    <w:p>
      <w:pPr>
        <w:spacing w:after="0" w:line="184" w:lineRule="exact"/>
        <w:rPr>
          <w:rFonts w:ascii="Arial" w:cs="Arial" w:eastAsia="Arial" w:hAnsi="Arial"/>
          <w:sz w:val="18"/>
          <w:szCs w:val="18"/>
          <w:color w:val="auto"/>
        </w:rPr>
      </w:pPr>
    </w:p>
    <w:p>
      <w:pPr>
        <w:ind w:left="660" w:hanging="279"/>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 accrued and unpaid dividends on the Series F Preferred Stock.</w:t>
      </w:r>
    </w:p>
    <w:p>
      <w:pPr>
        <w:spacing w:after="0" w:line="198" w:lineRule="exact"/>
        <w:rPr>
          <w:rFonts w:ascii="Arial" w:cs="Arial" w:eastAsia="Arial" w:hAnsi="Arial"/>
          <w:sz w:val="18"/>
          <w:szCs w:val="18"/>
          <w:color w:val="auto"/>
        </w:rPr>
      </w:pPr>
    </w:p>
    <w:p>
      <w:pPr>
        <w:ind w:left="1020" w:hanging="250"/>
        <w:spacing w:after="0"/>
        <w:tabs>
          <w:tab w:leader="none" w:pos="1020" w:val="left"/>
        </w:tabs>
        <w:numPr>
          <w:ilvl w:val="1"/>
          <w:numId w:val="60"/>
        </w:numPr>
        <w:rPr>
          <w:rFonts w:ascii="Arial" w:cs="Arial" w:eastAsia="Arial" w:hAnsi="Arial"/>
          <w:sz w:val="16"/>
          <w:szCs w:val="16"/>
          <w:color w:val="auto"/>
        </w:rPr>
      </w:pPr>
      <w:r>
        <w:rPr>
          <w:rFonts w:ascii="Arial" w:cs="Arial" w:eastAsia="Arial" w:hAnsi="Arial"/>
          <w:sz w:val="16"/>
          <w:szCs w:val="16"/>
          <w:color w:val="auto"/>
        </w:rPr>
        <w:t>Whenever the Conversion Price is to be adjusted in accordance with Section 10(a) or Section 10(b), the Corporation</w:t>
      </w:r>
    </w:p>
    <w:p>
      <w:pPr>
        <w:spacing w:after="0" w:line="46" w:lineRule="exact"/>
        <w:rPr>
          <w:rFonts w:ascii="Arial" w:cs="Arial" w:eastAsia="Arial" w:hAnsi="Arial"/>
          <w:sz w:val="16"/>
          <w:szCs w:val="16"/>
          <w:color w:val="auto"/>
        </w:rPr>
      </w:pPr>
    </w:p>
    <w:p>
      <w:pPr>
        <w:ind w:right="279"/>
        <w:spacing w:after="0" w:line="268" w:lineRule="auto"/>
        <w:rPr>
          <w:rFonts w:ascii="Arial" w:cs="Arial" w:eastAsia="Arial" w:hAnsi="Arial"/>
          <w:sz w:val="16"/>
          <w:szCs w:val="16"/>
          <w:color w:val="auto"/>
        </w:rPr>
      </w:pPr>
      <w:r>
        <w:rPr>
          <w:rFonts w:ascii="Arial" w:cs="Arial" w:eastAsia="Arial" w:hAnsi="Arial"/>
          <w:sz w:val="17"/>
          <w:szCs w:val="17"/>
          <w:color w:val="auto"/>
        </w:rPr>
        <w:t>shall: (i) compute the Conversion Price in accordance with Section 10(a) or Section 10(b), taking into account the $0.01 threshold set forth in Section 10(c) hereof; (ii) as soon as practicable following the occurrence of an event that requires an adjustment to the Conversion Price pursuant to Section 10(a) or Section 10(b), taking into account the one percent threshold set forth in Section 10(c) hereof (or if the Corporation is not aware of such occurrence, as soon as practicable after becoming so aware), provide, or cause to be provided, a written notice to the Holders of the occurrence of such event; and (iii) as soon as practicable following the determination of the revised Conversion Price in accordance with Section 10(a) or Section 10(b) hereof, provide, or cause to be provided, a written notice to the Holders setting forth in reasonable detail the method by which the adjustment to the Conversion Price was determined and setting forth the revised Conversion Price.</w:t>
      </w:r>
    </w:p>
    <w:p>
      <w:pPr>
        <w:spacing w:after="0" w:line="144" w:lineRule="exact"/>
        <w:rPr>
          <w:sz w:val="20"/>
          <w:szCs w:val="20"/>
          <w:color w:val="auto"/>
        </w:rPr>
      </w:pPr>
    </w:p>
    <w:p>
      <w:pPr>
        <w:ind w:right="239" w:firstLine="778"/>
        <w:spacing w:after="0" w:line="277" w:lineRule="auto"/>
        <w:rPr>
          <w:sz w:val="20"/>
          <w:szCs w:val="20"/>
          <w:color w:val="auto"/>
        </w:rPr>
      </w:pPr>
      <w:r>
        <w:rPr>
          <w:rFonts w:ascii="Arial" w:cs="Arial" w:eastAsia="Arial" w:hAnsi="Arial"/>
          <w:sz w:val="18"/>
          <w:szCs w:val="18"/>
          <w:i w:val="1"/>
          <w:iCs w:val="1"/>
          <w:color w:val="auto"/>
        </w:rPr>
        <w:t>Section 11. Reorganization Events</w:t>
      </w:r>
      <w:r>
        <w:rPr>
          <w:rFonts w:ascii="Arial" w:cs="Arial" w:eastAsia="Arial" w:hAnsi="Arial"/>
          <w:sz w:val="18"/>
          <w:szCs w:val="18"/>
          <w:color w:val="auto"/>
        </w:rPr>
        <w:t>. (a) In the event that, for so long as any shares of Series F Preferred Stock have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converted and remain outstanding, there occurs:</w:t>
      </w:r>
    </w:p>
    <w:p>
      <w:pPr>
        <w:spacing w:after="0" w:line="130" w:lineRule="exact"/>
        <w:rPr>
          <w:sz w:val="20"/>
          <w:szCs w:val="20"/>
          <w:color w:val="auto"/>
        </w:rPr>
      </w:pPr>
    </w:p>
    <w:p>
      <w:pPr>
        <w:ind w:right="319" w:firstLine="381"/>
        <w:spacing w:after="0" w:line="342" w:lineRule="auto"/>
        <w:tabs>
          <w:tab w:leader="none" w:pos="604"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consolidation, merger or other similar business combination of the Corporation with or into another Person, in each case pursuant to which the Common Stock will be converted into cash, securities or other property of the Corporation or another Person;</w:t>
      </w:r>
    </w:p>
    <w:p>
      <w:pPr>
        <w:spacing w:after="0" w:line="96" w:lineRule="exact"/>
        <w:rPr>
          <w:rFonts w:ascii="Arial" w:cs="Arial" w:eastAsia="Arial" w:hAnsi="Arial"/>
          <w:sz w:val="16"/>
          <w:szCs w:val="16"/>
          <w:color w:val="auto"/>
        </w:rPr>
      </w:pPr>
    </w:p>
    <w:p>
      <w:pPr>
        <w:ind w:right="819" w:firstLine="381"/>
        <w:spacing w:after="0" w:line="264" w:lineRule="auto"/>
        <w:tabs>
          <w:tab w:leader="none" w:pos="654"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sale, transfer, lease or conveyance to another Person of all or substantially all of the property and assets of the Corporation, in each case pursuant to which the Common Stock will be converted into cash, securities or other property of the Corporation or another Person;</w:t>
      </w:r>
    </w:p>
    <w:p>
      <w:pPr>
        <w:spacing w:after="0" w:line="140" w:lineRule="exact"/>
        <w:rPr>
          <w:rFonts w:ascii="Arial" w:cs="Arial" w:eastAsia="Arial" w:hAnsi="Arial"/>
          <w:sz w:val="18"/>
          <w:szCs w:val="18"/>
          <w:color w:val="auto"/>
        </w:rPr>
      </w:pPr>
    </w:p>
    <w:p>
      <w:pPr>
        <w:ind w:left="700" w:hanging="319"/>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reclassification of the Common Stock into securities including securities other than the Common Stock; or</w:t>
      </w:r>
    </w:p>
    <w:p>
      <w:pPr>
        <w:spacing w:after="0" w:line="184" w:lineRule="exact"/>
        <w:rPr>
          <w:rFonts w:ascii="Arial" w:cs="Arial" w:eastAsia="Arial" w:hAnsi="Arial"/>
          <w:sz w:val="18"/>
          <w:szCs w:val="18"/>
          <w:color w:val="auto"/>
        </w:rPr>
      </w:pPr>
    </w:p>
    <w:p>
      <w:pPr>
        <w:ind w:right="179" w:firstLine="381"/>
        <w:spacing w:after="0" w:line="277" w:lineRule="auto"/>
        <w:tabs>
          <w:tab w:leader="none" w:pos="694"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statutory exchange of the outstanding shares of Common Stock for securities of another Person (other than in connection with a merger or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621030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92" w:name="page93"/>
    <w:bookmarkEnd w:id="92"/>
    <w:p>
      <w:pPr>
        <w:ind w:left="8" w:right="199"/>
        <w:spacing w:after="0" w:line="268" w:lineRule="auto"/>
        <w:rPr>
          <w:sz w:val="20"/>
          <w:szCs w:val="20"/>
          <w:color w:val="auto"/>
        </w:rPr>
      </w:pPr>
      <w:r>
        <w:rPr>
          <w:rFonts w:ascii="Arial" w:cs="Arial" w:eastAsia="Arial" w:hAnsi="Arial"/>
          <w:sz w:val="17"/>
          <w:szCs w:val="17"/>
          <w:color w:val="auto"/>
        </w:rPr>
        <w:t>(any such event specified in this Section 11(a), a “</w:t>
      </w:r>
      <w:r>
        <w:rPr>
          <w:rFonts w:ascii="Arial" w:cs="Arial" w:eastAsia="Arial" w:hAnsi="Arial"/>
          <w:sz w:val="17"/>
          <w:szCs w:val="17"/>
          <w:u w:val="single" w:color="auto"/>
          <w:color w:val="auto"/>
        </w:rPr>
        <w:t>Reorganization Event</w:t>
      </w:r>
      <w:r>
        <w:rPr>
          <w:rFonts w:ascii="Arial" w:cs="Arial" w:eastAsia="Arial" w:hAnsi="Arial"/>
          <w:sz w:val="17"/>
          <w:szCs w:val="17"/>
          <w:color w:val="auto"/>
        </w:rPr>
        <w:t>”); then each share of such Holder’s Series F Preferred Stock outstanding immediately prior to such Reorganization Event shall remain outstanding but shall automatically convert, effective as of the close of business on the Mandatory Conversion Date with respect to the shares of Series F Preferred Stock of such Holder, into the type and amount of securities, cash and other property receivable in such Reorganization Event by the holder (excluding the counterparty to the Reorganization Event or an Affiliate of such counterparty) of the greater of (i) the number of shares of Common Stock into which one share of Series F Preferred Stock would then be convertible assuming the receipt of the Stockholder Approvals and (ii) the number of shares of Common Stock that, if one share of Series F Preferred Stock were converted into such number of shares, would result in the fair market value of the securities, cash and other property receivable in such Reorganization Event by a Holder of such number of shares equaling the Liquidation Preference plus, in each case of clause (i) and (ii) above, all accrued and unpaid dividends, whether or not declared, up to, but excluding such date (such securities, cash and other property, the “</w:t>
      </w:r>
      <w:r>
        <w:rPr>
          <w:rFonts w:ascii="Arial" w:cs="Arial" w:eastAsia="Arial" w:hAnsi="Arial"/>
          <w:sz w:val="17"/>
          <w:szCs w:val="17"/>
          <w:u w:val="single" w:color="auto"/>
          <w:color w:val="auto"/>
        </w:rPr>
        <w:t>Exchange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Property</w:t>
      </w:r>
      <w:r>
        <w:rPr>
          <w:rFonts w:ascii="Arial" w:cs="Arial" w:eastAsia="Arial" w:hAnsi="Arial"/>
          <w:sz w:val="17"/>
          <w:szCs w:val="17"/>
          <w:color w:val="auto"/>
        </w:rPr>
        <w:t>”). In the event that a Reorganization Event referenced in Section 11(a) involves common stock as all or part of the consideration being offered in a fixed exchange ratio transaction, the fair market value per share of such common stock shall be determined by reference to the average of the closing prices of such common stock for the ten Trading Day period ending immediately prior to the consummation of such Reorganization Event.</w:t>
      </w:r>
    </w:p>
    <w:p>
      <w:pPr>
        <w:spacing w:after="0" w:line="158" w:lineRule="exact"/>
        <w:rPr>
          <w:sz w:val="20"/>
          <w:szCs w:val="20"/>
          <w:color w:val="auto"/>
        </w:rPr>
      </w:pPr>
    </w:p>
    <w:p>
      <w:pPr>
        <w:ind w:left="8" w:right="419" w:firstLine="770"/>
        <w:spacing w:after="0" w:line="277"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event that holders of the shares of Common Stock have the opportunity to elect the form of consideration to be received in such transaction, the Holders shall likewise be allowed to make such an election.</w:t>
      </w:r>
    </w:p>
    <w:p>
      <w:pPr>
        <w:spacing w:after="0" w:line="129" w:lineRule="exact"/>
        <w:rPr>
          <w:rFonts w:ascii="Arial" w:cs="Arial" w:eastAsia="Arial" w:hAnsi="Arial"/>
          <w:sz w:val="18"/>
          <w:szCs w:val="18"/>
          <w:color w:val="auto"/>
        </w:rPr>
      </w:pPr>
    </w:p>
    <w:p>
      <w:pPr>
        <w:ind w:left="8" w:right="279" w:firstLine="770"/>
        <w:spacing w:after="0" w:line="264" w:lineRule="auto"/>
        <w:tabs>
          <w:tab w:leader="none" w:pos="102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above provisions of this Section 11 shall similarly apply to successive Reorganization Events and the provisions of Section 10 shall apply to any shares of capital stock of the Corporation (or any successor) received by the holders of the Company Common Stock in any such Reorganization Event.</w:t>
      </w:r>
    </w:p>
    <w:p>
      <w:pPr>
        <w:spacing w:after="0" w:line="140" w:lineRule="exact"/>
        <w:rPr>
          <w:rFonts w:ascii="Arial" w:cs="Arial" w:eastAsia="Arial" w:hAnsi="Arial"/>
          <w:sz w:val="18"/>
          <w:szCs w:val="18"/>
          <w:color w:val="auto"/>
        </w:rPr>
      </w:pPr>
    </w:p>
    <w:p>
      <w:pPr>
        <w:jc w:val="both"/>
        <w:ind w:left="8" w:right="239" w:firstLine="770"/>
        <w:spacing w:after="0" w:line="312" w:lineRule="auto"/>
        <w:tabs>
          <w:tab w:leader="none" w:pos="1037"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Corporation (or any successor) shall, within seven days of the consummation of any Reorganization Event, provide written notice to the Holders of such consummation of such event and of the kind and amount of the cash, securities or other property that constitutes the Exchange Property. Failure to deliver such notice shall not affect the operation of this Section 11.</w:t>
      </w:r>
    </w:p>
    <w:p>
      <w:pPr>
        <w:spacing w:after="0" w:line="119" w:lineRule="exact"/>
        <w:rPr>
          <w:rFonts w:ascii="Arial" w:cs="Arial" w:eastAsia="Arial" w:hAnsi="Arial"/>
          <w:sz w:val="16"/>
          <w:szCs w:val="16"/>
          <w:color w:val="auto"/>
        </w:rPr>
      </w:pPr>
    </w:p>
    <w:p>
      <w:pPr>
        <w:ind w:left="8" w:right="479" w:firstLine="770"/>
        <w:spacing w:after="0" w:line="264" w:lineRule="auto"/>
        <w:tabs>
          <w:tab w:leader="none" w:pos="102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Corporation shall not enter into any agreement for a transaction constituting a Reorganization Event unless such agreement provides for or does not interfere with or prevent (as applicable) conversion of the Series F Preferred Stock into the Exchange Property in a manner that is consistent with and gives effect to this Section 11.</w:t>
      </w:r>
    </w:p>
    <w:p>
      <w:pPr>
        <w:spacing w:after="0" w:line="141" w:lineRule="exact"/>
        <w:rPr>
          <w:sz w:val="20"/>
          <w:szCs w:val="20"/>
          <w:color w:val="auto"/>
        </w:rPr>
      </w:pPr>
    </w:p>
    <w:p>
      <w:pPr>
        <w:ind w:left="788"/>
        <w:spacing w:after="0"/>
        <w:rPr>
          <w:sz w:val="20"/>
          <w:szCs w:val="20"/>
          <w:color w:val="auto"/>
        </w:rPr>
      </w:pPr>
      <w:r>
        <w:rPr>
          <w:rFonts w:ascii="Arial" w:cs="Arial" w:eastAsia="Arial" w:hAnsi="Arial"/>
          <w:sz w:val="17"/>
          <w:szCs w:val="17"/>
          <w:i w:val="1"/>
          <w:iCs w:val="1"/>
          <w:color w:val="auto"/>
        </w:rPr>
        <w:t>Section 12. Voting Rights</w:t>
      </w:r>
      <w:r>
        <w:rPr>
          <w:rFonts w:ascii="Arial" w:cs="Arial" w:eastAsia="Arial" w:hAnsi="Arial"/>
          <w:sz w:val="17"/>
          <w:szCs w:val="17"/>
          <w:color w:val="auto"/>
        </w:rPr>
        <w:t>. (a) Holders will not have any voting rights, including the right to elect any directors, except</w:t>
      </w:r>
    </w:p>
    <w:p>
      <w:pPr>
        <w:spacing w:after="0" w:line="35" w:lineRule="exact"/>
        <w:rPr>
          <w:sz w:val="20"/>
          <w:szCs w:val="20"/>
          <w:color w:val="auto"/>
        </w:rPr>
      </w:pPr>
    </w:p>
    <w:p>
      <w:pPr>
        <w:ind w:left="208" w:hanging="208"/>
        <w:spacing w:after="0"/>
        <w:tabs>
          <w:tab w:leader="none" w:pos="2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voting rights, if any, required by law, and (ii) voting rights, if any, described in this Section 12.</w:t>
      </w:r>
    </w:p>
    <w:p>
      <w:pPr>
        <w:spacing w:after="0" w:line="170" w:lineRule="exact"/>
        <w:rPr>
          <w:rFonts w:ascii="Arial" w:cs="Arial" w:eastAsia="Arial" w:hAnsi="Arial"/>
          <w:sz w:val="18"/>
          <w:szCs w:val="18"/>
          <w:color w:val="auto"/>
        </w:rPr>
      </w:pPr>
    </w:p>
    <w:p>
      <w:pPr>
        <w:ind w:left="8" w:right="199" w:firstLine="770"/>
        <w:spacing w:after="0" w:line="259" w:lineRule="auto"/>
        <w:tabs>
          <w:tab w:leader="none" w:pos="10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So long as any shares of Series F Preferred Stock are outstanding, the vote or consent of the Holders of a majority of the shares of Series F Preferred Stock at the time outstanding, voting as a single class, given in person or by proxy, either in writing without a meeting or by vote at any meeting called for the purpose, will be necessary for effecting or validating any of the following actions, whether or not such approval is required by Georgia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631825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93" w:name="page94"/>
    <w:bookmarkEnd w:id="93"/>
    <w:p>
      <w:pPr>
        <w:ind w:right="219" w:firstLine="381"/>
        <w:spacing w:after="0" w:line="264" w:lineRule="auto"/>
        <w:tabs>
          <w:tab w:leader="none" w:pos="604"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amendment, alteration or repeal (including by means of a merger, consolidation or otherwise) of any provision of the Articles of Incorporation (including this Certificate of Designations) or the Corporation’s bylaws that would alter or change the rights, preferences or privileges of the Series F Preferred Stock so as to affect them adversely; or</w:t>
      </w:r>
    </w:p>
    <w:p>
      <w:pPr>
        <w:spacing w:after="0" w:line="154" w:lineRule="exact"/>
        <w:rPr>
          <w:rFonts w:ascii="Arial" w:cs="Arial" w:eastAsia="Arial" w:hAnsi="Arial"/>
          <w:sz w:val="18"/>
          <w:szCs w:val="18"/>
          <w:color w:val="auto"/>
        </w:rPr>
      </w:pPr>
    </w:p>
    <w:p>
      <w:pPr>
        <w:ind w:right="339" w:firstLine="381"/>
        <w:spacing w:after="0" w:line="302" w:lineRule="auto"/>
        <w:tabs>
          <w:tab w:leader="none" w:pos="654"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amendment or alteration (including by means of a merger, consolidation or otherwise) of the Corporation’s Articles of Incorporation to authorize, or create, or increase the authorized amount of, any shares of, or any securities convertible into shares of, any class or series of the Corporation’s capital stock ranking equally with or senior to the Series F Preferred Stock in the payment of dividends or in the distribution of assets on any liquidation, dissolution or winding up of the Corporation.</w:t>
      </w:r>
    </w:p>
    <w:p>
      <w:pPr>
        <w:spacing w:after="0" w:line="114" w:lineRule="exact"/>
        <w:rPr>
          <w:sz w:val="20"/>
          <w:szCs w:val="20"/>
          <w:color w:val="auto"/>
        </w:rPr>
      </w:pPr>
    </w:p>
    <w:p>
      <w:pPr>
        <w:ind w:right="199"/>
        <w:spacing w:after="0" w:line="255"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creation and issuance, or an increase in the authorized or issued amount, of any series of preferred stock or</w:t>
      </w:r>
      <w:r>
        <w:rPr>
          <w:rFonts w:ascii="Arial" w:cs="Arial" w:eastAsia="Arial" w:hAnsi="Arial"/>
          <w:sz w:val="18"/>
          <w:szCs w:val="18"/>
          <w:i w:val="1"/>
          <w:iCs w:val="1"/>
          <w:color w:val="auto"/>
        </w:rPr>
        <w:t xml:space="preserve"> </w:t>
      </w:r>
      <w:r>
        <w:rPr>
          <w:rFonts w:ascii="Arial" w:cs="Arial" w:eastAsia="Arial" w:hAnsi="Arial"/>
          <w:sz w:val="18"/>
          <w:szCs w:val="18"/>
          <w:color w:val="auto"/>
        </w:rPr>
        <w:t>any securities convertible into preferred stock ranking junior to the Series F Preferred Stock with respect to the payment of dividends (whether such dividends are cumulative or non-cumulative) and/or the distribution of assets upon the Corporation’s liquidation, dissolution or winding up will not, in and of itself, be deemed to adversely affect rights, preferences or privileges of the Series F Preferred Stock and, notwithstanding any provision of Georgia law, Holders will have no right to vote solely by reason of such an increase, creation or issuance.</w:t>
      </w:r>
    </w:p>
    <w:p>
      <w:pPr>
        <w:spacing w:after="0" w:line="153" w:lineRule="exact"/>
        <w:rPr>
          <w:sz w:val="20"/>
          <w:szCs w:val="20"/>
          <w:color w:val="auto"/>
        </w:rPr>
      </w:pPr>
    </w:p>
    <w:p>
      <w:pPr>
        <w:ind w:right="519" w:firstLine="770"/>
        <w:spacing w:after="0" w:line="264" w:lineRule="auto"/>
        <w:tabs>
          <w:tab w:leader="none" w:pos="10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Notwithstanding the foregoing, Holders shall not have any voting rights if, at or prior to the effective time of the act with respect to which such vote would otherwise be required, all outstanding shares of Series F Preferred Stock shall have been converted into shares of Common Stock.</w:t>
      </w:r>
    </w:p>
    <w:p>
      <w:pPr>
        <w:spacing w:after="0" w:line="154"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Section 13. Fractional Shares</w:t>
      </w:r>
      <w:r>
        <w:rPr>
          <w:rFonts w:ascii="Arial" w:cs="Arial" w:eastAsia="Arial" w:hAnsi="Arial"/>
          <w:sz w:val="18"/>
          <w:szCs w:val="18"/>
          <w:color w:val="auto"/>
        </w:rPr>
        <w:t>.</w:t>
      </w:r>
    </w:p>
    <w:p>
      <w:pPr>
        <w:spacing w:after="0" w:line="185" w:lineRule="exact"/>
        <w:rPr>
          <w:sz w:val="20"/>
          <w:szCs w:val="20"/>
          <w:color w:val="auto"/>
        </w:rPr>
      </w:pPr>
    </w:p>
    <w:p>
      <w:pPr>
        <w:ind w:left="1020" w:hanging="250"/>
        <w:spacing w:after="0"/>
        <w:tabs>
          <w:tab w:leader="none" w:pos="10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 fractional shares of Common Stock will be issued as a result of any conversion of shares of Series F Preferred Stock.</w:t>
      </w:r>
    </w:p>
    <w:p>
      <w:pPr>
        <w:spacing w:after="0" w:line="207" w:lineRule="exact"/>
        <w:rPr>
          <w:rFonts w:ascii="Arial" w:cs="Arial" w:eastAsia="Arial" w:hAnsi="Arial"/>
          <w:sz w:val="16"/>
          <w:szCs w:val="16"/>
          <w:color w:val="auto"/>
        </w:rPr>
      </w:pPr>
    </w:p>
    <w:p>
      <w:pPr>
        <w:jc w:val="both"/>
        <w:ind w:right="259" w:firstLine="770"/>
        <w:spacing w:after="0" w:line="312" w:lineRule="auto"/>
        <w:tabs>
          <w:tab w:leader="none" w:pos="1033"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lieu of any fractional share of Common Stock otherwise issuable in respect of any mandatory conversion pursuant to Section 8 hereof, the Corporation shall pay an amount in cash (computed to the nearest cent) equal to the same fraction of the Closing Price of the Common Stock determined as of the second Trading Day immediately preceding the Mandatory Conversion Date.</w:t>
      </w:r>
    </w:p>
    <w:p>
      <w:pPr>
        <w:spacing w:after="0" w:line="119" w:lineRule="exact"/>
        <w:rPr>
          <w:rFonts w:ascii="Arial" w:cs="Arial" w:eastAsia="Arial" w:hAnsi="Arial"/>
          <w:sz w:val="16"/>
          <w:szCs w:val="16"/>
          <w:color w:val="auto"/>
        </w:rPr>
      </w:pPr>
    </w:p>
    <w:p>
      <w:pPr>
        <w:ind w:right="259" w:firstLine="770"/>
        <w:spacing w:after="0" w:line="264" w:lineRule="auto"/>
        <w:tabs>
          <w:tab w:leader="none" w:pos="1023"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more than one share of the Series F Preferred Stock is surrendered for conversion at one time by or for the same Holder, the number of full shares of Common Stock issuable upon conversion thereof shall be computed on the basis of the aggregate number of shares of the Series F Preferred Stock so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619760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94" w:name="page95"/>
    <w:bookmarkEnd w:id="94"/>
    <w:p>
      <w:pPr>
        <w:ind w:left="10"/>
        <w:spacing w:after="0"/>
        <w:rPr>
          <w:sz w:val="20"/>
          <w:szCs w:val="20"/>
          <w:color w:val="auto"/>
        </w:rPr>
      </w:pPr>
      <w:r>
        <w:rPr>
          <w:rFonts w:ascii="Arial" w:cs="Arial" w:eastAsia="Arial" w:hAnsi="Arial"/>
          <w:sz w:val="18"/>
          <w:szCs w:val="18"/>
          <w:i w:val="1"/>
          <w:iCs w:val="1"/>
          <w:color w:val="auto"/>
        </w:rPr>
        <w:t>Section 14. Reservation of Common Stock.</w:t>
      </w:r>
    </w:p>
    <w:p>
      <w:pPr>
        <w:spacing w:after="0" w:line="198" w:lineRule="exact"/>
        <w:rPr>
          <w:sz w:val="20"/>
          <w:szCs w:val="20"/>
          <w:color w:val="auto"/>
        </w:rPr>
      </w:pPr>
    </w:p>
    <w:p>
      <w:pPr>
        <w:ind w:left="-770" w:right="159" w:firstLine="770"/>
        <w:spacing w:after="0" w:line="272" w:lineRule="auto"/>
        <w:tabs>
          <w:tab w:leader="none" w:pos="253" w:val="left"/>
        </w:tabs>
        <w:numPr>
          <w:ilvl w:val="0"/>
          <w:numId w:val="67"/>
        </w:numPr>
        <w:rPr>
          <w:rFonts w:ascii="Arial" w:cs="Arial" w:eastAsia="Arial" w:hAnsi="Arial"/>
          <w:sz w:val="17"/>
          <w:szCs w:val="17"/>
          <w:color w:val="auto"/>
        </w:rPr>
      </w:pPr>
      <w:r>
        <w:rPr>
          <w:rFonts w:ascii="Arial" w:cs="Arial" w:eastAsia="Arial" w:hAnsi="Arial"/>
          <w:sz w:val="17"/>
          <w:szCs w:val="17"/>
          <w:color w:val="auto"/>
        </w:rPr>
        <w:t>Following the receipt of the Stockholder Approvals, the Corporation shall at all times reserve and keep available out of its authorized and unissued Common Stock or shares acquired by the Corporation, solely for issuance upon the conversion of shares of Series F Preferred Stock as provided in this Certificate of Designations free from any preemptive or other similar rights, such number of shares of Common Stock as shall from time to time be issuable upon the conversion of all the shares of Series F Preferred Stock then outstanding. For purposes of this Section 14(a), the number of shares of Common Stock that shall be deliverable upon the conversion of all outstanding shares of Series F Preferred Stock shall be computed as if at the time of computation all such outstanding shares were held by a single Holder.</w:t>
      </w:r>
    </w:p>
    <w:p>
      <w:pPr>
        <w:spacing w:after="0" w:line="137" w:lineRule="exact"/>
        <w:rPr>
          <w:rFonts w:ascii="Arial" w:cs="Arial" w:eastAsia="Arial" w:hAnsi="Arial"/>
          <w:sz w:val="17"/>
          <w:szCs w:val="17"/>
          <w:color w:val="auto"/>
        </w:rPr>
      </w:pPr>
    </w:p>
    <w:p>
      <w:pPr>
        <w:ind w:left="-770" w:right="399" w:firstLine="770"/>
        <w:spacing w:after="0" w:line="259" w:lineRule="auto"/>
        <w:tabs>
          <w:tab w:leader="none" w:pos="263"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Notwithstanding the foregoing, the Corporation shall be entitled to deliver upon conversion of shares of Series F Preferred Stock, as herein provided, shares of Common Stock acquired by the Corporation (in lieu of the issuance of authorized and unissued shares of Common Stock), so long as any such acquired shares are free and clear of all liens, charges, security interests or encumbrances.</w:t>
      </w:r>
    </w:p>
    <w:p>
      <w:pPr>
        <w:spacing w:after="0" w:line="146" w:lineRule="exact"/>
        <w:rPr>
          <w:rFonts w:ascii="Arial" w:cs="Arial" w:eastAsia="Arial" w:hAnsi="Arial"/>
          <w:sz w:val="18"/>
          <w:szCs w:val="18"/>
          <w:color w:val="auto"/>
        </w:rPr>
      </w:pPr>
    </w:p>
    <w:p>
      <w:pPr>
        <w:ind w:left="-770" w:right="219" w:firstLine="770"/>
        <w:spacing w:after="0" w:line="308" w:lineRule="auto"/>
        <w:tabs>
          <w:tab w:leader="none" w:pos="243" w:val="left"/>
        </w:tabs>
        <w:numPr>
          <w:ilvl w:val="0"/>
          <w:numId w:val="67"/>
        </w:numPr>
        <w:rPr>
          <w:rFonts w:ascii="Arial" w:cs="Arial" w:eastAsia="Arial" w:hAnsi="Arial"/>
          <w:sz w:val="17"/>
          <w:szCs w:val="17"/>
          <w:color w:val="auto"/>
        </w:rPr>
      </w:pPr>
      <w:r>
        <w:rPr>
          <w:rFonts w:ascii="Arial" w:cs="Arial" w:eastAsia="Arial" w:hAnsi="Arial"/>
          <w:sz w:val="17"/>
          <w:szCs w:val="17"/>
          <w:color w:val="auto"/>
        </w:rPr>
        <w:t>All shares of Common Stock delivered upon conversion of the Series F Preferred Stock shall be duly authorized, validly issued, fully paid and non-assessable, free and clear of all liens, claims, security interests and other encumbrances.</w:t>
      </w:r>
    </w:p>
    <w:p>
      <w:pPr>
        <w:spacing w:after="0" w:line="119" w:lineRule="exact"/>
        <w:rPr>
          <w:rFonts w:ascii="Arial" w:cs="Arial" w:eastAsia="Arial" w:hAnsi="Arial"/>
          <w:sz w:val="17"/>
          <w:szCs w:val="17"/>
          <w:color w:val="auto"/>
        </w:rPr>
      </w:pPr>
    </w:p>
    <w:p>
      <w:pPr>
        <w:ind w:left="-770" w:right="179" w:firstLine="770"/>
        <w:spacing w:after="0" w:line="259" w:lineRule="auto"/>
        <w:tabs>
          <w:tab w:leader="none" w:pos="263"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Prior to the delivery of any securities that the Corporation shall be obligated to deliver upon conversion of the Series F Preferred Stock, the Corporation shall use its reasonable best efforts to comply with all federal and state laws and regulations thereunder requiring the registration of such securities with, or any approval of or consent to the delivery thereof by, any governmental authority.</w:t>
      </w:r>
    </w:p>
    <w:p>
      <w:pPr>
        <w:spacing w:after="0" w:line="146" w:lineRule="exact"/>
        <w:rPr>
          <w:rFonts w:ascii="Arial" w:cs="Arial" w:eastAsia="Arial" w:hAnsi="Arial"/>
          <w:sz w:val="18"/>
          <w:szCs w:val="18"/>
          <w:color w:val="auto"/>
        </w:rPr>
      </w:pPr>
    </w:p>
    <w:p>
      <w:pPr>
        <w:jc w:val="both"/>
        <w:ind w:left="-770" w:right="199" w:firstLine="770"/>
        <w:spacing w:after="0" w:line="302" w:lineRule="auto"/>
        <w:tabs>
          <w:tab w:leader="none" w:pos="249"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Corporation hereby covenants and agrees that, if at any time the Common Stock shall be listed on The NASDAQ Global Select Market or any other national securities exchange or automated quotation system, the Corporation will, if permitted by the rules of such exchange or automated quotation system, list and keep listed, so long as the Common Stock shall be so listed on such exchange or automated quotation system, all the Common Stock issuable upon conversion of the Series F Preferred Stock.</w:t>
      </w:r>
    </w:p>
    <w:p>
      <w:pPr>
        <w:spacing w:after="0" w:line="114" w:lineRule="exact"/>
        <w:rPr>
          <w:sz w:val="20"/>
          <w:szCs w:val="20"/>
          <w:color w:val="auto"/>
        </w:rPr>
      </w:pPr>
    </w:p>
    <w:p>
      <w:pPr>
        <w:ind w:left="10"/>
        <w:spacing w:after="0"/>
        <w:rPr>
          <w:sz w:val="20"/>
          <w:szCs w:val="20"/>
          <w:color w:val="auto"/>
        </w:rPr>
      </w:pPr>
      <w:r>
        <w:rPr>
          <w:rFonts w:ascii="Arial" w:cs="Arial" w:eastAsia="Arial" w:hAnsi="Arial"/>
          <w:sz w:val="18"/>
          <w:szCs w:val="18"/>
          <w:i w:val="1"/>
          <w:iCs w:val="1"/>
          <w:color w:val="auto"/>
        </w:rPr>
        <w:t>Section 15. Replacement Certificates</w:t>
      </w:r>
      <w:r>
        <w:rPr>
          <w:rFonts w:ascii="Arial" w:cs="Arial" w:eastAsia="Arial" w:hAnsi="Arial"/>
          <w:sz w:val="18"/>
          <w:szCs w:val="18"/>
          <w:color w:val="auto"/>
        </w:rPr>
        <w:t>.</w:t>
      </w:r>
    </w:p>
    <w:p>
      <w:pPr>
        <w:spacing w:after="0" w:line="198" w:lineRule="exact"/>
        <w:rPr>
          <w:sz w:val="20"/>
          <w:szCs w:val="20"/>
          <w:color w:val="auto"/>
        </w:rPr>
      </w:pPr>
    </w:p>
    <w:p>
      <w:pPr>
        <w:jc w:val="both"/>
        <w:ind w:left="-770" w:right="219" w:firstLine="770"/>
        <w:spacing w:after="0" w:line="259" w:lineRule="auto"/>
        <w:tabs>
          <w:tab w:leader="none" w:pos="2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Corporation shall replace any mutilated certificate at the Holder’s expense upon surrender of that certificate to the Corporation. The Corporation shall replace certificates that become destroyed, stolen or lost at the Holder’s expense upon delivery to the Corporation of satisfactory evidence that the certificate has been destroyed, stolen or lost, together with any indemnity that may be required by the Corporation.</w:t>
      </w:r>
    </w:p>
    <w:p>
      <w:pPr>
        <w:spacing w:after="0" w:line="146" w:lineRule="exact"/>
        <w:rPr>
          <w:rFonts w:ascii="Arial" w:cs="Arial" w:eastAsia="Arial" w:hAnsi="Arial"/>
          <w:sz w:val="18"/>
          <w:szCs w:val="18"/>
          <w:color w:val="auto"/>
        </w:rPr>
      </w:pPr>
    </w:p>
    <w:p>
      <w:pPr>
        <w:ind w:left="-770" w:right="359" w:firstLine="770"/>
        <w:spacing w:after="0" w:line="279" w:lineRule="auto"/>
        <w:tabs>
          <w:tab w:leader="none" w:pos="259"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Corporation shall not be required to issue any certificates representing the Series F Preferred Stock on or after the Mandatory Conversion Date. In place of the delivery of a replacement certificate following the Mandatory Conversion Date, the Corporation, upon delivery of the evidence and indemnity described in clause (a) above, shall deliver the shares of Common Stock pursuant to the terms of the Series F Preferred Stock formerly evidenced by the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621665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09"/>
          </w:cols>
          <w:pgMar w:left="1350" w:top="936" w:right="1440" w:bottom="1440" w:gutter="0" w:footer="0" w:header="0"/>
        </w:sectPr>
      </w:pPr>
    </w:p>
    <w:bookmarkStart w:id="95" w:name="page96"/>
    <w:bookmarkEnd w:id="95"/>
    <w:p>
      <w:pPr>
        <w:ind w:left="10"/>
        <w:spacing w:after="0"/>
        <w:rPr>
          <w:sz w:val="20"/>
          <w:szCs w:val="20"/>
          <w:color w:val="auto"/>
        </w:rPr>
      </w:pPr>
      <w:r>
        <w:rPr>
          <w:rFonts w:ascii="Arial" w:cs="Arial" w:eastAsia="Arial" w:hAnsi="Arial"/>
          <w:sz w:val="18"/>
          <w:szCs w:val="18"/>
          <w:i w:val="1"/>
          <w:iCs w:val="1"/>
          <w:color w:val="auto"/>
        </w:rPr>
        <w:t>Section 16. Miscellaneous</w:t>
      </w:r>
      <w:r>
        <w:rPr>
          <w:rFonts w:ascii="Arial" w:cs="Arial" w:eastAsia="Arial" w:hAnsi="Arial"/>
          <w:sz w:val="18"/>
          <w:szCs w:val="18"/>
          <w:color w:val="auto"/>
        </w:rPr>
        <w:t>.</w:t>
      </w:r>
    </w:p>
    <w:p>
      <w:pPr>
        <w:spacing w:after="0" w:line="198" w:lineRule="exact"/>
        <w:rPr>
          <w:sz w:val="20"/>
          <w:szCs w:val="20"/>
          <w:color w:val="auto"/>
        </w:rPr>
      </w:pPr>
    </w:p>
    <w:p>
      <w:pPr>
        <w:ind w:left="-770" w:right="219" w:firstLine="770"/>
        <w:spacing w:after="0" w:line="293" w:lineRule="auto"/>
        <w:tabs>
          <w:tab w:leader="none" w:pos="243" w:val="left"/>
        </w:tabs>
        <w:numPr>
          <w:ilvl w:val="0"/>
          <w:numId w:val="69"/>
        </w:numPr>
        <w:rPr>
          <w:rFonts w:ascii="Arial" w:cs="Arial" w:eastAsia="Arial" w:hAnsi="Arial"/>
          <w:sz w:val="16"/>
          <w:szCs w:val="16"/>
          <w:color w:val="auto"/>
        </w:rPr>
      </w:pPr>
      <w:r>
        <w:rPr>
          <w:rFonts w:ascii="Arial" w:cs="Arial" w:eastAsia="Arial" w:hAnsi="Arial"/>
          <w:sz w:val="16"/>
          <w:szCs w:val="16"/>
          <w:color w:val="auto"/>
        </w:rPr>
        <w:t>All notices referred to herein shall be in writing, and, unless otherwise specified herein, all notices hereunder shall be deemed to have been given upon the earlier of receipt thereof or three Business Days after the mailing thereof if sent by registered or certified mail (unless first-class mail shall be specifically permitted for such notice under the terms of this Certificate of Designations) with postage prepaid, addressed: (i) if to the Corporation, to its office at 125 Highway 515 East, Blairsville, Georgia 30512 or (ii) if to any Holder, to such Holder at the address of such Holder as listed in the stock record books of the Corporation, or (iii) to such other address as the Corporation or any such Holder, as the case may be, shall have designated by notice similarly given.</w:t>
      </w:r>
    </w:p>
    <w:p>
      <w:pPr>
        <w:spacing w:after="0" w:line="124" w:lineRule="exact"/>
        <w:rPr>
          <w:rFonts w:ascii="Arial" w:cs="Arial" w:eastAsia="Arial" w:hAnsi="Arial"/>
          <w:sz w:val="16"/>
          <w:szCs w:val="16"/>
          <w:color w:val="auto"/>
        </w:rPr>
      </w:pPr>
    </w:p>
    <w:p>
      <w:pPr>
        <w:ind w:left="-770" w:right="199" w:firstLine="770"/>
        <w:spacing w:after="0" w:line="289" w:lineRule="auto"/>
        <w:tabs>
          <w:tab w:leader="none" w:pos="259"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Corporation shall pay any and all stock transfer and documentary stamp taxes that may be payable in respect of any issuance or delivery of shares of Series F Preferred Stock or shares of Common Stock or other securities issued on account of Series F Preferred Stock pursuant hereto or certificates representing such shares or securities. The Corporation shall not, however, be required to pay any such tax that may be payable in respect of any transfer involved in the issuance or delivery of shares of Series F Preferred Stock or Common Stock or other securities in a name other than that in which the shares of Series F Preferred Stock with respect to which such shares or other securities are issued or delivered were registered, or in respect of any payment to any Person other than a payment to the registered holder thereof, and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spacing w:after="0" w:line="126" w:lineRule="exact"/>
        <w:rPr>
          <w:rFonts w:ascii="Arial" w:cs="Arial" w:eastAsia="Arial" w:hAnsi="Arial"/>
          <w:sz w:val="16"/>
          <w:szCs w:val="16"/>
          <w:color w:val="auto"/>
        </w:rPr>
      </w:pPr>
    </w:p>
    <w:p>
      <w:pPr>
        <w:ind w:left="-770" w:right="239" w:firstLine="770"/>
        <w:spacing w:after="0" w:line="264" w:lineRule="auto"/>
        <w:tabs>
          <w:tab w:leader="none" w:pos="2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payments on the shares of Series F Preferred Stock shall be subject to withholding and backup withholding of tax to the extent required by applicable law, subject to applicable exemptions, and amounts withheld, if any, shall be treated as received by the holders thereof.</w:t>
      </w:r>
    </w:p>
    <w:p>
      <w:pPr>
        <w:spacing w:after="0" w:line="154" w:lineRule="exact"/>
        <w:rPr>
          <w:rFonts w:ascii="Arial" w:cs="Arial" w:eastAsia="Arial" w:hAnsi="Arial"/>
          <w:sz w:val="18"/>
          <w:szCs w:val="18"/>
          <w:color w:val="auto"/>
        </w:rPr>
      </w:pPr>
    </w:p>
    <w:p>
      <w:pPr>
        <w:ind w:left="-770" w:right="899" w:firstLine="770"/>
        <w:spacing w:after="0" w:line="312" w:lineRule="auto"/>
        <w:tabs>
          <w:tab w:leader="none" w:pos="263"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 share of Series F Preferred Stock shall have any rights of preemption whatsoever under this Certificate of Designations as to any securities of the Corporation, or any warrants, rights or options issued or granted with respect thereto, regardless of how such securities, or such warrants, rights or options, may be designated issued or granted.</w:t>
      </w:r>
    </w:p>
    <w:p>
      <w:pPr>
        <w:spacing w:after="0" w:line="106" w:lineRule="exact"/>
        <w:rPr>
          <w:rFonts w:ascii="Arial" w:cs="Arial" w:eastAsia="Arial" w:hAnsi="Arial"/>
          <w:sz w:val="16"/>
          <w:szCs w:val="16"/>
          <w:color w:val="auto"/>
        </w:rPr>
      </w:pPr>
    </w:p>
    <w:p>
      <w:pPr>
        <w:ind w:left="-770" w:right="299" w:firstLine="770"/>
        <w:spacing w:after="0" w:line="264" w:lineRule="auto"/>
        <w:tabs>
          <w:tab w:leader="none" w:pos="24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shares of Series F Preferred Stock shall not have any voting powers, preferences or relative, participating, optional or other special rights, or qualifications, limitations or restrictions thereof, other than as set forth herein or in the Articles of Incorporation or as provided by applicable law.</w:t>
      </w:r>
    </w:p>
    <w:p>
      <w:pPr>
        <w:spacing w:after="0" w:line="140" w:lineRule="exact"/>
        <w:rPr>
          <w:rFonts w:ascii="Arial" w:cs="Arial" w:eastAsia="Arial" w:hAnsi="Arial"/>
          <w:sz w:val="18"/>
          <w:szCs w:val="18"/>
          <w:color w:val="auto"/>
        </w:rPr>
      </w:pPr>
    </w:p>
    <w:p>
      <w:pPr>
        <w:ind w:left="-770" w:right="239" w:firstLine="770"/>
        <w:spacing w:after="0" w:line="277" w:lineRule="auto"/>
        <w:tabs>
          <w:tab w:leader="none" w:pos="22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Corporation covenants (1) not to treat the Series F Preferred Stock as preferred stock for purposes of Section 305 of the Internal Revenue Code of 1986, as amended, except as otherwise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621030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09"/>
          </w:cols>
          <w:pgMar w:left="1350" w:top="935" w:right="1440" w:bottom="1440" w:gutter="0" w:footer="0" w:header="0"/>
        </w:sectPr>
      </w:pPr>
    </w:p>
    <w:bookmarkStart w:id="96" w:name="page97"/>
    <w:bookmarkEnd w:id="96"/>
    <w:p>
      <w:pPr>
        <w:jc w:val="center"/>
        <w:ind w:right="179"/>
        <w:spacing w:after="0"/>
        <w:rPr>
          <w:sz w:val="20"/>
          <w:szCs w:val="20"/>
          <w:color w:val="auto"/>
        </w:rPr>
      </w:pPr>
      <w:r>
        <w:rPr>
          <w:rFonts w:ascii="Arial" w:cs="Arial" w:eastAsia="Arial" w:hAnsi="Arial"/>
          <w:sz w:val="18"/>
          <w:szCs w:val="18"/>
          <w:b w:val="1"/>
          <w:bCs w:val="1"/>
          <w:color w:val="auto"/>
        </w:rPr>
        <w:t>EXHIBIT B</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DESIGNATIONS, POWERS, PREFERENCES,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LIMITATIONS, RESTRICTIONS, AND RELATIVE RIGHTS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MANDATORILY CONVERTIBLE CUMULATIVE NON-VOTING PERPETUAL</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PREFERRED STOCK, SERIES G</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UNITED COMMUNITY BANKS, INC.</w:t>
      </w:r>
    </w:p>
    <w:p>
      <w:pPr>
        <w:spacing w:after="0" w:line="166" w:lineRule="exact"/>
        <w:rPr>
          <w:sz w:val="20"/>
          <w:szCs w:val="20"/>
          <w:color w:val="auto"/>
        </w:rPr>
      </w:pPr>
    </w:p>
    <w:p>
      <w:pPr>
        <w:ind w:right="219" w:firstLine="778"/>
        <w:spacing w:after="0" w:line="282" w:lineRule="auto"/>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IRST</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 of the Corporation is</w:t>
      </w:r>
      <w:r>
        <w:rPr>
          <w:rFonts w:ascii="Arial" w:cs="Arial" w:eastAsia="Arial" w:hAnsi="Arial"/>
          <w:sz w:val="18"/>
          <w:szCs w:val="18"/>
          <w:b w:val="1"/>
          <w:bCs w:val="1"/>
          <w:color w:val="auto"/>
        </w:rPr>
        <w:t xml:space="preserve"> U</w:t>
      </w:r>
      <w:r>
        <w:rPr>
          <w:rFonts w:ascii="Arial" w:cs="Arial" w:eastAsia="Arial" w:hAnsi="Arial"/>
          <w:sz w:val="12"/>
          <w:szCs w:val="12"/>
          <w:b w:val="1"/>
          <w:bCs w:val="1"/>
          <w:color w:val="auto"/>
        </w:rPr>
        <w:t>NITED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OMMUNITY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ANKS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and existing under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Georgia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21" w:lineRule="exact"/>
        <w:rPr>
          <w:sz w:val="20"/>
          <w:szCs w:val="20"/>
          <w:color w:val="auto"/>
        </w:rPr>
      </w:pPr>
    </w:p>
    <w:p>
      <w:pPr>
        <w:ind w:right="299" w:firstLine="778"/>
        <w:spacing w:after="0" w:line="277" w:lineRule="auto"/>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ECOND</w:t>
      </w:r>
      <w:r>
        <w:rPr>
          <w:rFonts w:ascii="Arial" w:cs="Arial" w:eastAsia="Arial" w:hAnsi="Arial"/>
          <w:sz w:val="17"/>
          <w:szCs w:val="17"/>
          <w:b w:val="1"/>
          <w:bCs w:val="1"/>
          <w:color w:val="auto"/>
        </w:rPr>
        <w:t xml:space="preserve">: </w:t>
      </w:r>
      <w:r>
        <w:rPr>
          <w:rFonts w:ascii="Arial" w:cs="Arial" w:eastAsia="Arial" w:hAnsi="Arial"/>
          <w:sz w:val="17"/>
          <w:szCs w:val="17"/>
          <w:color w:val="auto"/>
        </w:rPr>
        <w:t>The Restated Articles of Incorporation of the Corporation, as amended, authorize the issuance of 10,000,000</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preferred stock, par value $1.00 per share, of the Corporation (“</w:t>
      </w:r>
      <w:r>
        <w:rPr>
          <w:rFonts w:ascii="Arial" w:cs="Arial" w:eastAsia="Arial" w:hAnsi="Arial"/>
          <w:sz w:val="17"/>
          <w:szCs w:val="17"/>
          <w:u w:val="single" w:color="auto"/>
          <w:color w:val="auto"/>
        </w:rPr>
        <w:t>Preferred Stock</w:t>
      </w:r>
      <w:r>
        <w:rPr>
          <w:rFonts w:ascii="Arial" w:cs="Arial" w:eastAsia="Arial" w:hAnsi="Arial"/>
          <w:sz w:val="17"/>
          <w:szCs w:val="17"/>
          <w:color w:val="auto"/>
        </w:rPr>
        <w:t>”) in one or more series, and authorizes the Board of Directors of the Corporation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to fix by resolution or resolutions the designation and number of shares of such series, and the voting and other powers, preferences and relative, participating, optional or other special rights, and the qualifications, limitations and restrictions thereof, of the shares of such series.</w:t>
      </w:r>
    </w:p>
    <w:p>
      <w:pPr>
        <w:spacing w:after="0" w:line="141" w:lineRule="exact"/>
        <w:rPr>
          <w:sz w:val="20"/>
          <w:szCs w:val="20"/>
          <w:color w:val="auto"/>
        </w:rPr>
      </w:pPr>
    </w:p>
    <w:p>
      <w:pPr>
        <w:jc w:val="both"/>
        <w:ind w:right="319" w:firstLine="778"/>
        <w:spacing w:after="0" w:line="26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HIRD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following resolution was duly adopted by the Board of Directors as required by O.C.G.A. § 14-2-602 and</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V of the Restated Articles of Incorporation at a meeting duly convened and held on March 14, 2011, at which a quorum was present and acting throughout.</w:t>
      </w:r>
    </w:p>
    <w:p>
      <w:pPr>
        <w:spacing w:after="0" w:line="136" w:lineRule="exact"/>
        <w:rPr>
          <w:sz w:val="20"/>
          <w:szCs w:val="20"/>
          <w:color w:val="auto"/>
        </w:rPr>
      </w:pPr>
    </w:p>
    <w:p>
      <w:pPr>
        <w:ind w:right="359" w:firstLine="778"/>
        <w:spacing w:after="0" w:line="303" w:lineRule="auto"/>
        <w:rPr>
          <w:sz w:val="20"/>
          <w:szCs w:val="20"/>
          <w:color w:val="auto"/>
        </w:rPr>
      </w:pPr>
      <w:r>
        <w:rPr>
          <w:rFonts w:ascii="Arial" w:cs="Arial" w:eastAsia="Arial" w:hAnsi="Arial"/>
          <w:sz w:val="16"/>
          <w:szCs w:val="16"/>
          <w:b w:val="1"/>
          <w:bCs w:val="1"/>
          <w:color w:val="auto"/>
        </w:rPr>
        <w:t>R</w:t>
      </w:r>
      <w:r>
        <w:rPr>
          <w:rFonts w:ascii="Arial" w:cs="Arial" w:eastAsia="Arial" w:hAnsi="Arial"/>
          <w:sz w:val="11"/>
          <w:szCs w:val="11"/>
          <w:b w:val="1"/>
          <w:bCs w:val="1"/>
          <w:color w:val="auto"/>
        </w:rPr>
        <w:t>ESOLVED</w:t>
      </w:r>
      <w:r>
        <w:rPr>
          <w:rFonts w:ascii="Arial" w:cs="Arial" w:eastAsia="Arial" w:hAnsi="Arial"/>
          <w:sz w:val="16"/>
          <w:szCs w:val="16"/>
          <w:b w:val="1"/>
          <w:bCs w:val="1"/>
          <w:color w:val="auto"/>
        </w:rPr>
        <w:t xml:space="preserve">, </w:t>
      </w:r>
      <w:r>
        <w:rPr>
          <w:rFonts w:ascii="Arial" w:cs="Arial" w:eastAsia="Arial" w:hAnsi="Arial"/>
          <w:sz w:val="16"/>
          <w:szCs w:val="16"/>
          <w:color w:val="auto"/>
        </w:rPr>
        <w:t>that pursuant to the provisions of the Restated Articles of Incorporation of the Corporation, as amended, and</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a series of Preferred Stock, par value $1.00 per share, of the Corporation be and hereby is created, and that the designation and number of shares of such series, and the voting and other powers, preferences and relative, participating, optional or other rights, and the qualifications, limitations and restrictions thereof, of the shares of such series, are as follows: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RIGHTS AND PREFERENCES</w:t>
      </w:r>
    </w:p>
    <w:p>
      <w:pPr>
        <w:spacing w:after="0" w:line="202" w:lineRule="exact"/>
        <w:rPr>
          <w:sz w:val="20"/>
          <w:szCs w:val="20"/>
          <w:color w:val="auto"/>
        </w:rPr>
      </w:pPr>
    </w:p>
    <w:p>
      <w:pPr>
        <w:ind w:right="219" w:firstLine="778"/>
        <w:spacing w:after="0" w:line="279" w:lineRule="auto"/>
        <w:rPr>
          <w:sz w:val="20"/>
          <w:szCs w:val="20"/>
          <w:color w:val="auto"/>
        </w:rPr>
      </w:pPr>
      <w:r>
        <w:rPr>
          <w:rFonts w:ascii="Arial" w:cs="Arial" w:eastAsia="Arial" w:hAnsi="Arial"/>
          <w:sz w:val="17"/>
          <w:szCs w:val="17"/>
          <w:i w:val="1"/>
          <w:iCs w:val="1"/>
          <w:color w:val="auto"/>
        </w:rPr>
        <w:t xml:space="preserve">Section 1. Designation. </w:t>
      </w:r>
      <w:r>
        <w:rPr>
          <w:rFonts w:ascii="Arial" w:cs="Arial" w:eastAsia="Arial" w:hAnsi="Arial"/>
          <w:sz w:val="17"/>
          <w:szCs w:val="17"/>
          <w:color w:val="auto"/>
        </w:rPr>
        <w:t>There is hereby created out of the authorized and unissued shares of preferred stock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a series of preferred stock designated as the “Mandatorily Convertible Cumulative Non-Voting Perpetual Preferred Stock, Series G” (the “</w:t>
      </w:r>
      <w:r>
        <w:rPr>
          <w:rFonts w:ascii="Arial" w:cs="Arial" w:eastAsia="Arial" w:hAnsi="Arial"/>
          <w:sz w:val="17"/>
          <w:szCs w:val="17"/>
          <w:u w:val="single" w:color="auto"/>
          <w:color w:val="auto"/>
        </w:rPr>
        <w:t>Series G Preferred Stock</w:t>
      </w:r>
      <w:r>
        <w:rPr>
          <w:rFonts w:ascii="Arial" w:cs="Arial" w:eastAsia="Arial" w:hAnsi="Arial"/>
          <w:sz w:val="17"/>
          <w:szCs w:val="17"/>
          <w:color w:val="auto"/>
        </w:rPr>
        <w:t>”). The number of shares constituting such series shall be 151,185. The par value of the Series G Preferred Stock shall be $1.00 per share, and the liquidation preference shall be $1,000 per share.</w:t>
      </w:r>
    </w:p>
    <w:p>
      <w:pPr>
        <w:spacing w:after="0" w:line="131" w:lineRule="exact"/>
        <w:rPr>
          <w:sz w:val="20"/>
          <w:szCs w:val="20"/>
          <w:color w:val="auto"/>
        </w:rPr>
      </w:pPr>
    </w:p>
    <w:p>
      <w:pPr>
        <w:ind w:right="219" w:firstLine="778"/>
        <w:spacing w:after="0" w:line="286" w:lineRule="auto"/>
        <w:rPr>
          <w:sz w:val="20"/>
          <w:szCs w:val="20"/>
          <w:color w:val="auto"/>
        </w:rPr>
      </w:pPr>
      <w:r>
        <w:rPr>
          <w:rFonts w:ascii="Arial" w:cs="Arial" w:eastAsia="Arial" w:hAnsi="Arial"/>
          <w:sz w:val="16"/>
          <w:szCs w:val="16"/>
          <w:i w:val="1"/>
          <w:iCs w:val="1"/>
          <w:color w:val="auto"/>
        </w:rPr>
        <w:t>Section 2. Ranking</w:t>
      </w:r>
      <w:r>
        <w:rPr>
          <w:rFonts w:ascii="Arial" w:cs="Arial" w:eastAsia="Arial" w:hAnsi="Arial"/>
          <w:sz w:val="16"/>
          <w:szCs w:val="16"/>
          <w:color w:val="auto"/>
        </w:rPr>
        <w:t>. The Series G Preferred Stock will, with respect to dividend rights and rights on liquidation, winding up</w:t>
      </w:r>
      <w:r>
        <w:rPr>
          <w:rFonts w:ascii="Arial" w:cs="Arial" w:eastAsia="Arial" w:hAnsi="Arial"/>
          <w:sz w:val="16"/>
          <w:szCs w:val="16"/>
          <w:i w:val="1"/>
          <w:iCs w:val="1"/>
          <w:color w:val="auto"/>
        </w:rPr>
        <w:t xml:space="preserve"> </w:t>
      </w:r>
      <w:r>
        <w:rPr>
          <w:rFonts w:ascii="Arial" w:cs="Arial" w:eastAsia="Arial" w:hAnsi="Arial"/>
          <w:sz w:val="16"/>
          <w:szCs w:val="16"/>
          <w:color w:val="auto"/>
        </w:rPr>
        <w:t>and dissolution, rank (i) on a parity with the Corporation’s Series A Non-Cumulative Preferred Stock, the Fixed Rate Cumulative Perpetual Preferred Stock, Series B, the Series C Fixed Rate Cumulative Perpetual Preferred Stock, the Cumulative Perpetual Preferred Stock, Series D, the Junior Participating Preferred Stock, Series E, the Series F Mandatorily Convertible Perpetual Preferred Stock and with each other class or series of equity securities of the Corporation the terms of which do not expressly provide that such class or series will rank senior or junior to the Series G Preferred Stock as to dividend rights and rights on liquidation, winding-up and dissolution of the Corporation (collectively referred to as “</w:t>
      </w:r>
      <w:r>
        <w:rPr>
          <w:rFonts w:ascii="Arial" w:cs="Arial" w:eastAsia="Arial" w:hAnsi="Arial"/>
          <w:sz w:val="16"/>
          <w:szCs w:val="16"/>
          <w:u w:val="single" w:color="auto"/>
          <w:color w:val="auto"/>
        </w:rPr>
        <w:t>Parity Securities</w:t>
      </w:r>
      <w:r>
        <w:rPr>
          <w:rFonts w:ascii="Arial" w:cs="Arial" w:eastAsia="Arial" w:hAnsi="Arial"/>
          <w:sz w:val="16"/>
          <w:szCs w:val="16"/>
          <w:color w:val="auto"/>
        </w:rPr>
        <w:t>”), and (ii) senior to the Corporation’s common stock, par value $1.00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the Corporation’s non-voting common stock, par value $1.00 per share (the “</w:t>
      </w:r>
      <w:r>
        <w:rPr>
          <w:rFonts w:ascii="Arial" w:cs="Arial" w:eastAsia="Arial" w:hAnsi="Arial"/>
          <w:sz w:val="16"/>
          <w:szCs w:val="16"/>
          <w:u w:val="single" w:color="auto"/>
          <w:color w:val="auto"/>
        </w:rPr>
        <w:t>Non-Voting Common Stock</w:t>
      </w:r>
      <w:r>
        <w:rPr>
          <w:rFonts w:ascii="Arial" w:cs="Arial" w:eastAsia="Arial" w:hAnsi="Arial"/>
          <w:sz w:val="16"/>
          <w:szCs w:val="16"/>
          <w:color w:val="auto"/>
        </w:rPr>
        <w:t>” and, together with the Common Stock, the “</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and each other class or series of capital stock of the Corporation outstanding or established after the Effective Date by the Corporation the terms of which do not expressly provide that it ranks on a parity with or senior to the Series G Preferred Stock as to dividend rights and rights on liquidation, winding-up and dissolution of the Corporation (collectively referred to as “</w:t>
      </w:r>
      <w:r>
        <w:rPr>
          <w:rFonts w:ascii="Arial" w:cs="Arial" w:eastAsia="Arial" w:hAnsi="Arial"/>
          <w:sz w:val="16"/>
          <w:szCs w:val="16"/>
          <w:u w:val="single" w:color="auto"/>
          <w:color w:val="auto"/>
        </w:rPr>
        <w:t>Junior Securities</w:t>
      </w:r>
      <w:r>
        <w:rPr>
          <w:rFonts w:ascii="Arial" w:cs="Arial" w:eastAsia="Arial" w:hAnsi="Arial"/>
          <w:sz w:val="16"/>
          <w:szCs w:val="16"/>
          <w:color w:val="auto"/>
        </w:rPr>
        <w:t>”). The Corporation has the power to authorize and/or issue additional shares or classes or series of Junior Securities without the consent of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624205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97" w:name="page98"/>
    <w:bookmarkEnd w:id="97"/>
    <w:p>
      <w:pPr>
        <w:ind w:right="559" w:firstLine="778"/>
        <w:spacing w:after="0" w:line="277" w:lineRule="auto"/>
        <w:rPr>
          <w:sz w:val="20"/>
          <w:szCs w:val="20"/>
          <w:color w:val="auto"/>
        </w:rPr>
      </w:pPr>
      <w:r>
        <w:rPr>
          <w:rFonts w:ascii="Arial" w:cs="Arial" w:eastAsia="Arial" w:hAnsi="Arial"/>
          <w:sz w:val="18"/>
          <w:szCs w:val="18"/>
          <w:i w:val="1"/>
          <w:iCs w:val="1"/>
          <w:color w:val="auto"/>
        </w:rPr>
        <w:t>Section 3. Definitions</w:t>
      </w:r>
      <w:r>
        <w:rPr>
          <w:rFonts w:ascii="Arial" w:cs="Arial" w:eastAsia="Arial" w:hAnsi="Arial"/>
          <w:sz w:val="18"/>
          <w:szCs w:val="18"/>
          <w:color w:val="auto"/>
        </w:rPr>
        <w:t>. The following initially capitalized terms shall have the following meanings, whether used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singular or the plural:</w:t>
      </w:r>
    </w:p>
    <w:p>
      <w:pPr>
        <w:spacing w:after="0" w:line="143" w:lineRule="exact"/>
        <w:rPr>
          <w:sz w:val="20"/>
          <w:szCs w:val="20"/>
          <w:color w:val="auto"/>
        </w:rPr>
      </w:pPr>
    </w:p>
    <w:p>
      <w:pPr>
        <w:ind w:right="199" w:firstLine="770"/>
        <w:spacing w:after="0" w:line="302" w:lineRule="auto"/>
        <w:tabs>
          <w:tab w:leader="none" w:pos="1023"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of any specified Person means any other Person directly or indirectly controlling or controlled by or under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13" w:lineRule="exact"/>
        <w:rPr>
          <w:rFonts w:ascii="Arial" w:cs="Arial" w:eastAsia="Arial" w:hAnsi="Arial"/>
          <w:sz w:val="16"/>
          <w:szCs w:val="16"/>
          <w:color w:val="auto"/>
        </w:rPr>
      </w:pPr>
    </w:p>
    <w:p>
      <w:pPr>
        <w:ind w:left="1020" w:hanging="250"/>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Conversion Price</w:t>
      </w:r>
      <w:r>
        <w:rPr>
          <w:rFonts w:ascii="Arial" w:cs="Arial" w:eastAsia="Arial" w:hAnsi="Arial"/>
          <w:sz w:val="18"/>
          <w:szCs w:val="18"/>
          <w:color w:val="auto"/>
        </w:rPr>
        <w:t>” means the Conversion Price in effect at any given time.</w:t>
      </w:r>
    </w:p>
    <w:p>
      <w:pPr>
        <w:spacing w:after="0" w:line="184" w:lineRule="exact"/>
        <w:rPr>
          <w:rFonts w:ascii="Arial" w:cs="Arial" w:eastAsia="Arial" w:hAnsi="Arial"/>
          <w:sz w:val="18"/>
          <w:szCs w:val="18"/>
          <w:color w:val="auto"/>
        </w:rPr>
      </w:pPr>
    </w:p>
    <w:p>
      <w:pPr>
        <w:ind w:left="1020" w:hanging="250"/>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means the Restated Articles of Incorporation of the Corporation, as amended.</w:t>
      </w:r>
    </w:p>
    <w:p>
      <w:pPr>
        <w:spacing w:after="0" w:line="198" w:lineRule="exact"/>
        <w:rPr>
          <w:rFonts w:ascii="Arial" w:cs="Arial" w:eastAsia="Arial" w:hAnsi="Arial"/>
          <w:sz w:val="18"/>
          <w:szCs w:val="18"/>
          <w:color w:val="auto"/>
        </w:rPr>
      </w:pPr>
    </w:p>
    <w:p>
      <w:pPr>
        <w:ind w:right="299" w:firstLine="770"/>
        <w:spacing w:after="0" w:line="255" w:lineRule="auto"/>
        <w:tabs>
          <w:tab w:leader="none" w:pos="1033"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As-Converted Dividend</w:t>
      </w:r>
      <w:r>
        <w:rPr>
          <w:rFonts w:ascii="Arial" w:cs="Arial" w:eastAsia="Arial" w:hAnsi="Arial"/>
          <w:sz w:val="18"/>
          <w:szCs w:val="18"/>
          <w:color w:val="auto"/>
        </w:rPr>
        <w:t xml:space="preserve">” means, with respect to any Dividend Period, the product of (i) the pro forma per share semi-annual Common Stock dividend derived by (A) annualizing the last dividend declared during such Dividend Period on the Common Stock and (B) dividing such annualized dividend by two and (ii) the number of shares of Non-Voting Common Stock into which a share of Series G Preferred Stock would then be convertible (assuming receipt of the Stockholder Approval and, if applicable, the Regulatory Approval);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any Dividend Period with respect to which no dividend on the Common Stock has been declared, the As-Converted Dividend shall be $0.00.</w:t>
      </w:r>
    </w:p>
    <w:p>
      <w:pPr>
        <w:spacing w:after="0" w:line="152" w:lineRule="exact"/>
        <w:rPr>
          <w:rFonts w:ascii="Arial" w:cs="Arial" w:eastAsia="Arial" w:hAnsi="Arial"/>
          <w:sz w:val="18"/>
          <w:szCs w:val="18"/>
          <w:color w:val="auto"/>
        </w:rPr>
      </w:pPr>
    </w:p>
    <w:p>
      <w:pPr>
        <w:ind w:left="1020" w:hanging="250"/>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w:t>
      </w:r>
      <w:r>
        <w:rPr>
          <w:rFonts w:ascii="Arial" w:cs="Arial" w:eastAsia="Arial" w:hAnsi="Arial"/>
          <w:sz w:val="18"/>
          <w:szCs w:val="18"/>
          <w:color w:val="auto"/>
        </w:rPr>
        <w:t>” means the Bank Holding Company Act of 1956, as amended.</w:t>
      </w:r>
    </w:p>
    <w:p>
      <w:pPr>
        <w:spacing w:after="0" w:line="184" w:lineRule="exact"/>
        <w:rPr>
          <w:rFonts w:ascii="Arial" w:cs="Arial" w:eastAsia="Arial" w:hAnsi="Arial"/>
          <w:sz w:val="18"/>
          <w:szCs w:val="18"/>
          <w:color w:val="auto"/>
        </w:rPr>
      </w:pPr>
    </w:p>
    <w:p>
      <w:pPr>
        <w:ind w:right="359" w:firstLine="770"/>
        <w:spacing w:after="0" w:line="308" w:lineRule="auto"/>
        <w:tabs>
          <w:tab w:leader="none" w:pos="1003" w:val="left"/>
        </w:tabs>
        <w:numPr>
          <w:ilvl w:val="0"/>
          <w:numId w:val="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BHC Affiliated Person</w:t>
      </w:r>
      <w:r>
        <w:rPr>
          <w:rFonts w:ascii="Arial" w:cs="Arial" w:eastAsia="Arial" w:hAnsi="Arial"/>
          <w:sz w:val="17"/>
          <w:szCs w:val="17"/>
          <w:color w:val="auto"/>
        </w:rPr>
        <w:t>” means, with respect to any Person, its Affiliates which for purposes of this definition include all “affiliates” as defined in the BHC Act or Regulation Y of the Board of Governors of the Federal Reserve.</w:t>
      </w:r>
    </w:p>
    <w:p>
      <w:pPr>
        <w:spacing w:after="0" w:line="119" w:lineRule="exact"/>
        <w:rPr>
          <w:rFonts w:ascii="Arial" w:cs="Arial" w:eastAsia="Arial" w:hAnsi="Arial"/>
          <w:sz w:val="17"/>
          <w:szCs w:val="17"/>
          <w:color w:val="auto"/>
        </w:rPr>
      </w:pPr>
    </w:p>
    <w:p>
      <w:pPr>
        <w:ind w:right="779" w:firstLine="770"/>
        <w:spacing w:after="0" w:line="277" w:lineRule="auto"/>
        <w:tabs>
          <w:tab w:leader="none" w:pos="1033"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Saturday or Sunday and that, in New York City, is not a day on which banking institutions generally are authorized or obligated by law or executive order to be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612775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98" w:name="page99"/>
    <w:bookmarkEnd w:id="98"/>
    <w:p>
      <w:pPr>
        <w:ind w:left="1020" w:hanging="250"/>
        <w:spacing w:after="0"/>
        <w:tabs>
          <w:tab w:leader="none" w:pos="10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Designations</w:t>
      </w:r>
      <w:r>
        <w:rPr>
          <w:rFonts w:ascii="Arial" w:cs="Arial" w:eastAsia="Arial" w:hAnsi="Arial"/>
          <w:sz w:val="16"/>
          <w:szCs w:val="16"/>
          <w:color w:val="auto"/>
        </w:rPr>
        <w:t>” means the Articles of Amendment to the Articles of Incorporation, dated March 29, 2011.</w:t>
      </w:r>
    </w:p>
    <w:p>
      <w:pPr>
        <w:spacing w:after="0" w:line="221" w:lineRule="exact"/>
        <w:rPr>
          <w:rFonts w:ascii="Arial" w:cs="Arial" w:eastAsia="Arial" w:hAnsi="Arial"/>
          <w:sz w:val="16"/>
          <w:szCs w:val="16"/>
          <w:color w:val="auto"/>
        </w:rPr>
      </w:pPr>
    </w:p>
    <w:p>
      <w:pPr>
        <w:ind w:left="980" w:hanging="210"/>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CIBC Act</w:t>
      </w:r>
      <w:r>
        <w:rPr>
          <w:rFonts w:ascii="Arial" w:cs="Arial" w:eastAsia="Arial" w:hAnsi="Arial"/>
          <w:sz w:val="18"/>
          <w:szCs w:val="18"/>
          <w:color w:val="auto"/>
        </w:rPr>
        <w:t>” means the Change in Bank Control Act of 1978, as amended.</w:t>
      </w:r>
    </w:p>
    <w:p>
      <w:pPr>
        <w:spacing w:after="0" w:line="184" w:lineRule="exact"/>
        <w:rPr>
          <w:rFonts w:ascii="Arial" w:cs="Arial" w:eastAsia="Arial" w:hAnsi="Arial"/>
          <w:sz w:val="18"/>
          <w:szCs w:val="18"/>
          <w:color w:val="auto"/>
        </w:rPr>
      </w:pPr>
    </w:p>
    <w:p>
      <w:pPr>
        <w:ind w:right="199" w:firstLine="770"/>
        <w:spacing w:after="0" w:line="286" w:lineRule="auto"/>
        <w:tabs>
          <w:tab w:leader="none" w:pos="993" w:val="left"/>
        </w:tabs>
        <w:numPr>
          <w:ilvl w:val="0"/>
          <w:numId w:val="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Price</w:t>
      </w:r>
      <w:r>
        <w:rPr>
          <w:rFonts w:ascii="Arial" w:cs="Arial" w:eastAsia="Arial" w:hAnsi="Arial"/>
          <w:sz w:val="16"/>
          <w:szCs w:val="16"/>
          <w:color w:val="auto"/>
        </w:rPr>
        <w:t>” of the Common Stock (or other relevant capital stock or equity interest) on any date of determination means the closing sale price or, if no closing sale price is reported, the last reported sale price of the shares of the Common Stock (or other relevant capital stock or equity interest) on The NASDAQ Global Select Market on such date. If the Common Stock (or other relevant capital stock or equity interest) is not traded on The NASDAQ Global Select Market on any date of determination, the Closing Price of the Common Stock (or other relevant capital stock or equity interest) on such date of determination means the closing sale price as reported in the composite transactions for the principal U.S. national or regional securities exchange on which the Common Stock (or other relevant capital stock or equity interest) is so listed or quoted, or, if no closing sale price is reported, the last reported sale price on the principal U.S. national or regional securities exchange on which the Common Stock (or other relevant capital stock or equity interest) is so listed or quoted, or if the Common Stock (or other relevant capital stock or equity interest) is not so listed or quoted on a U.S. national or regional securities exchange, the last quoted bid price for the Common Stock (or other relevant capital stock or equity interest) in the over-the-counter market as reported by Pink OTC Markets Inc. or similar organization, or, if that bid price is not available, the market price of the Common Stock (or other relevant capital stock or equity interest) on that date as determined by a nationally recognized independent investment banking firm retained by the Corporation for this purpose.</w:t>
      </w:r>
    </w:p>
    <w:p>
      <w:pPr>
        <w:spacing w:after="0" w:line="134" w:lineRule="exact"/>
        <w:rPr>
          <w:sz w:val="20"/>
          <w:szCs w:val="20"/>
          <w:color w:val="auto"/>
        </w:rPr>
      </w:pPr>
    </w:p>
    <w:p>
      <w:pPr>
        <w:ind w:right="259"/>
        <w:spacing w:after="0" w:line="293" w:lineRule="auto"/>
        <w:rPr>
          <w:sz w:val="20"/>
          <w:szCs w:val="20"/>
          <w:color w:val="auto"/>
        </w:rPr>
      </w:pPr>
      <w:r>
        <w:rPr>
          <w:rFonts w:ascii="Arial" w:cs="Arial" w:eastAsia="Arial" w:hAnsi="Arial"/>
          <w:sz w:val="16"/>
          <w:szCs w:val="16"/>
          <w:color w:val="auto"/>
        </w:rPr>
        <w:t>For purposes of this Certificate of Designation, all references herein to the “</w:t>
      </w:r>
      <w:r>
        <w:rPr>
          <w:rFonts w:ascii="Arial" w:cs="Arial" w:eastAsia="Arial" w:hAnsi="Arial"/>
          <w:sz w:val="16"/>
          <w:szCs w:val="16"/>
          <w:u w:val="single" w:color="auto"/>
          <w:color w:val="auto"/>
        </w:rPr>
        <w:t>Closing Price</w:t>
      </w:r>
      <w:r>
        <w:rPr>
          <w:rFonts w:ascii="Arial" w:cs="Arial" w:eastAsia="Arial" w:hAnsi="Arial"/>
          <w:sz w:val="16"/>
          <w:szCs w:val="16"/>
          <w:color w:val="auto"/>
        </w:rPr>
        <w:t>” and “</w:t>
      </w:r>
      <w:r>
        <w:rPr>
          <w:rFonts w:ascii="Arial" w:cs="Arial" w:eastAsia="Arial" w:hAnsi="Arial"/>
          <w:sz w:val="16"/>
          <w:szCs w:val="16"/>
          <w:u w:val="single" w:color="auto"/>
          <w:color w:val="auto"/>
        </w:rPr>
        <w:t>last reported sale price</w:t>
      </w:r>
      <w:r>
        <w:rPr>
          <w:rFonts w:ascii="Arial" w:cs="Arial" w:eastAsia="Arial" w:hAnsi="Arial"/>
          <w:sz w:val="16"/>
          <w:szCs w:val="16"/>
          <w:color w:val="auto"/>
        </w:rPr>
        <w:t xml:space="preserve">” of the Common Stock (or other relevant capital stock or equity interest) on The NASDAQ Global Select Market shall be such closing sale price and last reported sale price as reflected on the website of The NASDAQ Global Select Market (http://www.nasdaq.com) and as reported by Bloomberg Professional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there is a discrepancy between the closing sale price or last reported sale price as reflected on the website of The NASDAQ Global Select Market and as reported by Bloomberg Professional Service, the closing sale price and last reported sale price on the website of The NASDAQ Global Select Market shall govern.</w:t>
      </w:r>
    </w:p>
    <w:p>
      <w:pPr>
        <w:spacing w:after="0" w:line="138" w:lineRule="exact"/>
        <w:rPr>
          <w:sz w:val="20"/>
          <w:szCs w:val="20"/>
          <w:color w:val="auto"/>
        </w:rPr>
      </w:pPr>
    </w:p>
    <w:p>
      <w:pPr>
        <w:ind w:left="1020" w:hanging="250"/>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has the meaning set forth in Section 2.</w:t>
      </w:r>
    </w:p>
    <w:p>
      <w:pPr>
        <w:spacing w:after="0" w:line="184" w:lineRule="exact"/>
        <w:rPr>
          <w:rFonts w:ascii="Arial" w:cs="Arial" w:eastAsia="Arial" w:hAnsi="Arial"/>
          <w:sz w:val="18"/>
          <w:szCs w:val="18"/>
          <w:color w:val="auto"/>
        </w:rPr>
      </w:pPr>
    </w:p>
    <w:p>
      <w:pPr>
        <w:ind w:left="980" w:hanging="210"/>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has the meaning set forth in Section 2.</w:t>
      </w:r>
    </w:p>
    <w:p>
      <w:pPr>
        <w:spacing w:after="0" w:line="184" w:lineRule="exact"/>
        <w:rPr>
          <w:rFonts w:ascii="Arial" w:cs="Arial" w:eastAsia="Arial" w:hAnsi="Arial"/>
          <w:sz w:val="18"/>
          <w:szCs w:val="18"/>
          <w:color w:val="auto"/>
        </w:rPr>
      </w:pPr>
    </w:p>
    <w:p>
      <w:pPr>
        <w:ind w:left="1080" w:hanging="310"/>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means $1.90, subject to adjustment as set forth herein.</w:t>
      </w:r>
    </w:p>
    <w:p>
      <w:pPr>
        <w:spacing w:after="0" w:line="198" w:lineRule="exact"/>
        <w:rPr>
          <w:rFonts w:ascii="Arial" w:cs="Arial" w:eastAsia="Arial" w:hAnsi="Arial"/>
          <w:sz w:val="18"/>
          <w:szCs w:val="18"/>
          <w:color w:val="auto"/>
        </w:rPr>
      </w:pPr>
    </w:p>
    <w:p>
      <w:pPr>
        <w:jc w:val="both"/>
        <w:ind w:right="379" w:firstLine="770"/>
        <w:spacing w:after="0" w:line="259" w:lineRule="auto"/>
        <w:tabs>
          <w:tab w:leader="none" w:pos="1033"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Market Price</w:t>
      </w:r>
      <w:r>
        <w:rPr>
          <w:rFonts w:ascii="Arial" w:cs="Arial" w:eastAsia="Arial" w:hAnsi="Arial"/>
          <w:sz w:val="18"/>
          <w:szCs w:val="18"/>
          <w:color w:val="auto"/>
        </w:rPr>
        <w:t>” means, on any date, the average of the daily Closing Price per share of the Common Stock or other securities on each of the five consecutive Trading Days preceding the earlier of the day before the date in question and the day before the Ex-Date with respect to the issuance or distribution giving rise to an adjustment to the Conversion Price pursuant to Section 10.</w:t>
      </w:r>
    </w:p>
    <w:p>
      <w:pPr>
        <w:spacing w:after="0" w:line="146" w:lineRule="exact"/>
        <w:rPr>
          <w:rFonts w:ascii="Arial" w:cs="Arial" w:eastAsia="Arial" w:hAnsi="Arial"/>
          <w:sz w:val="18"/>
          <w:szCs w:val="18"/>
          <w:color w:val="auto"/>
        </w:rPr>
      </w:pPr>
    </w:p>
    <w:p>
      <w:pPr>
        <w:ind w:left="1020" w:hanging="250"/>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Distributed Property</w:t>
      </w:r>
      <w:r>
        <w:rPr>
          <w:rFonts w:ascii="Arial" w:cs="Arial" w:eastAsia="Arial" w:hAnsi="Arial"/>
          <w:sz w:val="18"/>
          <w:szCs w:val="18"/>
          <w:color w:val="auto"/>
        </w:rPr>
        <w:t>” has the meaning set forth in Section 10(a)(iv).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99" w:name="page100"/>
    <w:bookmarkEnd w:id="99"/>
    <w:p>
      <w:pPr>
        <w:ind w:left="1028" w:hanging="250"/>
        <w:spacing w:after="0"/>
        <w:tabs>
          <w:tab w:leader="none" w:pos="1028"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w:t>
      </w:r>
      <w:r>
        <w:rPr>
          <w:rFonts w:ascii="Arial" w:cs="Arial" w:eastAsia="Arial" w:hAnsi="Arial"/>
          <w:sz w:val="18"/>
          <w:szCs w:val="18"/>
          <w:color w:val="auto"/>
        </w:rPr>
        <w:t>” has the meaning set forth in Section 4(b).</w:t>
      </w:r>
    </w:p>
    <w:p>
      <w:pPr>
        <w:spacing w:after="0" w:line="198" w:lineRule="exact"/>
        <w:rPr>
          <w:rFonts w:ascii="Arial" w:cs="Arial" w:eastAsia="Arial" w:hAnsi="Arial"/>
          <w:sz w:val="18"/>
          <w:szCs w:val="18"/>
          <w:color w:val="auto"/>
        </w:rPr>
      </w:pPr>
    </w:p>
    <w:p>
      <w:pPr>
        <w:ind w:left="1028" w:hanging="250"/>
        <w:spacing w:after="0"/>
        <w:tabs>
          <w:tab w:leader="none" w:pos="1028"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has the meaning set forth in Section 4(b).</w:t>
      </w:r>
    </w:p>
    <w:p>
      <w:pPr>
        <w:spacing w:after="0" w:line="184" w:lineRule="exact"/>
        <w:rPr>
          <w:rFonts w:ascii="Arial" w:cs="Arial" w:eastAsia="Arial" w:hAnsi="Arial"/>
          <w:sz w:val="18"/>
          <w:szCs w:val="18"/>
          <w:color w:val="auto"/>
        </w:rPr>
      </w:pPr>
    </w:p>
    <w:p>
      <w:pPr>
        <w:ind w:left="1008" w:hanging="230"/>
        <w:spacing w:after="0"/>
        <w:tabs>
          <w:tab w:leader="none" w:pos="1008" w:val="left"/>
        </w:tabs>
        <w:numPr>
          <w:ilvl w:val="1"/>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has the meaning set forth in Section 4(c).</w:t>
      </w:r>
    </w:p>
    <w:p>
      <w:pPr>
        <w:spacing w:after="0" w:line="184" w:lineRule="exact"/>
        <w:rPr>
          <w:rFonts w:ascii="Arial" w:cs="Arial" w:eastAsia="Arial" w:hAnsi="Arial"/>
          <w:sz w:val="18"/>
          <w:szCs w:val="18"/>
          <w:color w:val="auto"/>
        </w:rPr>
      </w:pPr>
    </w:p>
    <w:p>
      <w:pPr>
        <w:ind w:left="1008" w:hanging="230"/>
        <w:spacing w:after="0"/>
        <w:tabs>
          <w:tab w:leader="none" w:pos="1008" w:val="left"/>
        </w:tabs>
        <w:numPr>
          <w:ilvl w:val="1"/>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Dividend Rate</w:t>
      </w:r>
      <w:r>
        <w:rPr>
          <w:rFonts w:ascii="Arial" w:cs="Arial" w:eastAsia="Arial" w:hAnsi="Arial"/>
          <w:sz w:val="16"/>
          <w:szCs w:val="16"/>
          <w:color w:val="auto"/>
        </w:rPr>
        <w:t>” means, with respect to any Dividend Period, the sum of (a) the greater of (i) LIBOR and (ii) 2.0% plus</w:t>
      </w:r>
    </w:p>
    <w:p>
      <w:pPr>
        <w:spacing w:after="0" w:line="46" w:lineRule="exact"/>
        <w:rPr>
          <w:rFonts w:ascii="Arial" w:cs="Arial" w:eastAsia="Arial" w:hAnsi="Arial"/>
          <w:sz w:val="16"/>
          <w:szCs w:val="16"/>
          <w:color w:val="auto"/>
        </w:rPr>
      </w:pPr>
    </w:p>
    <w:p>
      <w:pPr>
        <w:ind w:left="248" w:hanging="248"/>
        <w:spacing w:after="0"/>
        <w:tabs>
          <w:tab w:leader="none" w:pos="2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15.0%;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if such amount is greater than 18.0%, the Dividend Rate shall be 18.0%.</w:t>
      </w:r>
    </w:p>
    <w:p>
      <w:pPr>
        <w:spacing w:after="0" w:line="183" w:lineRule="exact"/>
        <w:rPr>
          <w:rFonts w:ascii="Arial" w:cs="Arial" w:eastAsia="Arial" w:hAnsi="Arial"/>
          <w:sz w:val="18"/>
          <w:szCs w:val="18"/>
          <w:color w:val="auto"/>
        </w:rPr>
      </w:pPr>
    </w:p>
    <w:p>
      <w:pPr>
        <w:ind w:left="988" w:hanging="210"/>
        <w:spacing w:after="0"/>
        <w:tabs>
          <w:tab w:leader="none" w:pos="988"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shares of the Series G Preferred Stock are first issued.</w:t>
      </w:r>
    </w:p>
    <w:p>
      <w:pPr>
        <w:spacing w:after="0" w:line="184" w:lineRule="exact"/>
        <w:rPr>
          <w:rFonts w:ascii="Arial" w:cs="Arial" w:eastAsia="Arial" w:hAnsi="Arial"/>
          <w:sz w:val="18"/>
          <w:szCs w:val="18"/>
          <w:color w:val="auto"/>
        </w:rPr>
      </w:pPr>
    </w:p>
    <w:p>
      <w:pPr>
        <w:ind w:left="1028" w:hanging="250"/>
        <w:spacing w:after="0"/>
        <w:tabs>
          <w:tab w:leader="none" w:pos="1028"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Property</w:t>
      </w:r>
      <w:r>
        <w:rPr>
          <w:rFonts w:ascii="Arial" w:cs="Arial" w:eastAsia="Arial" w:hAnsi="Arial"/>
          <w:sz w:val="18"/>
          <w:szCs w:val="18"/>
          <w:color w:val="auto"/>
        </w:rPr>
        <w:t>” has the meaning set forth in Section 11(a).</w:t>
      </w:r>
    </w:p>
    <w:p>
      <w:pPr>
        <w:spacing w:after="0" w:line="184" w:lineRule="exact"/>
        <w:rPr>
          <w:rFonts w:ascii="Arial" w:cs="Arial" w:eastAsia="Arial" w:hAnsi="Arial"/>
          <w:sz w:val="18"/>
          <w:szCs w:val="18"/>
          <w:color w:val="auto"/>
        </w:rPr>
      </w:pPr>
    </w:p>
    <w:p>
      <w:pPr>
        <w:ind w:left="8" w:right="279" w:firstLine="770"/>
        <w:spacing w:after="0" w:line="264" w:lineRule="auto"/>
        <w:tabs>
          <w:tab w:leader="none" w:pos="10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Ex-Date</w:t>
      </w:r>
      <w:r>
        <w:rPr>
          <w:rFonts w:ascii="Arial" w:cs="Arial" w:eastAsia="Arial" w:hAnsi="Arial"/>
          <w:sz w:val="18"/>
          <w:szCs w:val="18"/>
          <w:color w:val="auto"/>
        </w:rPr>
        <w:t>”, when used with respect to any issuance or distribution, means the first date on which the Common Stock or other securities trade without the right to receive the issuance or distribution giving rise to an adjustment to the Conversion Price pursuant to Section 10.</w:t>
      </w:r>
    </w:p>
    <w:p>
      <w:pPr>
        <w:spacing w:after="0" w:line="154" w:lineRule="exact"/>
        <w:rPr>
          <w:rFonts w:ascii="Arial" w:cs="Arial" w:eastAsia="Arial" w:hAnsi="Arial"/>
          <w:sz w:val="18"/>
          <w:szCs w:val="18"/>
          <w:color w:val="auto"/>
        </w:rPr>
      </w:pPr>
    </w:p>
    <w:p>
      <w:pPr>
        <w:jc w:val="both"/>
        <w:ind w:left="8" w:right="539" w:firstLine="770"/>
        <w:spacing w:after="0" w:line="264" w:lineRule="auto"/>
        <w:tabs>
          <w:tab w:leader="none" w:pos="10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the Person in whose name the shares of the Series G Preferred Stock are registered, which may be treated by the Corporation as the absolute owner of the shares of Series G Preferred Stock for the purpose of making payment and settling the related conversions and for all other purposes.</w:t>
      </w:r>
    </w:p>
    <w:p>
      <w:pPr>
        <w:spacing w:after="0" w:line="140" w:lineRule="exact"/>
        <w:rPr>
          <w:rFonts w:ascii="Arial" w:cs="Arial" w:eastAsia="Arial" w:hAnsi="Arial"/>
          <w:sz w:val="18"/>
          <w:szCs w:val="18"/>
          <w:color w:val="auto"/>
        </w:rPr>
      </w:pPr>
    </w:p>
    <w:p>
      <w:pPr>
        <w:ind w:left="1028" w:hanging="250"/>
        <w:spacing w:after="0"/>
        <w:tabs>
          <w:tab w:leader="none" w:pos="1028"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Securities</w:t>
      </w:r>
      <w:r>
        <w:rPr>
          <w:rFonts w:ascii="Arial" w:cs="Arial" w:eastAsia="Arial" w:hAnsi="Arial"/>
          <w:sz w:val="18"/>
          <w:szCs w:val="18"/>
          <w:color w:val="auto"/>
        </w:rPr>
        <w:t>” has the meaning set forth in Section 2.</w:t>
      </w:r>
    </w:p>
    <w:p>
      <w:pPr>
        <w:spacing w:after="0" w:line="184" w:lineRule="exact"/>
        <w:rPr>
          <w:rFonts w:ascii="Arial" w:cs="Arial" w:eastAsia="Arial" w:hAnsi="Arial"/>
          <w:sz w:val="18"/>
          <w:szCs w:val="18"/>
          <w:color w:val="auto"/>
        </w:rPr>
      </w:pPr>
    </w:p>
    <w:p>
      <w:pPr>
        <w:ind w:left="8" w:right="239" w:firstLine="770"/>
        <w:spacing w:after="0" w:line="285" w:lineRule="auto"/>
        <w:tabs>
          <w:tab w:leader="none" w:pos="10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w:t>
      </w:r>
      <w:r>
        <w:rPr>
          <w:rFonts w:ascii="Arial" w:cs="Arial" w:eastAsia="Arial" w:hAnsi="Arial"/>
          <w:sz w:val="16"/>
          <w:szCs w:val="16"/>
          <w:color w:val="auto"/>
        </w:rPr>
        <w:t>” means, with respect to any Dividend Period, the rate for deposits in U.S. dollars for a three-month period that appears on Bloomberg Screen US0003M Index &lt;GO&gt; page (or other applicable page) as of 11:00 a.m. (London time) on the second London Banking Day preceding the first day of that Dividend Period. If the rate described above does not appear on such Bloomberg Screen page, LIBOR will be determined on the basis of the rates at which deposits in U.S. dollars for a three-month period and in a principal amount of not less than $1,000,000 are offered to prime banks in the London interbank market by four major banks in the London interbank market selected by the Corporation, at approximately 11:00 a.m., London time on the second London Banking Day preceding the first day of that Dividend Period. The Corporation will request the principal London office of each of such banks to provide a quotation of its rate. If at least two such quotations are provided, LIBOR with respect to that Dividend Period will be the arithmetic mean (rounded upward if necessary to the nearest .00001 of 1%) of such quotations. If fewer than two quotations are provided, LIBOR with respect to that Dividend Period will be the arithmetic mean (rounded upward if necessary to the nearest .00001 of 1%) of the rates quoted by three major banks in New York, New York, selected by the Corporation, at approximately 11:00 a.m., New York City time, on the first day of that Dividend Period for loans in U.S. dollars to leading European banks for a three-month period and in a principal amount of not less than $1,000,000. However, if the banks selected by the Corporation to provide quotations are not quoting as described above, LIBOR for that Dividend Period will be the same as LIBOR as determined for the previous Dividend Period, or in the case of the first Dividend Period, the most recent rate that could have been determined in accordance with the first sentence of this paragraph had the Series G Preferred Stock been outstanding. The establishment of LIBOR will be final and binding in the absence of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624205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00" w:name="page101"/>
    <w:bookmarkEnd w:id="100"/>
    <w:p>
      <w:pPr>
        <w:ind w:left="-770" w:right="879" w:firstLine="770"/>
        <w:spacing w:after="0" w:line="342" w:lineRule="auto"/>
        <w:tabs>
          <w:tab w:leader="none" w:pos="253" w:val="left"/>
        </w:tabs>
        <w:numPr>
          <w:ilvl w:val="0"/>
          <w:numId w:val="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Liquidation Preference</w:t>
      </w:r>
      <w:r>
        <w:rPr>
          <w:rFonts w:ascii="Arial" w:cs="Arial" w:eastAsia="Arial" w:hAnsi="Arial"/>
          <w:sz w:val="16"/>
          <w:szCs w:val="16"/>
          <w:color w:val="auto"/>
        </w:rPr>
        <w:t>” means, as to the Series G Preferred Stock, $1,000 per share (as adjusted for any split, subdivision, combination, consolidation, recapitalization or similar event with respect to the Series G Preferred Stock).</w:t>
      </w:r>
    </w:p>
    <w:p>
      <w:pPr>
        <w:spacing w:after="0" w:line="97" w:lineRule="exact"/>
        <w:rPr>
          <w:sz w:val="20"/>
          <w:szCs w:val="20"/>
          <w:color w:val="auto"/>
        </w:rPr>
      </w:pPr>
    </w:p>
    <w:p>
      <w:pPr>
        <w:ind w:left="-770" w:right="299" w:firstLine="770"/>
        <w:spacing w:after="0" w:line="277" w:lineRule="auto"/>
        <w:tabs>
          <w:tab w:leader="none" w:pos="332"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commercial banks are open for general business (including dealings in deposits in U.S. dollars) in London.</w:t>
      </w:r>
    </w:p>
    <w:p>
      <w:pPr>
        <w:spacing w:after="0" w:line="129" w:lineRule="exact"/>
        <w:rPr>
          <w:rFonts w:ascii="Arial" w:cs="Arial" w:eastAsia="Arial" w:hAnsi="Arial"/>
          <w:sz w:val="18"/>
          <w:szCs w:val="18"/>
          <w:color w:val="auto"/>
        </w:rPr>
      </w:pPr>
    </w:p>
    <w:p>
      <w:pPr>
        <w:ind w:left="-770" w:right="159" w:firstLine="770"/>
        <w:spacing w:after="0" w:line="268" w:lineRule="auto"/>
        <w:tabs>
          <w:tab w:leader="none" w:pos="353" w:val="left"/>
        </w:tabs>
        <w:numPr>
          <w:ilvl w:val="0"/>
          <w:numId w:val="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Mandatory Conversion Date</w:t>
      </w:r>
      <w:r>
        <w:rPr>
          <w:rFonts w:ascii="Arial" w:cs="Arial" w:eastAsia="Arial" w:hAnsi="Arial"/>
          <w:sz w:val="17"/>
          <w:szCs w:val="17"/>
          <w:color w:val="auto"/>
        </w:rPr>
        <w:t xml:space="preserve">” means, with respect to the shares of Series G Preferred Stock of any Holder, the second Business Day after which the Corporation and/or such Holder, as applicable as to a Holder, has received the Stockholder Approvals (or if a Reorganization Event has theretofore been consummated, the date of consummation of such Reorganization Event) and, if applicable, the Regulatory Approval necessary to permit such Holder to convert such shares of Series G Preferred Stock into authorized Non-Voting Common Stock without such conversion resulting in a Violation or, in the case of the Regulatory Approval, a violation of the Hart-Scott-Rodino Antitrust Improvements Act of 1976, as amended, and the rules and regulations thereunder,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 Mandatory Conversion Date would otherwise occur on or after an Ex-Date for an issuance or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that results in an adjustment of the Conversion Price pursuant to Section 10 and on or before the Record Date for such issuance or distribution, such Mandatory Conversion Date shall instead occur on the first calendar day after the Record Date for such issuance or distribution,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a Mandatory Conversion Date would otherwise occur but such Holder has not received all accrued and unpaid dividends, whether or not declared, with respect to any Dividend Period completed prior to such Mandatory Conversion Date, such Mandatory Conversion Date shall instead occur on the first calendar day after such Holder has received all such accrued and unpaid dividends.</w:t>
      </w:r>
    </w:p>
    <w:p>
      <w:pPr>
        <w:spacing w:after="0" w:line="147" w:lineRule="exact"/>
        <w:rPr>
          <w:rFonts w:ascii="Arial" w:cs="Arial" w:eastAsia="Arial" w:hAnsi="Arial"/>
          <w:sz w:val="17"/>
          <w:szCs w:val="17"/>
          <w:color w:val="auto"/>
        </w:rPr>
      </w:pPr>
    </w:p>
    <w:p>
      <w:pPr>
        <w:ind w:left="330" w:hanging="330"/>
        <w:spacing w:after="0"/>
        <w:tabs>
          <w:tab w:leader="none" w:pos="33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Non-Voting Common Stock</w:t>
      </w:r>
      <w:r>
        <w:rPr>
          <w:rFonts w:ascii="Arial" w:cs="Arial" w:eastAsia="Arial" w:hAnsi="Arial"/>
          <w:sz w:val="18"/>
          <w:szCs w:val="18"/>
          <w:color w:val="auto"/>
        </w:rPr>
        <w:t>” has the meaning set forth in Section 2.</w:t>
      </w:r>
    </w:p>
    <w:p>
      <w:pPr>
        <w:spacing w:after="0" w:line="198" w:lineRule="exact"/>
        <w:rPr>
          <w:rFonts w:ascii="Arial" w:cs="Arial" w:eastAsia="Arial" w:hAnsi="Arial"/>
          <w:sz w:val="18"/>
          <w:szCs w:val="18"/>
          <w:color w:val="auto"/>
        </w:rPr>
      </w:pPr>
    </w:p>
    <w:p>
      <w:pPr>
        <w:ind w:left="350" w:hanging="350"/>
        <w:spacing w:after="0"/>
        <w:tabs>
          <w:tab w:leader="none" w:pos="35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Mandatory Conversion”</w:t>
      </w:r>
      <w:r>
        <w:rPr>
          <w:rFonts w:ascii="Arial" w:cs="Arial" w:eastAsia="Arial" w:hAnsi="Arial"/>
          <w:sz w:val="18"/>
          <w:szCs w:val="18"/>
          <w:color w:val="auto"/>
        </w:rPr>
        <w:t xml:space="preserve"> has the meaning set forth in Section 9(a).</w:t>
      </w:r>
    </w:p>
    <w:p>
      <w:pPr>
        <w:spacing w:after="0" w:line="184" w:lineRule="exact"/>
        <w:rPr>
          <w:rFonts w:ascii="Arial" w:cs="Arial" w:eastAsia="Arial" w:hAnsi="Arial"/>
          <w:sz w:val="18"/>
          <w:szCs w:val="18"/>
          <w:color w:val="auto"/>
        </w:rPr>
      </w:pPr>
    </w:p>
    <w:p>
      <w:pPr>
        <w:ind w:left="330" w:hanging="330"/>
        <w:spacing w:after="0"/>
        <w:tabs>
          <w:tab w:leader="none" w:pos="33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Securities</w:t>
      </w:r>
      <w:r>
        <w:rPr>
          <w:rFonts w:ascii="Arial" w:cs="Arial" w:eastAsia="Arial" w:hAnsi="Arial"/>
          <w:sz w:val="18"/>
          <w:szCs w:val="18"/>
          <w:color w:val="auto"/>
        </w:rPr>
        <w:t>” has the meaning set forth in Section 2.</w:t>
      </w:r>
    </w:p>
    <w:p>
      <w:pPr>
        <w:spacing w:after="0" w:line="184" w:lineRule="exact"/>
        <w:rPr>
          <w:rFonts w:ascii="Arial" w:cs="Arial" w:eastAsia="Arial" w:hAnsi="Arial"/>
          <w:sz w:val="18"/>
          <w:szCs w:val="18"/>
          <w:color w:val="auto"/>
        </w:rPr>
      </w:pPr>
    </w:p>
    <w:p>
      <w:pPr>
        <w:ind w:left="-770" w:right="519" w:firstLine="770"/>
        <w:spacing w:after="0" w:line="277" w:lineRule="auto"/>
        <w:tabs>
          <w:tab w:leader="none" w:pos="289"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legal person, including any individual, corporation, estate, partnership, joint venture, association, joint-stock company, limited liability company or trust.</w:t>
      </w:r>
    </w:p>
    <w:p>
      <w:pPr>
        <w:spacing w:after="0" w:line="143" w:lineRule="exact"/>
        <w:rPr>
          <w:rFonts w:ascii="Arial" w:cs="Arial" w:eastAsia="Arial" w:hAnsi="Arial"/>
          <w:sz w:val="18"/>
          <w:szCs w:val="18"/>
          <w:color w:val="auto"/>
        </w:rPr>
      </w:pPr>
    </w:p>
    <w:p>
      <w:pPr>
        <w:ind w:left="350" w:hanging="350"/>
        <w:spacing w:after="0"/>
        <w:tabs>
          <w:tab w:leader="none" w:pos="35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has the meaning set forth in Section 4(d).</w:t>
      </w:r>
    </w:p>
    <w:p>
      <w:pPr>
        <w:spacing w:after="0" w:line="184" w:lineRule="exact"/>
        <w:rPr>
          <w:rFonts w:ascii="Arial" w:cs="Arial" w:eastAsia="Arial" w:hAnsi="Arial"/>
          <w:sz w:val="18"/>
          <w:szCs w:val="18"/>
          <w:color w:val="auto"/>
        </w:rPr>
      </w:pPr>
    </w:p>
    <w:p>
      <w:pPr>
        <w:ind w:left="-770" w:right="199" w:firstLine="770"/>
        <w:spacing w:after="0" w:line="276" w:lineRule="auto"/>
        <w:tabs>
          <w:tab w:leader="none" w:pos="353" w:val="left"/>
        </w:tabs>
        <w:numPr>
          <w:ilvl w:val="0"/>
          <w:numId w:val="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Regulatory Approval</w:t>
      </w:r>
      <w:r>
        <w:rPr>
          <w:rFonts w:ascii="Arial" w:cs="Arial" w:eastAsia="Arial" w:hAnsi="Arial"/>
          <w:sz w:val="17"/>
          <w:szCs w:val="17"/>
          <w:color w:val="auto"/>
        </w:rPr>
        <w:t>” means, as to any Holder, to the extent applicable and required to permit such Holder to convert such Holder’s shares of Series G Preferred Stock into Non-Voting Common Stock and to own such Non-Voting Common Stock without such Holder being in violation of applicable law, rule or regulation, the receipt of approvals and authorizations of, filings and registrations with or notifications to any governmental authority, or expiration or termination of any applicable waiting period under, the Hart-Scott-Rodino Antitrust Improvements Act of 1976, as amended, and the rules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622300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09"/>
          </w:cols>
          <w:pgMar w:left="1350" w:top="935" w:right="1440" w:bottom="1440" w:gutter="0" w:footer="0" w:header="0"/>
        </w:sectPr>
      </w:pPr>
    </w:p>
    <w:bookmarkStart w:id="101" w:name="page102"/>
    <w:bookmarkEnd w:id="101"/>
    <w:p>
      <w:pPr>
        <w:ind w:left="1040" w:hanging="270"/>
        <w:spacing w:after="0"/>
        <w:tabs>
          <w:tab w:leader="none" w:pos="10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Event</w:t>
      </w:r>
      <w:r>
        <w:rPr>
          <w:rFonts w:ascii="Arial" w:cs="Arial" w:eastAsia="Arial" w:hAnsi="Arial"/>
          <w:sz w:val="18"/>
          <w:szCs w:val="18"/>
          <w:color w:val="auto"/>
        </w:rPr>
        <w:t>” has the meaning set forth in Section 11(a).</w:t>
      </w:r>
    </w:p>
    <w:p>
      <w:pPr>
        <w:spacing w:after="0" w:line="198" w:lineRule="exact"/>
        <w:rPr>
          <w:rFonts w:ascii="Arial" w:cs="Arial" w:eastAsia="Arial" w:hAnsi="Arial"/>
          <w:sz w:val="18"/>
          <w:szCs w:val="18"/>
          <w:color w:val="auto"/>
        </w:rPr>
      </w:pPr>
    </w:p>
    <w:p>
      <w:pPr>
        <w:ind w:left="1040" w:hanging="270"/>
        <w:spacing w:after="0"/>
        <w:tabs>
          <w:tab w:leader="none" w:pos="10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Preferred Stock</w:t>
      </w:r>
      <w:r>
        <w:rPr>
          <w:rFonts w:ascii="Arial" w:cs="Arial" w:eastAsia="Arial" w:hAnsi="Arial"/>
          <w:sz w:val="18"/>
          <w:szCs w:val="18"/>
          <w:color w:val="auto"/>
        </w:rPr>
        <w:t>” has the meaning set forth in Section 1.</w:t>
      </w:r>
    </w:p>
    <w:p>
      <w:pPr>
        <w:spacing w:after="0" w:line="184" w:lineRule="exact"/>
        <w:rPr>
          <w:rFonts w:ascii="Arial" w:cs="Arial" w:eastAsia="Arial" w:hAnsi="Arial"/>
          <w:sz w:val="18"/>
          <w:szCs w:val="18"/>
          <w:color w:val="auto"/>
        </w:rPr>
      </w:pPr>
    </w:p>
    <w:p>
      <w:pPr>
        <w:ind w:right="239" w:firstLine="770"/>
        <w:spacing w:after="0" w:line="255" w:lineRule="auto"/>
        <w:tabs>
          <w:tab w:leader="none" w:pos="1123"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Approvals</w:t>
      </w:r>
      <w:r>
        <w:rPr>
          <w:rFonts w:ascii="Arial" w:cs="Arial" w:eastAsia="Arial" w:hAnsi="Arial"/>
          <w:sz w:val="18"/>
          <w:szCs w:val="18"/>
          <w:color w:val="auto"/>
        </w:rPr>
        <w:t>” means all stockholder approvals necessary to (1) approve the conversion of the Non-Voting Common Stock into Common Stock for purposes of Rule 5635 of the Nasdaq Stock Market Rules, and (2) approve the amendment to the Articles of Incorporation to (i) authorize a number of shares of Non-Voting Common Stock sufficient to permit the full conversion of the Series G Preferred Stock into Non-Voting Common Stock and the issuance of certain additional shares of Non-Voting Common Stock and (ii) increase the number of authorized shares of Common Stock to at least such number as shall be sufficient to permit the full conversion of the Non-Voting Common Stock.</w:t>
      </w:r>
    </w:p>
    <w:p>
      <w:pPr>
        <w:spacing w:after="0" w:line="152" w:lineRule="exact"/>
        <w:rPr>
          <w:rFonts w:ascii="Arial" w:cs="Arial" w:eastAsia="Arial" w:hAnsi="Arial"/>
          <w:sz w:val="18"/>
          <w:szCs w:val="18"/>
          <w:color w:val="auto"/>
        </w:rPr>
      </w:pPr>
    </w:p>
    <w:p>
      <w:pPr>
        <w:ind w:left="1040" w:hanging="270"/>
        <w:spacing w:after="0"/>
        <w:tabs>
          <w:tab w:leader="none" w:pos="10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shares of Common Stock:</w:t>
      </w:r>
    </w:p>
    <w:p>
      <w:pPr>
        <w:spacing w:after="0" w:line="198" w:lineRule="exact"/>
        <w:rPr>
          <w:rFonts w:ascii="Arial" w:cs="Arial" w:eastAsia="Arial" w:hAnsi="Arial"/>
          <w:sz w:val="18"/>
          <w:szCs w:val="18"/>
          <w:color w:val="auto"/>
        </w:rPr>
      </w:pPr>
    </w:p>
    <w:p>
      <w:pPr>
        <w:ind w:right="419" w:firstLine="381"/>
        <w:spacing w:after="0" w:line="277" w:lineRule="auto"/>
        <w:tabs>
          <w:tab w:leader="none" w:pos="604" w:val="left"/>
        </w:tabs>
        <w:numPr>
          <w:ilvl w:val="0"/>
          <w:numId w:val="78"/>
        </w:numPr>
        <w:rPr>
          <w:rFonts w:ascii="Arial" w:cs="Arial" w:eastAsia="Arial" w:hAnsi="Arial"/>
          <w:sz w:val="18"/>
          <w:szCs w:val="18"/>
          <w:color w:val="auto"/>
        </w:rPr>
      </w:pPr>
      <w:r>
        <w:rPr>
          <w:rFonts w:ascii="Arial" w:cs="Arial" w:eastAsia="Arial" w:hAnsi="Arial"/>
          <w:sz w:val="18"/>
          <w:szCs w:val="18"/>
          <w:color w:val="auto"/>
        </w:rPr>
        <w:t>are not suspended from trading on any national or regional securities exchange or association or over-the-counter market at the close of business; and</w:t>
      </w:r>
    </w:p>
    <w:p>
      <w:pPr>
        <w:spacing w:after="0" w:line="129" w:lineRule="exact"/>
        <w:rPr>
          <w:rFonts w:ascii="Arial" w:cs="Arial" w:eastAsia="Arial" w:hAnsi="Arial"/>
          <w:sz w:val="18"/>
          <w:szCs w:val="18"/>
          <w:color w:val="auto"/>
        </w:rPr>
      </w:pPr>
    </w:p>
    <w:p>
      <w:pPr>
        <w:ind w:right="299" w:firstLine="381"/>
        <w:spacing w:after="0" w:line="277" w:lineRule="auto"/>
        <w:tabs>
          <w:tab w:leader="none" w:pos="654" w:val="left"/>
        </w:tabs>
        <w:numPr>
          <w:ilvl w:val="0"/>
          <w:numId w:val="78"/>
        </w:numPr>
        <w:rPr>
          <w:rFonts w:ascii="Arial" w:cs="Arial" w:eastAsia="Arial" w:hAnsi="Arial"/>
          <w:sz w:val="18"/>
          <w:szCs w:val="18"/>
          <w:color w:val="auto"/>
        </w:rPr>
      </w:pPr>
      <w:r>
        <w:rPr>
          <w:rFonts w:ascii="Arial" w:cs="Arial" w:eastAsia="Arial" w:hAnsi="Arial"/>
          <w:sz w:val="18"/>
          <w:szCs w:val="18"/>
          <w:color w:val="auto"/>
        </w:rPr>
        <w:t>have traded at least once on the national or regional securities exchange or association or over-the-counter market that is the primary market for the trading of the Common Stock.</w:t>
      </w:r>
    </w:p>
    <w:p>
      <w:pPr>
        <w:spacing w:after="0" w:line="129" w:lineRule="exact"/>
        <w:rPr>
          <w:rFonts w:ascii="Arial" w:cs="Arial" w:eastAsia="Arial" w:hAnsi="Arial"/>
          <w:sz w:val="18"/>
          <w:szCs w:val="18"/>
          <w:color w:val="auto"/>
        </w:rPr>
      </w:pPr>
    </w:p>
    <w:p>
      <w:pPr>
        <w:ind w:left="1220" w:hanging="450"/>
        <w:spacing w:after="0"/>
        <w:tabs>
          <w:tab w:leader="none" w:pos="12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Violation</w:t>
      </w:r>
      <w:r>
        <w:rPr>
          <w:rFonts w:ascii="Arial" w:cs="Arial" w:eastAsia="Arial" w:hAnsi="Arial"/>
          <w:sz w:val="17"/>
          <w:szCs w:val="17"/>
          <w:color w:val="auto"/>
        </w:rPr>
        <w:t>” means a violation of the stockholder approval requirements of Rule 5635 of the Nasdaq Stock Market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Rules.</w:t>
      </w:r>
    </w:p>
    <w:p>
      <w:pPr>
        <w:spacing w:after="0" w:line="183" w:lineRule="exact"/>
        <w:rPr>
          <w:rFonts w:ascii="Arial" w:cs="Arial" w:eastAsia="Arial" w:hAnsi="Arial"/>
          <w:sz w:val="17"/>
          <w:szCs w:val="17"/>
          <w:color w:val="auto"/>
        </w:rPr>
      </w:pPr>
    </w:p>
    <w:p>
      <w:pPr>
        <w:ind w:left="1120" w:hanging="350"/>
        <w:spacing w:after="0"/>
        <w:tabs>
          <w:tab w:leader="none" w:pos="11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Securities</w:t>
      </w:r>
      <w:r>
        <w:rPr>
          <w:rFonts w:ascii="Arial" w:cs="Arial" w:eastAsia="Arial" w:hAnsi="Arial"/>
          <w:sz w:val="17"/>
          <w:szCs w:val="17"/>
          <w:color w:val="auto"/>
        </w:rPr>
        <w:t>” has the meaning set forth in the BHC Act and any rules or regulations promulgated thereunder.</w:t>
      </w:r>
    </w:p>
    <w:p>
      <w:pPr>
        <w:spacing w:after="0" w:line="196" w:lineRule="exact"/>
        <w:rPr>
          <w:sz w:val="20"/>
          <w:szCs w:val="20"/>
          <w:color w:val="auto"/>
        </w:rPr>
      </w:pPr>
    </w:p>
    <w:p>
      <w:pPr>
        <w:jc w:val="both"/>
        <w:ind w:right="179" w:firstLine="778"/>
        <w:spacing w:after="0" w:line="286" w:lineRule="auto"/>
        <w:rPr>
          <w:sz w:val="20"/>
          <w:szCs w:val="20"/>
          <w:color w:val="auto"/>
        </w:rPr>
      </w:pPr>
      <w:r>
        <w:rPr>
          <w:rFonts w:ascii="Arial" w:cs="Arial" w:eastAsia="Arial" w:hAnsi="Arial"/>
          <w:sz w:val="17"/>
          <w:szCs w:val="17"/>
          <w:i w:val="1"/>
          <w:iCs w:val="1"/>
          <w:color w:val="auto"/>
        </w:rPr>
        <w:t xml:space="preserve">Section 4. Dividends. </w:t>
      </w:r>
      <w:r>
        <w:rPr>
          <w:rFonts w:ascii="Arial" w:cs="Arial" w:eastAsia="Arial" w:hAnsi="Arial"/>
          <w:sz w:val="17"/>
          <w:szCs w:val="17"/>
          <w:color w:val="auto"/>
        </w:rPr>
        <w:t>(a) From and after the Effective Date, the Holders shall be entitled to receive, when, as and if declared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Board of Directors or a duly authorized committee of the Board of Directors, out of funds legally available therefor, cumulative dividends of the type and in the amounts determined as set forth in this Section 4, and no more.</w:t>
      </w:r>
    </w:p>
    <w:p>
      <w:pPr>
        <w:spacing w:after="0" w:line="125" w:lineRule="exact"/>
        <w:rPr>
          <w:sz w:val="20"/>
          <w:szCs w:val="20"/>
          <w:color w:val="auto"/>
        </w:rPr>
      </w:pPr>
    </w:p>
    <w:p>
      <w:pPr>
        <w:ind w:right="179" w:firstLine="770"/>
        <w:spacing w:after="0" w:line="270" w:lineRule="auto"/>
        <w:tabs>
          <w:tab w:leader="none" w:pos="1033" w:val="left"/>
        </w:tabs>
        <w:numPr>
          <w:ilvl w:val="0"/>
          <w:numId w:val="79"/>
        </w:numPr>
        <w:rPr>
          <w:rFonts w:ascii="Arial" w:cs="Arial" w:eastAsia="Arial" w:hAnsi="Arial"/>
          <w:sz w:val="17"/>
          <w:szCs w:val="17"/>
          <w:color w:val="auto"/>
        </w:rPr>
      </w:pPr>
      <w:r>
        <w:rPr>
          <w:rFonts w:ascii="Arial" w:cs="Arial" w:eastAsia="Arial" w:hAnsi="Arial"/>
          <w:sz w:val="17"/>
          <w:szCs w:val="17"/>
          <w:color w:val="auto"/>
        </w:rPr>
        <w:t>Commencing on the Effective Date, dividends shall accrue and shall be payable semi-annually in arrears on March 30th and September 30th of each year (each, a “</w:t>
      </w:r>
      <w:r>
        <w:rPr>
          <w:rFonts w:ascii="Arial" w:cs="Arial" w:eastAsia="Arial" w:hAnsi="Arial"/>
          <w:sz w:val="17"/>
          <w:szCs w:val="17"/>
          <w:u w:val="single" w:color="auto"/>
          <w:color w:val="auto"/>
        </w:rPr>
        <w:t>Dividend Payment Date</w:t>
      </w:r>
      <w:r>
        <w:rPr>
          <w:rFonts w:ascii="Arial" w:cs="Arial" w:eastAsia="Arial" w:hAnsi="Arial"/>
          <w:sz w:val="17"/>
          <w:szCs w:val="17"/>
          <w:color w:val="auto"/>
        </w:rPr>
        <w:t>”) or, if any such day is not a Business Day, the next Business Day. Dividends payable pursuant to this Section 4, if, when and as declared by the Board of Directors or a duly authorized committee of the Board of Directors, will be, for each outstanding share of Series G Preferred Stock, payable in cash at an annual rate equal to the Dividend Rate multiplied by the sum of (i) the Liquidation Preference plus (ii) all accrued and unpaid dividends for any prior Dividend Period that are payable on such share of Series G Preferred Stock, payable in cash (such dividend, the “</w:t>
      </w:r>
      <w:r>
        <w:rPr>
          <w:rFonts w:ascii="Arial" w:cs="Arial" w:eastAsia="Arial" w:hAnsi="Arial"/>
          <w:sz w:val="17"/>
          <w:szCs w:val="17"/>
          <w:u w:val="single" w:color="auto"/>
          <w:color w:val="auto"/>
        </w:rPr>
        <w:t>Dividend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the As-Converted Dividend for such Dividend Period is greater than the Dividend, each outstanding share of Series G Preferred Stock shall be entitled to receive, when and as declared by the Board of Directors, the As-Converted Dividend rather than the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628650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02" w:name="page103"/>
    <w:bookmarkEnd w:id="102"/>
    <w:p>
      <w:pPr>
        <w:ind w:left="-770" w:right="159" w:firstLine="770"/>
        <w:spacing w:after="0" w:line="257" w:lineRule="auto"/>
        <w:tabs>
          <w:tab w:leader="none" w:pos="253"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Dividends payable pursuant to Section 4 will be computed on the basis of a 360-day year of twelve 30-day months and, for any Dividend Period greater or less than a full Dividend Period, will be computed on the basis of the actual number of days elapsed in the period divided by 360. The period from the Effective Date to but excluding September 30, 2011 and each period from and including a Dividend Payment Date to but excluding the following Dividend Payment Date is herein referred to as a “</w:t>
      </w:r>
      <w:r>
        <w:rPr>
          <w:rFonts w:ascii="Arial" w:cs="Arial" w:eastAsia="Arial" w:hAnsi="Arial"/>
          <w:sz w:val="18"/>
          <w:szCs w:val="18"/>
          <w:u w:val="single" w:color="auto"/>
          <w:color w:val="auto"/>
        </w:rPr>
        <w:t>Dividend</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770" w:right="359" w:firstLine="770"/>
        <w:spacing w:after="0" w:line="286" w:lineRule="auto"/>
        <w:tabs>
          <w:tab w:leader="none" w:pos="263"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dividend will be payable to Holders of record as they appear in the records of the Corporation on the applicable record date (each, a “</w:t>
      </w:r>
      <w:r>
        <w:rPr>
          <w:rFonts w:ascii="Arial" w:cs="Arial" w:eastAsia="Arial" w:hAnsi="Arial"/>
          <w:sz w:val="17"/>
          <w:szCs w:val="17"/>
          <w:u w:val="single" w:color="auto"/>
          <w:color w:val="auto"/>
        </w:rPr>
        <w:t>Record Date</w:t>
      </w:r>
      <w:r>
        <w:rPr>
          <w:rFonts w:ascii="Arial" w:cs="Arial" w:eastAsia="Arial" w:hAnsi="Arial"/>
          <w:sz w:val="17"/>
          <w:szCs w:val="17"/>
          <w:color w:val="auto"/>
        </w:rPr>
        <w:t>”), which with respect to dividends payable pursuant to this Section 4, shall be on the fifteenth day of the month immediately prior to the month in which the relevant Dividend Payment Date occurs.</w:t>
      </w:r>
    </w:p>
    <w:p>
      <w:pPr>
        <w:spacing w:after="0" w:line="125" w:lineRule="exact"/>
        <w:rPr>
          <w:rFonts w:ascii="Arial" w:cs="Arial" w:eastAsia="Arial" w:hAnsi="Arial"/>
          <w:sz w:val="17"/>
          <w:szCs w:val="17"/>
          <w:color w:val="auto"/>
        </w:rPr>
      </w:pPr>
    </w:p>
    <w:p>
      <w:pPr>
        <w:ind w:left="-770" w:right="179" w:firstLine="770"/>
        <w:spacing w:after="0" w:line="297" w:lineRule="auto"/>
        <w:tabs>
          <w:tab w:leader="none" w:pos="253" w:val="left"/>
        </w:tabs>
        <w:numPr>
          <w:ilvl w:val="0"/>
          <w:numId w:val="80"/>
        </w:numPr>
        <w:rPr>
          <w:rFonts w:ascii="Arial" w:cs="Arial" w:eastAsia="Arial" w:hAnsi="Arial"/>
          <w:sz w:val="16"/>
          <w:szCs w:val="16"/>
          <w:color w:val="auto"/>
        </w:rPr>
      </w:pPr>
      <w:r>
        <w:rPr>
          <w:rFonts w:ascii="Arial" w:cs="Arial" w:eastAsia="Arial" w:hAnsi="Arial"/>
          <w:sz w:val="16"/>
          <w:szCs w:val="16"/>
          <w:color w:val="auto"/>
        </w:rPr>
        <w:t>Dividends on the Series G Preferred Stock are cumulative. Such dividends shall begin to accrue and be cumulative from the Effective Date (in the case of the shares of Series G Preferred Stock issued on the Effective Date), shall compound at the relevant rate on each subsequent Dividend Payment Date (</w:t>
      </w:r>
      <w:r>
        <w:rPr>
          <w:rFonts w:ascii="Arial" w:cs="Arial" w:eastAsia="Arial" w:hAnsi="Arial"/>
          <w:sz w:val="16"/>
          <w:szCs w:val="16"/>
          <w:i w:val="1"/>
          <w:iCs w:val="1"/>
          <w:color w:val="auto"/>
        </w:rPr>
        <w:t>i.e.</w:t>
      </w:r>
      <w:r>
        <w:rPr>
          <w:rFonts w:ascii="Arial" w:cs="Arial" w:eastAsia="Arial" w:hAnsi="Arial"/>
          <w:sz w:val="16"/>
          <w:szCs w:val="16"/>
          <w:color w:val="auto"/>
        </w:rPr>
        <w:t>, no dividends shall accrue on another dividend unless and until the first Dividend Payment Date for such other dividends has passed without such other dividends having been paid on such date) and shall be payable semi-annually in arrears on each Dividend Payment Date, commencing with the first such Dividend Payment Date.</w:t>
      </w:r>
    </w:p>
    <w:p>
      <w:pPr>
        <w:spacing w:after="0" w:line="117" w:lineRule="exact"/>
        <w:rPr>
          <w:rFonts w:ascii="Arial" w:cs="Arial" w:eastAsia="Arial" w:hAnsi="Arial"/>
          <w:sz w:val="16"/>
          <w:szCs w:val="16"/>
          <w:color w:val="auto"/>
        </w:rPr>
      </w:pPr>
    </w:p>
    <w:p>
      <w:pPr>
        <w:ind w:left="-770" w:right="179" w:firstLine="770"/>
        <w:spacing w:after="0" w:line="284" w:lineRule="auto"/>
        <w:tabs>
          <w:tab w:leader="none" w:pos="233" w:val="left"/>
        </w:tabs>
        <w:numPr>
          <w:ilvl w:val="0"/>
          <w:numId w:val="80"/>
        </w:numPr>
        <w:rPr>
          <w:rFonts w:ascii="Arial" w:cs="Arial" w:eastAsia="Arial" w:hAnsi="Arial"/>
          <w:sz w:val="16"/>
          <w:szCs w:val="16"/>
          <w:color w:val="auto"/>
        </w:rPr>
      </w:pPr>
      <w:r>
        <w:rPr>
          <w:rFonts w:ascii="Arial" w:cs="Arial" w:eastAsia="Arial" w:hAnsi="Arial"/>
          <w:sz w:val="16"/>
          <w:szCs w:val="16"/>
          <w:color w:val="auto"/>
        </w:rPr>
        <w:t>So long as any shares of Series G Preferred Stock remain outstanding, if all dividends payable pursuant to Section 4 on all outstanding shares of the Series G Preferred Stock for any Dividend Period have not been declared and paid, or declared and funds set aside therefor, the Corporation shall not, directly or indirectly, (x) declare or pay dividends with respect to, or make any distributions on, or, directly or indirectly, redeem, purchase or acquire any of its Junior Securities or (y) directly or indirectly, redeem, purchase or acquire any of its Parity Securities, other than, in each case, (i) redemptions, purchases or other acquisitions of Junior Securities or Parity Securities in connection with any employment contract, benefit plan or other similar arrangement with or for the benefit of any one or more employees, officers, directors or consultants or in connection with a dividend reinvestment plan, (ii) any declaration of a dividend in connection with any stockholders’ rights plan, or the issuance of rights, stock or other property under any stockholders’ rights plan, or the redemption or repurchase of rights pursuant thereto, (iii) conversions or exchanges of Junior Securities or Parity Securities for Junior Securities or Parity Securities, respectively, and (iv) any purchase of fractional interests in shares of the Corporation’s capital stock pursuant to the conversion or exchange provisions of such capital stock or the securities being converted or exchanged. If dividends payable pursuant to Section 4 for any Dividend Payment Date are not paid in full, or declared and funds set aside therefor on the shares of the Series G Preferred Stock and there are issued and outstanding shares of Parity Securities with the same Dividend Payment Date (or, in the case of Parity Securities having dividend payment dates different from the Dividend Payment Dates, on a dividend payment date falling within a Dividend Period applicable to such Dividend Payment Date), then all dividends declared on shares of the Series G Preferred Stock and such Parity Securities on such date or dates, as the case may be, shall be declared pro rata so that the respective amounts of such dividends shall bear the same ratio to each other as full semi-annual dividends per share payable on the shares of the Series G Preferred Stock pursuant to Section 4 and all such Parity Securities otherwise payable on such Dividend Payment Date (or, in the case of Parity Securities having dividend payment dates different from the Dividend Payment Dates, on a dividend payment date falling within a Dividend Period applicable to such Dividend Payment Date) (subject to such dividends on such Parity Securities having been declared by the Board of Directors out of legally available funds and including, in the case of any such Parity Securities that bear cumulative dividends, all accrued but unpaid dividends) bear to each other. However, the foregoing provisions shall not restrict the ability of any Affiliate of the Corporation to engage in any market making transactions in Junior Securities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763905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09"/>
          </w:cols>
          <w:pgMar w:left="1350" w:top="935" w:right="1440" w:bottom="1440" w:gutter="0" w:footer="0" w:header="0"/>
        </w:sectPr>
      </w:pPr>
    </w:p>
    <w:bookmarkStart w:id="103" w:name="page104"/>
    <w:bookmarkEnd w:id="103"/>
    <w:p>
      <w:pPr>
        <w:ind w:right="559" w:firstLine="770"/>
        <w:spacing w:after="0" w:line="257" w:lineRule="auto"/>
        <w:tabs>
          <w:tab w:leader="none" w:pos="1033"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 Mandatory Conversion Date with respect to any share of Series G Preferred Stock is prior to the Dividend Payment Date applicable to any Dividend Period, the Holder of such share of Series G Preferred Stock will not have the right to receive any dividends on the Series G Preferred Stock with respect to such Dividend Period, provided that this provision shall not affect any rights to receive any accrued but unpaid dividends on the Series G Preferred Stock attributable to any Dividend Period completed prior to the Mandatory Conversion Date.</w:t>
      </w:r>
    </w:p>
    <w:p>
      <w:pPr>
        <w:spacing w:after="0" w:line="161" w:lineRule="exact"/>
        <w:rPr>
          <w:rFonts w:ascii="Arial" w:cs="Arial" w:eastAsia="Arial" w:hAnsi="Arial"/>
          <w:sz w:val="18"/>
          <w:szCs w:val="18"/>
          <w:color w:val="auto"/>
        </w:rPr>
      </w:pPr>
    </w:p>
    <w:p>
      <w:pPr>
        <w:ind w:right="459" w:firstLine="770"/>
        <w:spacing w:after="0" w:line="279" w:lineRule="auto"/>
        <w:tabs>
          <w:tab w:leader="none" w:pos="1029"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Corporation, in satisfaction of its obligation to issue preferred stock under any provision of this Certificate of Designations to any Holder, may, in order to minimize the number of its authorized and unissued shares of preferred stock used for such purpose, issue depositary shares for such preferred stock, with such depositary shares and underlying preferred stock being in such denominations as the Corporation and such Holder shall mutually agree.</w:t>
      </w:r>
    </w:p>
    <w:p>
      <w:pPr>
        <w:spacing w:after="0" w:line="131" w:lineRule="exact"/>
        <w:rPr>
          <w:sz w:val="20"/>
          <w:szCs w:val="20"/>
          <w:color w:val="auto"/>
        </w:rPr>
      </w:pPr>
    </w:p>
    <w:p>
      <w:pPr>
        <w:ind w:right="179" w:firstLine="778"/>
        <w:spacing w:after="0" w:line="270" w:lineRule="auto"/>
        <w:rPr>
          <w:sz w:val="20"/>
          <w:szCs w:val="20"/>
          <w:color w:val="auto"/>
        </w:rPr>
      </w:pPr>
      <w:r>
        <w:rPr>
          <w:rFonts w:ascii="Arial" w:cs="Arial" w:eastAsia="Arial" w:hAnsi="Arial"/>
          <w:sz w:val="17"/>
          <w:szCs w:val="17"/>
          <w:i w:val="1"/>
          <w:iCs w:val="1"/>
          <w:color w:val="auto"/>
        </w:rPr>
        <w:t xml:space="preserve">Section 5. Liquidation. </w:t>
      </w:r>
      <w:r>
        <w:rPr>
          <w:rFonts w:ascii="Arial" w:cs="Arial" w:eastAsia="Arial" w:hAnsi="Arial"/>
          <w:sz w:val="17"/>
          <w:szCs w:val="17"/>
          <w:color w:val="auto"/>
        </w:rPr>
        <w:t>(a) In the event the Corporation voluntarily or involuntarily liquidates, dissolves or winds up, the</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at the time shall be entitled to receive liquidating distributions in an amount equal to the greater of (i) the Liquidation Preference per share of Series G Preferred Stock plus an amount equal to any accrued but unpaid dividends, whether or not declared, thereon to and including the date of such liquidation and (ii) the payment or distribution to which such Holders would have been entitled if the Series G Preferred Stock were converted into Non-Voting Common Stock (assuming receipt of the Stockholder Approvals and, if necessary, Regulatory Approval) immediately before such liquidation, dissolution or winding-up, out of assets legally available for distribution to the Corporation’s stockholders, before any distribution of assets is made to the holders of the Company Common Stock or any other Junior Securities. After payment of the full amount of such liquidation distribution, the Holders shall not be entitled to any further participation in any distribution of assets by the Corporation.</w:t>
      </w:r>
    </w:p>
    <w:p>
      <w:pPr>
        <w:spacing w:after="0" w:line="141" w:lineRule="exact"/>
        <w:rPr>
          <w:sz w:val="20"/>
          <w:szCs w:val="20"/>
          <w:color w:val="auto"/>
        </w:rPr>
      </w:pPr>
    </w:p>
    <w:p>
      <w:pPr>
        <w:ind w:right="179" w:firstLine="770"/>
        <w:spacing w:after="0" w:line="276" w:lineRule="auto"/>
        <w:tabs>
          <w:tab w:leader="none" w:pos="1033"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the event the assets of the Corporation available for distribution to stockholders upon any liquidation, dissolution or winding-up of the affairs of the Corporation, whether voluntary or involuntary, shall be insufficient to pay in full the amounts payable with respect to all outstanding shares of the Series G Preferred Stock and the corresponding amounts payable on any Parity Securities, Holders and the holders of such Parity Securities shall share ratably in any distribution of assets of the Corporation in proportion to the full respective liquidating distributions to which they would otherwise be respectively entitled.</w:t>
      </w:r>
    </w:p>
    <w:p>
      <w:pPr>
        <w:spacing w:after="0" w:line="145" w:lineRule="exact"/>
        <w:rPr>
          <w:rFonts w:ascii="Arial" w:cs="Arial" w:eastAsia="Arial" w:hAnsi="Arial"/>
          <w:sz w:val="17"/>
          <w:szCs w:val="17"/>
          <w:color w:val="auto"/>
        </w:rPr>
      </w:pPr>
    </w:p>
    <w:p>
      <w:pPr>
        <w:ind w:right="299" w:firstLine="770"/>
        <w:spacing w:after="0" w:line="264" w:lineRule="auto"/>
        <w:tabs>
          <w:tab w:leader="none" w:pos="1019"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Corporation’s consolidation or merger with or into any other entity, the consolidation or merger of any other entity with or into the Corporation, or the sale of all or substantially all of the Corporation’s property or business will not constitute its liquidation, dissolution or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619760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04" w:name="page105"/>
    <w:bookmarkEnd w:id="104"/>
    <w:p>
      <w:pPr>
        <w:ind w:left="8" w:right="259" w:firstLine="778"/>
        <w:spacing w:after="0" w:line="277" w:lineRule="auto"/>
        <w:rPr>
          <w:sz w:val="20"/>
          <w:szCs w:val="20"/>
          <w:color w:val="auto"/>
        </w:rPr>
      </w:pPr>
      <w:r>
        <w:rPr>
          <w:rFonts w:ascii="Arial" w:cs="Arial" w:eastAsia="Arial" w:hAnsi="Arial"/>
          <w:sz w:val="18"/>
          <w:szCs w:val="18"/>
          <w:i w:val="1"/>
          <w:iCs w:val="1"/>
          <w:color w:val="auto"/>
        </w:rPr>
        <w:t>Section 6. Maturity</w:t>
      </w:r>
      <w:r>
        <w:rPr>
          <w:rFonts w:ascii="Arial" w:cs="Arial" w:eastAsia="Arial" w:hAnsi="Arial"/>
          <w:sz w:val="18"/>
          <w:szCs w:val="18"/>
          <w:color w:val="auto"/>
        </w:rPr>
        <w:t>. The Series G Preferred Stock shall be perpetual unless converted in accordance with this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Designations.</w:t>
      </w:r>
    </w:p>
    <w:p>
      <w:pPr>
        <w:spacing w:after="0" w:line="143" w:lineRule="exact"/>
        <w:rPr>
          <w:sz w:val="20"/>
          <w:szCs w:val="20"/>
          <w:color w:val="auto"/>
        </w:rPr>
      </w:pPr>
    </w:p>
    <w:p>
      <w:pPr>
        <w:ind w:left="788"/>
        <w:spacing w:after="0"/>
        <w:rPr>
          <w:sz w:val="20"/>
          <w:szCs w:val="20"/>
          <w:color w:val="auto"/>
        </w:rPr>
      </w:pPr>
      <w:r>
        <w:rPr>
          <w:rFonts w:ascii="Arial" w:cs="Arial" w:eastAsia="Arial" w:hAnsi="Arial"/>
          <w:sz w:val="18"/>
          <w:szCs w:val="18"/>
          <w:i w:val="1"/>
          <w:iCs w:val="1"/>
          <w:color w:val="auto"/>
        </w:rPr>
        <w:t>Section 7. Redemptions</w:t>
      </w:r>
      <w:r>
        <w:rPr>
          <w:rFonts w:ascii="Arial" w:cs="Arial" w:eastAsia="Arial" w:hAnsi="Arial"/>
          <w:sz w:val="18"/>
          <w:szCs w:val="18"/>
          <w:color w:val="auto"/>
        </w:rPr>
        <w:t>.</w:t>
      </w:r>
    </w:p>
    <w:p>
      <w:pPr>
        <w:spacing w:after="0" w:line="185" w:lineRule="exact"/>
        <w:rPr>
          <w:sz w:val="20"/>
          <w:szCs w:val="20"/>
          <w:color w:val="auto"/>
        </w:rPr>
      </w:pPr>
    </w:p>
    <w:p>
      <w:pPr>
        <w:ind w:left="8" w:right="179" w:firstLine="770"/>
        <w:spacing w:after="0" w:line="287" w:lineRule="auto"/>
        <w:tabs>
          <w:tab w:leader="none" w:pos="1030" w:val="left"/>
        </w:tabs>
        <w:numPr>
          <w:ilvl w:val="1"/>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Optional Redemption</w:t>
      </w:r>
      <w:r>
        <w:rPr>
          <w:rFonts w:ascii="Arial" w:cs="Arial" w:eastAsia="Arial" w:hAnsi="Arial"/>
          <w:sz w:val="16"/>
          <w:szCs w:val="16"/>
          <w:color w:val="auto"/>
        </w:rPr>
        <w:t>. The Series G Preferred Stock may not be redeemed by the Corporation prior to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2015. After December 31, 2015, the Corporation, at its option, may redeem in whole at any time the shares of Series G Preferred Stock at the time outstanding, upon notice given as provided in Section 7(c) below, at a redemption price per share payable in cash equal to the greater of (i) 150.0% of the sum of (A) the Liquidation Preference, plus (B) all accrued and unpaid dividends, whether or not declared, up to, but excluding, the date fixed for redemption and (ii) 125.0% of (A) the number of shares of Non-Voting Common Stock into which a share of Series G Preferred Stock would be convertible on the Trading Day immediately prior to the date fixed for redemption (assuming receipt of Stockholder Approvals and, if applicable, the Regulatory Approval) multiplied by (B) the Closing Price of Common Stock on such Trading Day. The redemption price for any shares of Series G Preferred Stock shall be payable on the redemption date to the Holder of such shares against surrender of the certificate(s) evidencing such shares to the Corporation or its agent. Any declared but unpaid dividends payable on a redemption date that occurs subsequent to a Record Date for a Dividend Period shall not be paid to the Holder entitled to receive the redemption price on the redemption date, but rather shall be paid to the holder of record of the redeemed shares on such Record Date.</w:t>
      </w:r>
    </w:p>
    <w:p>
      <w:pPr>
        <w:spacing w:after="0" w:line="128" w:lineRule="exact"/>
        <w:rPr>
          <w:rFonts w:ascii="Arial" w:cs="Arial" w:eastAsia="Arial" w:hAnsi="Arial"/>
          <w:sz w:val="16"/>
          <w:szCs w:val="16"/>
          <w:color w:val="auto"/>
        </w:rPr>
      </w:pPr>
    </w:p>
    <w:p>
      <w:pPr>
        <w:ind w:left="8" w:right="219" w:firstLine="770"/>
        <w:spacing w:after="0" w:line="264" w:lineRule="auto"/>
        <w:tabs>
          <w:tab w:leader="none" w:pos="1040" w:val="left"/>
        </w:tabs>
        <w:numPr>
          <w:ilvl w:val="1"/>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No Sinking Fund</w:t>
      </w:r>
      <w:r>
        <w:rPr>
          <w:rFonts w:ascii="Arial" w:cs="Arial" w:eastAsia="Arial" w:hAnsi="Arial"/>
          <w:sz w:val="18"/>
          <w:szCs w:val="18"/>
          <w:color w:val="auto"/>
        </w:rPr>
        <w:t>. The Series G Preferred Stock will not be subject to any mandatory redemption, sinking fund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similar provisions. Holders of Series G Preferred Stock will have no right to require redemption of any shares of Series G Preferred Stock.</w:t>
      </w:r>
    </w:p>
    <w:p>
      <w:pPr>
        <w:spacing w:after="0" w:line="154" w:lineRule="exact"/>
        <w:rPr>
          <w:rFonts w:ascii="Arial" w:cs="Arial" w:eastAsia="Arial" w:hAnsi="Arial"/>
          <w:sz w:val="18"/>
          <w:szCs w:val="18"/>
          <w:color w:val="auto"/>
        </w:rPr>
      </w:pPr>
    </w:p>
    <w:p>
      <w:pPr>
        <w:ind w:left="8" w:right="159" w:firstLine="770"/>
        <w:spacing w:after="0" w:line="283" w:lineRule="auto"/>
        <w:tabs>
          <w:tab w:leader="none" w:pos="1030" w:val="left"/>
        </w:tabs>
        <w:numPr>
          <w:ilvl w:val="1"/>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Notice of Redemption</w:t>
      </w:r>
      <w:r>
        <w:rPr>
          <w:rFonts w:ascii="Arial" w:cs="Arial" w:eastAsia="Arial" w:hAnsi="Arial"/>
          <w:sz w:val="16"/>
          <w:szCs w:val="16"/>
          <w:color w:val="auto"/>
        </w:rPr>
        <w:t>. Notice of every redemption of shares of Series G Preferred Stock shall be given by first class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mail, postage prepaid, addressed to the Holders of the shares to be redeemed at their respective last addresses appearing on the books of the Corporation. Such mailing shall be at least 30 days and not more than 60 days before the date fixed for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failure to give such notice by mail, or any defect in such notice or in the mailing thereof, to any Holder of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Series G Preferred Stock designated for redemption shall not affect the validity of the proceedings for the redemption of any other shares of Series G Preferred Stock to be so redeemed except as to the Holder to whom the Corporation has failed to give such notice or except as to the Holder to whom notice was defective. Notwithstanding the foregoing, if the Series G Preferred Stock or any depositary shares representing interests in the Series G Preferred Stock are issued in book-entry form through The Depository Trust Company or any other similar facility, notice of redemption may be given to the Holders of Series G Preferred Stock at such time and in any manner permitted by such facility. Each such notice given to a Holder shall state: (1) the redemption date; (2) the number of shares of Series G Preferred Stock to be redeemed; (3) the redemption price (or manner of determination of the redemption price); and</w:t>
      </w:r>
    </w:p>
    <w:p>
      <w:pPr>
        <w:spacing w:after="0" w:line="4" w:lineRule="exact"/>
        <w:rPr>
          <w:rFonts w:ascii="Arial" w:cs="Arial" w:eastAsia="Arial" w:hAnsi="Arial"/>
          <w:sz w:val="16"/>
          <w:szCs w:val="16"/>
          <w:color w:val="auto"/>
        </w:rPr>
      </w:pPr>
    </w:p>
    <w:p>
      <w:pPr>
        <w:ind w:left="248" w:hanging="248"/>
        <w:spacing w:after="0"/>
        <w:tabs>
          <w:tab w:leader="none" w:pos="2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place or places where certificates for such shares are to be surrendered for payment of the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638175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05" w:name="page106"/>
    <w:bookmarkEnd w:id="105"/>
    <w:p>
      <w:pPr>
        <w:ind w:right="199" w:firstLine="770"/>
        <w:spacing w:after="0" w:line="286" w:lineRule="auto"/>
        <w:tabs>
          <w:tab w:leader="none" w:pos="1032"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Effectiveness of Redemption</w:t>
      </w:r>
      <w:r>
        <w:rPr>
          <w:rFonts w:ascii="Arial" w:cs="Arial" w:eastAsia="Arial" w:hAnsi="Arial"/>
          <w:sz w:val="16"/>
          <w:szCs w:val="16"/>
          <w:color w:val="auto"/>
        </w:rPr>
        <w:t>. If notice of redemption has been duly given as provided in Section 7(c) and if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before the redemption date specified in the notice all funds necessary for the redemption have been set aside by the Corporation, separate and apart from its other funds, in trust for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benefit of the Holders of the shares called for redemption, so as to be and continue to be available therefor, then, notwithstanding that any certificate for any share so called for redemption has not been surrendered for cancellation, on and after the redemption date unless the Corporation defaults in the payment of the redemption price, in which case such rights shall continue until the redemption price is paid,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without interest. Any funds unclaimed at the end of two years from the redemption date shall, to the extent permitted by law, be released to the Corporation, after which time the Holders of the shares so called for redemption shall look only to the Corporation for payment of the redemption price of such shares. Shares of outstanding Series G Preferred Stock that are redeemed, purchased or otherwise acquired by the Corporation, or converted into another series of Preferred Stock, shall be cancelled and shall revert to authorized but unissued shares of Preferred Stock undesignated as to series.</w:t>
      </w:r>
    </w:p>
    <w:p>
      <w:pPr>
        <w:spacing w:after="0" w:line="148" w:lineRule="exact"/>
        <w:rPr>
          <w:sz w:val="20"/>
          <w:szCs w:val="20"/>
          <w:color w:val="auto"/>
        </w:rPr>
      </w:pPr>
    </w:p>
    <w:p>
      <w:pPr>
        <w:ind w:right="279" w:firstLine="778"/>
        <w:spacing w:after="0" w:line="270" w:lineRule="auto"/>
        <w:rPr>
          <w:sz w:val="20"/>
          <w:szCs w:val="20"/>
          <w:color w:val="auto"/>
        </w:rPr>
      </w:pPr>
      <w:r>
        <w:rPr>
          <w:rFonts w:ascii="Arial" w:cs="Arial" w:eastAsia="Arial" w:hAnsi="Arial"/>
          <w:sz w:val="17"/>
          <w:szCs w:val="17"/>
          <w:i w:val="1"/>
          <w:iCs w:val="1"/>
          <w:color w:val="auto"/>
        </w:rPr>
        <w:t>Section 8. Mandatory Conversion</w:t>
      </w:r>
      <w:r>
        <w:rPr>
          <w:rFonts w:ascii="Arial" w:cs="Arial" w:eastAsia="Arial" w:hAnsi="Arial"/>
          <w:sz w:val="17"/>
          <w:szCs w:val="17"/>
          <w:color w:val="auto"/>
        </w:rPr>
        <w:t>. Effective as of the close of business on the Mandatory Conversion Date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shares of Series G Preferred Stock of a Holder, all such Holder’s shares of Series G Preferred Stock shall automatically convert into shares of Non-Voting Common Stock as set forth below. The number of shares of Non-Voting Common Stock into which a share of Series G Preferred Stock shall be convertible shall be determined by dividing (i) the Liquidation Preference by (ii) the Applicable Conversion Price (subject to the conversion procedures of Section 9 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the Series G Preferred Stock shall not convert into Non-Voting Common Stock unless and until all accrued and unpaid dividends, whether or not declared, with respect to any Dividend Period completed prior to the Mandatory Conversion Date (but not with respect to the Dividend Period in which the Mandatory Conversion Date occurs) have been paid in cash to the Holders. Upon conversion, Holders shall receive cash in lieu of fractional shares in accordance with Section 13 hereof.</w:t>
      </w:r>
    </w:p>
    <w:p>
      <w:pPr>
        <w:spacing w:after="0" w:line="141"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Section 9. Conversion Procedures</w:t>
      </w:r>
      <w:r>
        <w:rPr>
          <w:rFonts w:ascii="Arial" w:cs="Arial" w:eastAsia="Arial" w:hAnsi="Arial"/>
          <w:sz w:val="18"/>
          <w:szCs w:val="18"/>
          <w:color w:val="auto"/>
        </w:rPr>
        <w:t>.</w:t>
      </w:r>
    </w:p>
    <w:p>
      <w:pPr>
        <w:spacing w:after="0" w:line="185" w:lineRule="exact"/>
        <w:rPr>
          <w:sz w:val="20"/>
          <w:szCs w:val="20"/>
          <w:color w:val="auto"/>
        </w:rPr>
      </w:pPr>
    </w:p>
    <w:p>
      <w:pPr>
        <w:ind w:right="179" w:firstLine="770"/>
        <w:spacing w:after="0" w:line="257" w:lineRule="auto"/>
        <w:tabs>
          <w:tab w:leader="none" w:pos="1023"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Holder shall, promptly upon receipt of each Regulatory Approval applicable to such Holder, if any, provide written notice to the Corporation of such receipt. At least one Business Day prior to the Mandatory Conversion Date with respect to shares of any Holder, the Corporation shall provide notice of such conversion to such Holder (such notice a “</w:t>
      </w:r>
      <w:r>
        <w:rPr>
          <w:rFonts w:ascii="Arial" w:cs="Arial" w:eastAsia="Arial" w:hAnsi="Arial"/>
          <w:sz w:val="18"/>
          <w:szCs w:val="18"/>
          <w:u w:val="single" w:color="auto"/>
          <w:color w:val="auto"/>
        </w:rPr>
        <w:t>Notice of Mandatory</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Conversion</w:t>
      </w:r>
      <w:r>
        <w:rPr>
          <w:rFonts w:ascii="Arial" w:cs="Arial" w:eastAsia="Arial" w:hAnsi="Arial"/>
          <w:sz w:val="18"/>
          <w:szCs w:val="18"/>
          <w:color w:val="auto"/>
        </w:rPr>
        <w:t>”). In addition to any information required by applicable law or regulation, the Notice of Mandatory Conversion with respect to such Holder shall state, as appropriate:</w:t>
      </w:r>
    </w:p>
    <w:p>
      <w:pPr>
        <w:spacing w:after="0" w:line="161" w:lineRule="exact"/>
        <w:rPr>
          <w:sz w:val="20"/>
          <w:szCs w:val="20"/>
          <w:color w:val="auto"/>
        </w:rPr>
      </w:pPr>
    </w:p>
    <w:p>
      <w:pPr>
        <w:ind w:left="980" w:hanging="210"/>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Mandatory Conversion Date;</w:t>
      </w:r>
    </w:p>
    <w:p>
      <w:pPr>
        <w:spacing w:after="0" w:line="184" w:lineRule="exact"/>
        <w:rPr>
          <w:rFonts w:ascii="Arial" w:cs="Arial" w:eastAsia="Arial" w:hAnsi="Arial"/>
          <w:sz w:val="18"/>
          <w:szCs w:val="18"/>
          <w:color w:val="auto"/>
        </w:rPr>
      </w:pPr>
    </w:p>
    <w:p>
      <w:pPr>
        <w:ind w:left="1040" w:hanging="270"/>
        <w:spacing w:after="0"/>
        <w:tabs>
          <w:tab w:leader="none" w:pos="10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Applicable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06" w:name="page107"/>
    <w:bookmarkEnd w:id="106"/>
    <w:p>
      <w:pPr>
        <w:ind w:left="-770" w:right="339" w:firstLine="770"/>
        <w:spacing w:after="0" w:line="277" w:lineRule="auto"/>
        <w:tabs>
          <w:tab w:leader="none" w:pos="323"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number of shares of Non-Voting Common Stock to be issued upon conversion of each share of Series G Preferred Stock held of record by such Holder and subject to such mandatory conversion;</w:t>
      </w:r>
    </w:p>
    <w:p>
      <w:pPr>
        <w:spacing w:after="0" w:line="143" w:lineRule="exact"/>
        <w:rPr>
          <w:rFonts w:ascii="Arial" w:cs="Arial" w:eastAsia="Arial" w:hAnsi="Arial"/>
          <w:sz w:val="18"/>
          <w:szCs w:val="18"/>
          <w:color w:val="auto"/>
        </w:rPr>
      </w:pPr>
    </w:p>
    <w:p>
      <w:pPr>
        <w:ind w:left="-770" w:right="639" w:firstLine="770"/>
        <w:spacing w:after="0" w:line="342" w:lineRule="auto"/>
        <w:tabs>
          <w:tab w:leader="none" w:pos="313" w:val="left"/>
        </w:tabs>
        <w:numPr>
          <w:ilvl w:val="0"/>
          <w:numId w:val="88"/>
        </w:numPr>
        <w:rPr>
          <w:rFonts w:ascii="Arial" w:cs="Arial" w:eastAsia="Arial" w:hAnsi="Arial"/>
          <w:sz w:val="16"/>
          <w:szCs w:val="16"/>
          <w:color w:val="auto"/>
        </w:rPr>
      </w:pPr>
      <w:r>
        <w:rPr>
          <w:rFonts w:ascii="Arial" w:cs="Arial" w:eastAsia="Arial" w:hAnsi="Arial"/>
          <w:sz w:val="16"/>
          <w:szCs w:val="16"/>
          <w:color w:val="auto"/>
        </w:rPr>
        <w:t>if certificates are to be issued, the place or places where certificates for shares of Series G Preferred Stock held of record by such Holder are to be surrendered for issuance of certificates representing shares of Non-Voting Common Stock; and</w:t>
      </w:r>
    </w:p>
    <w:p>
      <w:pPr>
        <w:spacing w:after="0" w:line="83" w:lineRule="exact"/>
        <w:rPr>
          <w:rFonts w:ascii="Arial" w:cs="Arial" w:eastAsia="Arial" w:hAnsi="Arial"/>
          <w:sz w:val="16"/>
          <w:szCs w:val="16"/>
          <w:color w:val="auto"/>
        </w:rPr>
      </w:pPr>
    </w:p>
    <w:p>
      <w:pPr>
        <w:ind w:left="-770" w:right="259" w:firstLine="770"/>
        <w:spacing w:after="0" w:line="277" w:lineRule="auto"/>
        <w:tabs>
          <w:tab w:leader="none" w:pos="263"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amount of accrued and unpaid dividends to be paid in cash on each share of Series G Preferred Stock held of record by such Holder prior to such mandatory conversion.</w:t>
      </w:r>
    </w:p>
    <w:p>
      <w:pPr>
        <w:spacing w:after="0" w:line="130" w:lineRule="exact"/>
        <w:rPr>
          <w:sz w:val="20"/>
          <w:szCs w:val="20"/>
          <w:color w:val="auto"/>
        </w:rPr>
      </w:pPr>
    </w:p>
    <w:p>
      <w:pPr>
        <w:ind w:left="-770" w:right="379" w:firstLine="770"/>
        <w:spacing w:after="0" w:line="273" w:lineRule="auto"/>
        <w:tabs>
          <w:tab w:leader="none" w:pos="263" w:val="left"/>
        </w:tabs>
        <w:numPr>
          <w:ilvl w:val="0"/>
          <w:numId w:val="89"/>
        </w:numPr>
        <w:rPr>
          <w:rFonts w:ascii="Arial" w:cs="Arial" w:eastAsia="Arial" w:hAnsi="Arial"/>
          <w:sz w:val="17"/>
          <w:szCs w:val="17"/>
          <w:color w:val="auto"/>
        </w:rPr>
      </w:pPr>
      <w:r>
        <w:rPr>
          <w:rFonts w:ascii="Arial" w:cs="Arial" w:eastAsia="Arial" w:hAnsi="Arial"/>
          <w:sz w:val="17"/>
          <w:szCs w:val="17"/>
          <w:color w:val="auto"/>
        </w:rPr>
        <w:t>Effective immediately prior to the close of business on the Mandatory Conversion Date with respect to any shares of Series G Preferred Stock dividends shall no longer be declared on any such shares of Series G Preferred Stock and such shares of Series G Preferred Stock shall cease to be outstanding, in each case, subject to the right of the Holder to receive (i) shares of Non-Voting Common Stock issuable upon such mandatory conversion, (ii) any declared and unpaid dividends on such share to the extent provided in Section 4(g) and (iii) any other payments to which such Holder is otherwise entitled pursuant to Section 5, Section 7, Section 8, Section 11 or Section 13 hereof, as applicable.</w:t>
      </w:r>
    </w:p>
    <w:p>
      <w:pPr>
        <w:spacing w:after="0" w:line="151" w:lineRule="exact"/>
        <w:rPr>
          <w:rFonts w:ascii="Arial" w:cs="Arial" w:eastAsia="Arial" w:hAnsi="Arial"/>
          <w:sz w:val="17"/>
          <w:szCs w:val="17"/>
          <w:color w:val="auto"/>
        </w:rPr>
      </w:pPr>
    </w:p>
    <w:p>
      <w:pPr>
        <w:ind w:left="-770" w:right="219" w:firstLine="770"/>
        <w:spacing w:after="0" w:line="270" w:lineRule="auto"/>
        <w:tabs>
          <w:tab w:leader="none" w:pos="253" w:val="left"/>
        </w:tabs>
        <w:numPr>
          <w:ilvl w:val="0"/>
          <w:numId w:val="89"/>
        </w:numPr>
        <w:rPr>
          <w:rFonts w:ascii="Arial" w:cs="Arial" w:eastAsia="Arial" w:hAnsi="Arial"/>
          <w:sz w:val="17"/>
          <w:szCs w:val="17"/>
          <w:color w:val="auto"/>
        </w:rPr>
      </w:pPr>
      <w:r>
        <w:rPr>
          <w:rFonts w:ascii="Arial" w:cs="Arial" w:eastAsia="Arial" w:hAnsi="Arial"/>
          <w:sz w:val="17"/>
          <w:szCs w:val="17"/>
          <w:color w:val="auto"/>
        </w:rPr>
        <w:t>No allowance or adjustment, except pursuant to Section 4 or Section 10, shall be made in respect of dividends payable to holders of the Non-Voting Common Stock of record as of any date prior to the close of business on the Mandatory Conversion Date with respect to any share of Series G Preferred Stock. Prior to the close of business on the Mandatory Conversion Date with respect to any share of Series G Preferred Stock, shares of Non-Voting Common Stock issuable upon conversion thereof, or other securities issuable upon conversion of, such share of Series G Preferred Stock shall not be deemed outstanding for any purpose, and the Holder thereof shall have no rights with respect to the Non-Voting Common Stock or other securities issuable upon conversion (including voting rights, rights to respond to tender offers for the Non-Voting Common Stock or other securities issuable upon conversion and rights to receive any dividends or other distributions on the Non-Voting Common Stock or other securities issuable upon conversion) by virtue of holding such share of Series G Preferred Stock.</w:t>
      </w:r>
    </w:p>
    <w:p>
      <w:pPr>
        <w:spacing w:after="0" w:line="141" w:lineRule="exact"/>
        <w:rPr>
          <w:rFonts w:ascii="Arial" w:cs="Arial" w:eastAsia="Arial" w:hAnsi="Arial"/>
          <w:sz w:val="17"/>
          <w:szCs w:val="17"/>
          <w:color w:val="auto"/>
        </w:rPr>
      </w:pPr>
    </w:p>
    <w:p>
      <w:pPr>
        <w:ind w:left="-770" w:right="319" w:firstLine="770"/>
        <w:spacing w:after="0" w:line="273" w:lineRule="auto"/>
        <w:tabs>
          <w:tab w:leader="none" w:pos="263"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Shares of Series G Preferred Stock duly converted in accordance with this Certificate of Designations, or otherwise reacquired by the Corporation, will resume the status of authorized and unissued preferred stock, undesignated as to series and available for future issuance. The Corporation may from time-to-time take such appropriate action as may be necessary to reduce the authorized number of shares of Series G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Corporation shall not take any such action if such action would reduce the authorized number of shares of Series G Preferred Stock below the number of shares of Series G Preferred Stock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626110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09"/>
          </w:cols>
          <w:pgMar w:left="1350" w:top="936" w:right="1440" w:bottom="1440" w:gutter="0" w:footer="0" w:header="0"/>
        </w:sectPr>
      </w:pPr>
    </w:p>
    <w:bookmarkStart w:id="107" w:name="page108"/>
    <w:bookmarkEnd w:id="107"/>
    <w:p>
      <w:pPr>
        <w:ind w:right="179" w:firstLine="770"/>
        <w:spacing w:after="0" w:line="254" w:lineRule="auto"/>
        <w:tabs>
          <w:tab w:leader="none" w:pos="101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Person or Persons entitled to receive the Non-Voting Common Stock and/or cash, securities or other property issuable upon conversion of Series G Preferred Stock shall be treated for all purposes as the record holder(s) of such shares of Non-Voting Common Stock and/or securities as of the close of business on the Mandatory Conversion Date with respect thereto. In the event that a Holder shall not by written notice designate the name in which shares of Non-Voting Common Stock and/or cash, securities or other property (including payments of cash in lieu of fractional shares) to be issued or paid upon conversion of shares of Series G Preferred Stock should be registered or paid or the manner in which such shares should be delivered, the Corporation shall be entitled to register and deliver such shares, and make such payment, in the name of the Holder and in the manner shown on the records of the Corporation.</w:t>
      </w:r>
    </w:p>
    <w:p>
      <w:pPr>
        <w:spacing w:after="0" w:line="165" w:lineRule="exact"/>
        <w:rPr>
          <w:rFonts w:ascii="Arial" w:cs="Arial" w:eastAsia="Arial" w:hAnsi="Arial"/>
          <w:sz w:val="18"/>
          <w:szCs w:val="18"/>
          <w:color w:val="auto"/>
        </w:rPr>
      </w:pPr>
    </w:p>
    <w:p>
      <w:pPr>
        <w:ind w:right="279" w:firstLine="770"/>
        <w:spacing w:after="0" w:line="257" w:lineRule="auto"/>
        <w:tabs>
          <w:tab w:leader="none" w:pos="1003"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 the Mandatory Conversion Date with respect to any share of Series G Preferred Stock, certificates representing shares of Non-Voting Common Stock shall be issued and delivered to the Holder thereof or such Holder’s designee (or, at the Corporation’s option such shares shall be registered in book-entry form) upon presentation and surrender of the certificate evidencing the Series G Preferred Stock to the Corporation and, if required, the furnishing of appropriate endorsements and transfer documents and the payment of all transfer and similar taxes.</w:t>
      </w:r>
    </w:p>
    <w:p>
      <w:pPr>
        <w:spacing w:after="0" w:line="148"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Section 10. Anti-Dilution Adjustments</w:t>
      </w:r>
      <w:r>
        <w:rPr>
          <w:rFonts w:ascii="Arial" w:cs="Arial" w:eastAsia="Arial" w:hAnsi="Arial"/>
          <w:sz w:val="18"/>
          <w:szCs w:val="18"/>
          <w:color w:val="auto"/>
        </w:rPr>
        <w:t>.</w:t>
      </w:r>
    </w:p>
    <w:p>
      <w:pPr>
        <w:spacing w:after="0" w:line="185" w:lineRule="exact"/>
        <w:rPr>
          <w:sz w:val="20"/>
          <w:szCs w:val="20"/>
          <w:color w:val="auto"/>
        </w:rPr>
      </w:pPr>
    </w:p>
    <w:p>
      <w:pPr>
        <w:ind w:left="1020" w:hanging="250"/>
        <w:spacing w:after="0"/>
        <w:tabs>
          <w:tab w:leader="none" w:pos="10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Conversion Price shall be subject to the following adjustments:</w:t>
      </w:r>
    </w:p>
    <w:p>
      <w:pPr>
        <w:spacing w:after="0" w:line="198" w:lineRule="exact"/>
        <w:rPr>
          <w:rFonts w:ascii="Arial" w:cs="Arial" w:eastAsia="Arial" w:hAnsi="Arial"/>
          <w:sz w:val="18"/>
          <w:szCs w:val="18"/>
          <w:color w:val="auto"/>
        </w:rPr>
      </w:pPr>
    </w:p>
    <w:p>
      <w:pPr>
        <w:ind w:right="319" w:firstLine="381"/>
        <w:spacing w:after="0" w:line="264" w:lineRule="auto"/>
        <w:tabs>
          <w:tab w:leader="none" w:pos="604"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Stock Dividends and Distributions</w:t>
      </w:r>
      <w:r>
        <w:rPr>
          <w:rFonts w:ascii="Arial" w:cs="Arial" w:eastAsia="Arial" w:hAnsi="Arial"/>
          <w:sz w:val="18"/>
          <w:szCs w:val="18"/>
          <w:color w:val="auto"/>
        </w:rPr>
        <w:t>. If the Corporation pays dividends or other distributions on the Company Common Stock in shares of Company Common Stock, then the Conversion Price in effect immediately prior to the Ex-Date for such dividend or distribution will be multiplied by the following fraction:</w:t>
      </w:r>
    </w:p>
    <w:p>
      <w:pPr>
        <w:spacing w:after="0" w:line="141"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OS</w:t>
      </w:r>
      <w:r>
        <w:rPr>
          <w:rFonts w:ascii="Arial" w:cs="Arial" w:eastAsia="Arial" w:hAnsi="Arial"/>
          <w:sz w:val="15"/>
          <w:szCs w:val="15"/>
          <w:u w:val="single" w:color="auto"/>
          <w:color w:val="auto"/>
        </w:rPr>
        <w:t>0</w:t>
      </w:r>
    </w:p>
    <w:p>
      <w:pPr>
        <w:spacing w:after="0" w:line="2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OS</w:t>
      </w:r>
      <w:r>
        <w:rPr>
          <w:rFonts w:ascii="Arial" w:cs="Arial" w:eastAsia="Arial" w:hAnsi="Arial"/>
          <w:sz w:val="13"/>
          <w:szCs w:val="13"/>
          <w:color w:val="auto"/>
        </w:rPr>
        <w:t>0</w:t>
      </w:r>
      <w:r>
        <w:rPr>
          <w:rFonts w:ascii="Arial" w:cs="Arial" w:eastAsia="Arial" w:hAnsi="Arial"/>
          <w:sz w:val="16"/>
          <w:szCs w:val="16"/>
          <w:color w:val="auto"/>
        </w:rPr>
        <w:t xml:space="preserve"> = the number of shares of Company Common Stock outstanding immediately prior to Ex-Date for such dividend or distribution.</w:t>
      </w:r>
    </w:p>
    <w:p>
      <w:pPr>
        <w:spacing w:after="0" w:line="208" w:lineRule="exact"/>
        <w:rPr>
          <w:sz w:val="20"/>
          <w:szCs w:val="20"/>
          <w:color w:val="auto"/>
        </w:rPr>
      </w:pPr>
    </w:p>
    <w:p>
      <w:pPr>
        <w:ind w:right="339"/>
        <w:spacing w:after="0" w:line="308" w:lineRule="auto"/>
        <w:rPr>
          <w:sz w:val="20"/>
          <w:szCs w:val="20"/>
          <w:color w:val="auto"/>
        </w:rPr>
      </w:pPr>
      <w:r>
        <w:rPr>
          <w:rFonts w:ascii="Arial" w:cs="Arial" w:eastAsia="Arial" w:hAnsi="Arial"/>
          <w:sz w:val="17"/>
          <w:szCs w:val="17"/>
          <w:color w:val="auto"/>
        </w:rPr>
        <w:t>OS</w:t>
      </w:r>
      <w:r>
        <w:rPr>
          <w:rFonts w:ascii="Arial" w:cs="Arial" w:eastAsia="Arial" w:hAnsi="Arial"/>
          <w:sz w:val="14"/>
          <w:szCs w:val="14"/>
          <w:color w:val="auto"/>
        </w:rPr>
        <w:t>1</w:t>
      </w:r>
      <w:r>
        <w:rPr>
          <w:rFonts w:ascii="Arial" w:cs="Arial" w:eastAsia="Arial" w:hAnsi="Arial"/>
          <w:sz w:val="17"/>
          <w:szCs w:val="17"/>
          <w:color w:val="auto"/>
        </w:rPr>
        <w:t xml:space="preserve"> = the sum of the number of shares of Company Common Stock outstanding immediately prior to the Ex-Date for such dividend or distribution plus the total number of shares of Company Common Stock constituting such dividend or distribution.</w:t>
      </w:r>
    </w:p>
    <w:p>
      <w:pPr>
        <w:spacing w:after="0" w:line="106" w:lineRule="exact"/>
        <w:rPr>
          <w:sz w:val="20"/>
          <w:szCs w:val="20"/>
          <w:color w:val="auto"/>
        </w:rPr>
      </w:pPr>
    </w:p>
    <w:p>
      <w:pPr>
        <w:ind w:right="319"/>
        <w:spacing w:after="0" w:line="297" w:lineRule="auto"/>
        <w:rPr>
          <w:sz w:val="20"/>
          <w:szCs w:val="20"/>
          <w:color w:val="auto"/>
        </w:rPr>
      </w:pPr>
      <w:r>
        <w:rPr>
          <w:rFonts w:ascii="Arial" w:cs="Arial" w:eastAsia="Arial" w:hAnsi="Arial"/>
          <w:sz w:val="16"/>
          <w:szCs w:val="16"/>
          <w:color w:val="auto"/>
        </w:rPr>
        <w:t>For the purposes of this clause (i), the number of shares of Company Common Stock at the time outstanding shall not include shares acquired by the Corporation. If any dividend or distribution described in this clause (i) is declared but not so paid or made, the Conversion Price shall be readjusted, effective as of the date the Board of Directors publicly announces its decision not to make such dividend or distribution, to such Conversion Price that would be in effect if such dividend or distribution had not been declared (but giving effect to any intervening adjustments that may have been made with respect to the Series 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613410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08" w:name="page109"/>
    <w:bookmarkEnd w:id="108"/>
    <w:p>
      <w:pPr>
        <w:ind w:right="259" w:firstLine="381"/>
        <w:spacing w:after="0" w:line="264" w:lineRule="auto"/>
        <w:tabs>
          <w:tab w:leader="none" w:pos="654"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Subdivisions, Splits and Combination of the Company Common Stock</w:t>
      </w:r>
      <w:r>
        <w:rPr>
          <w:rFonts w:ascii="Arial" w:cs="Arial" w:eastAsia="Arial" w:hAnsi="Arial"/>
          <w:sz w:val="18"/>
          <w:szCs w:val="18"/>
          <w:color w:val="auto"/>
        </w:rPr>
        <w:t>. If the Corporation subdivides, splits or combines the shares of Company Common Stock, then the Conversion Price in effect immediately prior to the effective date of such share subdivision, split or combination will be multiplied by the following fraction:</w:t>
      </w:r>
    </w:p>
    <w:p>
      <w:pPr>
        <w:spacing w:after="0" w:line="154"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OS</w:t>
      </w:r>
      <w:r>
        <w:rPr>
          <w:rFonts w:ascii="Arial" w:cs="Arial" w:eastAsia="Arial" w:hAnsi="Arial"/>
          <w:sz w:val="15"/>
          <w:szCs w:val="15"/>
          <w:u w:val="single" w:color="auto"/>
          <w:color w:val="auto"/>
        </w:rPr>
        <w:t>0</w:t>
      </w:r>
    </w:p>
    <w:p>
      <w:pPr>
        <w:spacing w:after="0" w:line="2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85"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r>
        <w:rPr>
          <w:rFonts w:ascii="Arial" w:cs="Arial" w:eastAsia="Arial" w:hAnsi="Arial"/>
          <w:sz w:val="18"/>
          <w:szCs w:val="18"/>
          <w:color w:val="auto"/>
        </w:rPr>
        <w:t xml:space="preserve"> = the number of shares of Company Common Stock outstanding immediately prior to the effective date of such share subdivision, split or combination.</w:t>
      </w:r>
    </w:p>
    <w:p>
      <w:pPr>
        <w:spacing w:after="0" w:line="143"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r>
        <w:rPr>
          <w:rFonts w:ascii="Arial" w:cs="Arial" w:eastAsia="Arial" w:hAnsi="Arial"/>
          <w:sz w:val="18"/>
          <w:szCs w:val="18"/>
          <w:color w:val="auto"/>
        </w:rPr>
        <w:t xml:space="preserve"> = the number of shares of Company Common Stock outstanding immediately after the opening of business on the effective date of such share subdivision, split or combination.</w:t>
      </w:r>
    </w:p>
    <w:p>
      <w:pPr>
        <w:spacing w:after="0" w:line="130" w:lineRule="exact"/>
        <w:rPr>
          <w:sz w:val="20"/>
          <w:szCs w:val="20"/>
          <w:color w:val="auto"/>
        </w:rPr>
      </w:pPr>
    </w:p>
    <w:p>
      <w:pPr>
        <w:ind w:right="239"/>
        <w:spacing w:after="0" w:line="293" w:lineRule="auto"/>
        <w:rPr>
          <w:sz w:val="20"/>
          <w:szCs w:val="20"/>
          <w:color w:val="auto"/>
        </w:rPr>
      </w:pPr>
      <w:r>
        <w:rPr>
          <w:rFonts w:ascii="Arial" w:cs="Arial" w:eastAsia="Arial" w:hAnsi="Arial"/>
          <w:sz w:val="16"/>
          <w:szCs w:val="16"/>
          <w:color w:val="auto"/>
        </w:rPr>
        <w:t>For the purposes of this clause (ii), the number of shares of Company Common Stock at the time outstanding shall not include shares acquired by the Corporation. If any subdivision, split or combination described in this clause (ii) is announced but the outstanding shares of Company Common Stock are not subdivided, split or combined, the Conversion Price shall be readjusted, effective as of the date the Board of Directors publicly announces its decision not to subdivide, split or combine the outstanding shares of Company Common Stock, to such Conversion Price that would be in effect if such subdivision, split or combination had not been announced (but giving effect to any intervening adjustments that may have been made with respect to the Series G Preferred Stock).</w:t>
      </w:r>
    </w:p>
    <w:p>
      <w:pPr>
        <w:spacing w:after="0" w:line="124" w:lineRule="exact"/>
        <w:rPr>
          <w:sz w:val="20"/>
          <w:szCs w:val="20"/>
          <w:color w:val="auto"/>
        </w:rPr>
      </w:pPr>
    </w:p>
    <w:p>
      <w:pPr>
        <w:ind w:right="179" w:firstLine="381"/>
        <w:spacing w:after="0" w:line="255" w:lineRule="auto"/>
        <w:tabs>
          <w:tab w:leader="none" w:pos="704"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Issuance of Stock Purchase Rights</w:t>
      </w:r>
      <w:r>
        <w:rPr>
          <w:rFonts w:ascii="Arial" w:cs="Arial" w:eastAsia="Arial" w:hAnsi="Arial"/>
          <w:sz w:val="18"/>
          <w:szCs w:val="18"/>
          <w:color w:val="auto"/>
        </w:rPr>
        <w:t>. If the Corporation issues to all or substantially all holders of the shares of Company Common Stock rights or warrants (other than rights or warrants issued pursuant to a stockholders’ rights plan, a dividend reinvestment plan or share purchase plan or other similar plans, including that certain Tax Benefits Preservation Plan, dated February 22, 2011, between the Corporation and Illinois Stock Transfer Company) entitling them to subscribe for or purchase the shares of Company Common Stock at less than the Current Market Price on the date fixed for the determination of stockholders entitled to receive such rights or warrants, then the Conversion Price in effect immediately prior to the Ex-Date for such distribution will be multiplied by the following fraction:</w:t>
      </w:r>
    </w:p>
    <w:p>
      <w:pPr>
        <w:spacing w:after="0" w:line="162" w:lineRule="exact"/>
        <w:rPr>
          <w:sz w:val="20"/>
          <w:szCs w:val="20"/>
          <w:color w:val="auto"/>
        </w:rPr>
      </w:pPr>
    </w:p>
    <w:p>
      <w:pPr>
        <w:ind w:left="4540"/>
        <w:spacing w:after="0"/>
        <w:rPr>
          <w:sz w:val="20"/>
          <w:szCs w:val="20"/>
          <w:color w:val="auto"/>
        </w:rPr>
      </w:pPr>
      <w:r>
        <w:rPr>
          <w:rFonts w:ascii="Arial" w:cs="Arial" w:eastAsia="Arial" w:hAnsi="Arial"/>
          <w:sz w:val="18"/>
          <w:szCs w:val="18"/>
          <w:u w:val="single" w:color="auto"/>
          <w:color w:val="auto"/>
        </w:rPr>
        <w:t>OS</w:t>
      </w:r>
      <w:r>
        <w:rPr>
          <w:rFonts w:ascii="Arial" w:cs="Arial" w:eastAsia="Arial" w:hAnsi="Arial"/>
          <w:sz w:val="15"/>
          <w:szCs w:val="15"/>
          <w:u w:val="single" w:color="auto"/>
          <w:color w:val="auto"/>
        </w:rPr>
        <w:t>0</w:t>
      </w:r>
      <w:r>
        <w:rPr>
          <w:rFonts w:ascii="Arial" w:cs="Arial" w:eastAsia="Arial" w:hAnsi="Arial"/>
          <w:sz w:val="18"/>
          <w:szCs w:val="18"/>
          <w:u w:val="single" w:color="auto"/>
          <w:color w:val="auto"/>
        </w:rPr>
        <w:t xml:space="preserve"> + Y</w:t>
      </w:r>
    </w:p>
    <w:p>
      <w:pPr>
        <w:spacing w:after="0" w:line="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r>
        <w:rPr>
          <w:rFonts w:ascii="Arial" w:cs="Arial" w:eastAsia="Arial" w:hAnsi="Arial"/>
          <w:sz w:val="18"/>
          <w:szCs w:val="18"/>
          <w:color w:val="auto"/>
        </w:rPr>
        <w:t xml:space="preserve"> + X</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OS</w:t>
      </w:r>
      <w:r>
        <w:rPr>
          <w:rFonts w:ascii="Arial" w:cs="Arial" w:eastAsia="Arial" w:hAnsi="Arial"/>
          <w:sz w:val="14"/>
          <w:szCs w:val="14"/>
          <w:color w:val="auto"/>
        </w:rPr>
        <w:t>0</w:t>
      </w:r>
      <w:r>
        <w:rPr>
          <w:rFonts w:ascii="Arial" w:cs="Arial" w:eastAsia="Arial" w:hAnsi="Arial"/>
          <w:sz w:val="17"/>
          <w:szCs w:val="17"/>
          <w:color w:val="auto"/>
        </w:rPr>
        <w:t xml:space="preserve"> = the number of shares of Company Common Stock outstanding immediately prior to the Ex-Date for such distribution.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X = the total number of shares of Company Common Stock issuable pursuant to such rights or warrants.</w:t>
      </w:r>
    </w:p>
    <w:p>
      <w:pPr>
        <w:spacing w:after="0" w:line="185" w:lineRule="exact"/>
        <w:rPr>
          <w:sz w:val="20"/>
          <w:szCs w:val="20"/>
          <w:color w:val="auto"/>
        </w:rPr>
      </w:pPr>
    </w:p>
    <w:p>
      <w:pPr>
        <w:ind w:right="219"/>
        <w:spacing w:after="0" w:line="342" w:lineRule="auto"/>
        <w:rPr>
          <w:sz w:val="20"/>
          <w:szCs w:val="20"/>
          <w:color w:val="auto"/>
        </w:rPr>
      </w:pPr>
      <w:r>
        <w:rPr>
          <w:rFonts w:ascii="Arial" w:cs="Arial" w:eastAsia="Arial" w:hAnsi="Arial"/>
          <w:sz w:val="16"/>
          <w:szCs w:val="16"/>
          <w:color w:val="auto"/>
        </w:rPr>
        <w:t>Y = the number of shares of Company Common Stock equal to the aggregate price payable to exercise such rights or warrants divided by the Current Market Price on the date fixed for the determination of stockholders entitled to receive such rights or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591820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09" w:name="page110"/>
    <w:bookmarkEnd w:id="109"/>
    <w:p>
      <w:pPr>
        <w:ind w:right="159"/>
        <w:spacing w:after="0" w:line="286" w:lineRule="auto"/>
        <w:rPr>
          <w:sz w:val="20"/>
          <w:szCs w:val="20"/>
          <w:color w:val="auto"/>
        </w:rPr>
      </w:pPr>
      <w:r>
        <w:rPr>
          <w:rFonts w:ascii="Arial" w:cs="Arial" w:eastAsia="Arial" w:hAnsi="Arial"/>
          <w:sz w:val="16"/>
          <w:szCs w:val="16"/>
          <w:color w:val="auto"/>
        </w:rPr>
        <w:t>For the purposes of this clause (iii), the number of shares of Company Common Stock at the time outstanding shall not include shares acquired by the Corporation. The Corporation shall not issue any such rights or warrants in respect of shares of the Company Common Stock acquired by the Corporation. In the event that such rights or warrants described in this clause (iii) are not so issued, the Conversion Price shall be readjusted, effective as of the date the Board of Directors publicly announces its decision not to issue such rights or warrants, to the Conversion Price that would then be in effect if such issuance had not been declared (but giving effect to any intervening adjustments that may have been made with respect to the Series G Preferred Stock). To the extent that such rights or warrants are not exercised prior to their expiration or shares of Company Common Stock are otherwise not delivered pursuant to such rights or warrants upon the exercise of such rights or warrants, the Conversion Price shall be readjusted to such Conversion Price that would then be in effect had the adjustment made upon the issuance of such rights or warrants been made on the basis of the delivery of only the number of shares of Company Common Stock actually delivered (but giving effect to any intervening adjustments that may have been made with respect to the Series F Preferred Stock). In determining the aggregate offering price payable for such shares of Company Common Stock, there shall be taken into account any consideration received for such rights or warrants and the value of such consideration (if other than cash, to be determined in a reasonable manner by the Board of Directors).</w:t>
      </w:r>
    </w:p>
    <w:p>
      <w:pPr>
        <w:spacing w:after="0" w:line="148" w:lineRule="exact"/>
        <w:rPr>
          <w:sz w:val="20"/>
          <w:szCs w:val="20"/>
          <w:color w:val="auto"/>
        </w:rPr>
      </w:pPr>
    </w:p>
    <w:p>
      <w:pPr>
        <w:ind w:right="179" w:firstLine="381"/>
        <w:spacing w:after="0" w:line="271" w:lineRule="auto"/>
        <w:tabs>
          <w:tab w:leader="none" w:pos="694"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Debt or Asset Distributions</w:t>
      </w:r>
      <w:r>
        <w:rPr>
          <w:rFonts w:ascii="Arial" w:cs="Arial" w:eastAsia="Arial" w:hAnsi="Arial"/>
          <w:sz w:val="17"/>
          <w:szCs w:val="17"/>
          <w:color w:val="auto"/>
        </w:rPr>
        <w:t>. If the Corporation distributes to all or substantially all holders of shares of Company Common Stock evidences of indebtedness, shares of capital stock, securities, cash or other assets (excluding any dividend or distribution referred to in clause (i) above, any rights or warrants referred to in clause (iii) above, any dividend or distribution paid exclusively in cash, any consideration payable in connection with a tender or exchange offer made by the Corporation or any of its applicable subsidiaries, and any dividend of shares of capital stock of any class or series, or similar equity interests, of or relating to a subsidiary or other business unit in the case of certain spin-off transactions as described below) (such evidences of indebtedness, shares of capital stock, securities, cash or other assets, the “</w:t>
      </w:r>
      <w:r>
        <w:rPr>
          <w:rFonts w:ascii="Arial" w:cs="Arial" w:eastAsia="Arial" w:hAnsi="Arial"/>
          <w:sz w:val="17"/>
          <w:szCs w:val="17"/>
          <w:u w:val="single" w:color="auto"/>
          <w:color w:val="auto"/>
        </w:rPr>
        <w:t>Distributed Property</w:t>
      </w:r>
      <w:r>
        <w:rPr>
          <w:rFonts w:ascii="Arial" w:cs="Arial" w:eastAsia="Arial" w:hAnsi="Arial"/>
          <w:sz w:val="17"/>
          <w:szCs w:val="17"/>
          <w:color w:val="auto"/>
        </w:rPr>
        <w:t>”), then the Conversion Price in effect immediately prior to the Ex-Date for such distribution will be multiplied by the following fraction:</w:t>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SP</w:t>
      </w:r>
      <w:r>
        <w:rPr>
          <w:rFonts w:ascii="Arial" w:cs="Arial" w:eastAsia="Arial" w:hAnsi="Arial"/>
          <w:sz w:val="15"/>
          <w:szCs w:val="15"/>
          <w:u w:val="single" w:color="auto"/>
          <w:color w:val="auto"/>
        </w:rPr>
        <w:t>0</w:t>
      </w:r>
      <w:r>
        <w:rPr>
          <w:rFonts w:ascii="Arial" w:cs="Arial" w:eastAsia="Arial" w:hAnsi="Arial"/>
          <w:sz w:val="18"/>
          <w:szCs w:val="18"/>
          <w:u w:val="single" w:color="auto"/>
          <w:color w:val="auto"/>
        </w:rPr>
        <w:t xml:space="preserve"> – FMV</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r>
        <w:rPr>
          <w:rFonts w:ascii="Arial" w:cs="Arial" w:eastAsia="Arial" w:hAnsi="Arial"/>
          <w:sz w:val="18"/>
          <w:szCs w:val="18"/>
          <w:color w:val="auto"/>
        </w:rPr>
        <w:t xml:space="preserve"> = the Current Market Price per share of Common Stock on such date.</w:t>
      </w:r>
    </w:p>
    <w:p>
      <w:pPr>
        <w:spacing w:after="0" w:line="185" w:lineRule="exact"/>
        <w:rPr>
          <w:sz w:val="20"/>
          <w:szCs w:val="20"/>
          <w:color w:val="auto"/>
        </w:rPr>
      </w:pPr>
    </w:p>
    <w:p>
      <w:pPr>
        <w:ind w:right="199"/>
        <w:spacing w:after="0" w:line="277" w:lineRule="auto"/>
        <w:rPr>
          <w:sz w:val="20"/>
          <w:szCs w:val="20"/>
          <w:color w:val="auto"/>
        </w:rPr>
      </w:pPr>
      <w:r>
        <w:rPr>
          <w:rFonts w:ascii="Arial" w:cs="Arial" w:eastAsia="Arial" w:hAnsi="Arial"/>
          <w:sz w:val="18"/>
          <w:szCs w:val="18"/>
          <w:color w:val="auto"/>
        </w:rPr>
        <w:t>FMV = the fair market value of the portion of the distribution applicable to one share of Common Stock on such date as determined in good faith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621030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10" w:name="page111"/>
    <w:bookmarkEnd w:id="110"/>
    <w:p>
      <w:pPr>
        <w:ind w:right="339"/>
        <w:spacing w:after="0" w:line="279" w:lineRule="auto"/>
        <w:rPr>
          <w:sz w:val="20"/>
          <w:szCs w:val="20"/>
          <w:color w:val="auto"/>
        </w:rPr>
      </w:pPr>
      <w:r>
        <w:rPr>
          <w:rFonts w:ascii="Arial" w:cs="Arial" w:eastAsia="Arial" w:hAnsi="Arial"/>
          <w:sz w:val="17"/>
          <w:szCs w:val="17"/>
          <w:color w:val="auto"/>
        </w:rPr>
        <w:t>In a “spin-off”, where the Corporation makes a distribution to all holders of shares of Company Common Stock consisting of capital stock of any class or series, or similar equity interests of, or relating to, a subsidiary or other business unit, the Conversion Price will be adjusted on the fifteenth Trading Day after the effective date of the distribution by multiplying such Conversion Price in effect immediately prior to such fifteenth Trading Day by the following fraction:</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MP</w:t>
      </w:r>
      <w:r>
        <w:rPr>
          <w:rFonts w:ascii="Arial" w:cs="Arial" w:eastAsia="Arial" w:hAnsi="Arial"/>
          <w:sz w:val="15"/>
          <w:szCs w:val="15"/>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6350</wp:posOffset>
            </wp:positionV>
            <wp:extent cx="5143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MP</w:t>
      </w:r>
      <w:r>
        <w:rPr>
          <w:rFonts w:ascii="Arial" w:cs="Arial" w:eastAsia="Arial" w:hAnsi="Arial"/>
          <w:sz w:val="15"/>
          <w:szCs w:val="15"/>
          <w:color w:val="auto"/>
        </w:rPr>
        <w:t>0</w:t>
      </w:r>
      <w:r>
        <w:rPr>
          <w:rFonts w:ascii="Arial" w:cs="Arial" w:eastAsia="Arial" w:hAnsi="Arial"/>
          <w:sz w:val="18"/>
          <w:szCs w:val="18"/>
          <w:color w:val="auto"/>
        </w:rPr>
        <w:t>+ MP</w:t>
      </w:r>
      <w:r>
        <w:rPr>
          <w:rFonts w:ascii="Arial" w:cs="Arial" w:eastAsia="Arial" w:hAnsi="Arial"/>
          <w:sz w:val="15"/>
          <w:szCs w:val="15"/>
          <w:color w:val="auto"/>
        </w:rPr>
        <w: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85" w:lineRule="exact"/>
        <w:rPr>
          <w:sz w:val="20"/>
          <w:szCs w:val="20"/>
          <w:color w:val="auto"/>
        </w:rPr>
      </w:pPr>
    </w:p>
    <w:p>
      <w:pPr>
        <w:ind w:right="259"/>
        <w:spacing w:after="0" w:line="277" w:lineRule="auto"/>
        <w:rPr>
          <w:sz w:val="20"/>
          <w:szCs w:val="20"/>
          <w:color w:val="auto"/>
        </w:rPr>
      </w:pPr>
      <w:r>
        <w:rPr>
          <w:rFonts w:ascii="Arial" w:cs="Arial" w:eastAsia="Arial" w:hAnsi="Arial"/>
          <w:sz w:val="18"/>
          <w:szCs w:val="18"/>
          <w:color w:val="auto"/>
        </w:rPr>
        <w:t>MP</w:t>
      </w:r>
      <w:r>
        <w:rPr>
          <w:rFonts w:ascii="Arial" w:cs="Arial" w:eastAsia="Arial" w:hAnsi="Arial"/>
          <w:sz w:val="15"/>
          <w:szCs w:val="15"/>
          <w:color w:val="auto"/>
        </w:rPr>
        <w:t>0</w:t>
      </w:r>
      <w:r>
        <w:rPr>
          <w:rFonts w:ascii="Arial" w:cs="Arial" w:eastAsia="Arial" w:hAnsi="Arial"/>
          <w:sz w:val="18"/>
          <w:szCs w:val="18"/>
          <w:color w:val="auto"/>
        </w:rPr>
        <w:t xml:space="preserve"> = the average of the Closing Prices of the Common Stock over the first ten Trading Days commencing on and including the fifth Trading Day following the effective date of such distribution.</w:t>
      </w:r>
    </w:p>
    <w:p>
      <w:pPr>
        <w:spacing w:after="0" w:line="143" w:lineRule="exact"/>
        <w:rPr>
          <w:sz w:val="20"/>
          <w:szCs w:val="20"/>
          <w:color w:val="auto"/>
        </w:rPr>
      </w:pPr>
    </w:p>
    <w:p>
      <w:pPr>
        <w:ind w:right="179"/>
        <w:spacing w:after="0" w:line="257" w:lineRule="auto"/>
        <w:rPr>
          <w:sz w:val="20"/>
          <w:szCs w:val="20"/>
          <w:color w:val="auto"/>
        </w:rPr>
      </w:pPr>
      <w:r>
        <w:rPr>
          <w:rFonts w:ascii="Arial" w:cs="Arial" w:eastAsia="Arial" w:hAnsi="Arial"/>
          <w:sz w:val="18"/>
          <w:szCs w:val="18"/>
          <w:color w:val="auto"/>
        </w:rPr>
        <w:t>MP</w:t>
      </w:r>
      <w:r>
        <w:rPr>
          <w:rFonts w:ascii="Arial" w:cs="Arial" w:eastAsia="Arial" w:hAnsi="Arial"/>
          <w:sz w:val="15"/>
          <w:szCs w:val="15"/>
          <w:color w:val="auto"/>
        </w:rPr>
        <w:t>s</w:t>
      </w:r>
      <w:r>
        <w:rPr>
          <w:rFonts w:ascii="Arial" w:cs="Arial" w:eastAsia="Arial" w:hAnsi="Arial"/>
          <w:sz w:val="18"/>
          <w:szCs w:val="18"/>
          <w:color w:val="auto"/>
        </w:rPr>
        <w:t xml:space="preserve"> = the average of the Closing Prices of the capital stock or equity interests representing the portion of the distribution applicable to one share of Common Stock over the first ten Trading Days commencing on and including the fifth Trading Day following the effective date of such distribution, or, if not traded on a national or regional securities exchange or over-the-counter market, the fair market value of the capital stock or equity interests representing the portion of the distribution applicable to one share of Common Stock on such date as determined by the Board of Directors.</w:t>
      </w:r>
    </w:p>
    <w:p>
      <w:pPr>
        <w:spacing w:after="0" w:line="148" w:lineRule="exact"/>
        <w:rPr>
          <w:sz w:val="20"/>
          <w:szCs w:val="20"/>
          <w:color w:val="auto"/>
        </w:rPr>
      </w:pPr>
    </w:p>
    <w:p>
      <w:pPr>
        <w:ind w:right="299"/>
        <w:spacing w:after="0" w:line="279" w:lineRule="auto"/>
        <w:rPr>
          <w:sz w:val="20"/>
          <w:szCs w:val="20"/>
          <w:color w:val="auto"/>
        </w:rPr>
      </w:pPr>
      <w:r>
        <w:rPr>
          <w:rFonts w:ascii="Arial" w:cs="Arial" w:eastAsia="Arial" w:hAnsi="Arial"/>
          <w:sz w:val="17"/>
          <w:szCs w:val="17"/>
          <w:color w:val="auto"/>
        </w:rPr>
        <w:t>In the event that such distribution described in this clause (iv) is not so paid or made, the Conversion Price shall be readjusted, effective as of the date the Board of Directors publicly announces its decision not to pay or make such dividend or distribution, to the Conversion Price that would then be in effect if such dividend or distribution had not been declared (but after giving effect to any intervening adjustments that may have been made with respect to the Series G Preferred Stock).</w:t>
      </w:r>
    </w:p>
    <w:p>
      <w:pPr>
        <w:spacing w:after="0" w:line="131" w:lineRule="exact"/>
        <w:rPr>
          <w:sz w:val="20"/>
          <w:szCs w:val="20"/>
          <w:color w:val="auto"/>
        </w:rPr>
      </w:pPr>
    </w:p>
    <w:p>
      <w:pPr>
        <w:ind w:right="179" w:firstLine="381"/>
        <w:spacing w:after="0" w:line="255" w:lineRule="auto"/>
        <w:tabs>
          <w:tab w:leader="none" w:pos="644"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Cash Distributions</w:t>
      </w:r>
      <w:r>
        <w:rPr>
          <w:rFonts w:ascii="Arial" w:cs="Arial" w:eastAsia="Arial" w:hAnsi="Arial"/>
          <w:sz w:val="18"/>
          <w:szCs w:val="18"/>
          <w:color w:val="auto"/>
        </w:rPr>
        <w:t>. If the Corporation makes a distribution consisting exclusively of cash to all holders of the Company Common Stock, excluding (a) any cash dividend on the Company Common Stock to the extent a corresponding cash dividend pursuant to Section 4 is paid on the Series G Preferred Stock, (b) any cash that is distributed in a Reorganization Event or as part of a “spin-off” referred to in clause (iv) above, (c) any dividend or distribution in connection with the Corporation’s liquidation, dissolution or winding up, and (d) any consideration payable in connection with a tender or exchange offer made by the Corporation or any of its subsidiaries, then in each event, the Conversion Price in effect immediately prior to the Ex-Date for such distribution will be multiplied by the following fraction:</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SP</w:t>
      </w:r>
      <w:r>
        <w:rPr>
          <w:rFonts w:ascii="Arial" w:cs="Arial" w:eastAsia="Arial" w:hAnsi="Arial"/>
          <w:sz w:val="15"/>
          <w:szCs w:val="15"/>
          <w:u w:val="single" w:color="auto"/>
          <w:color w:val="auto"/>
        </w:rPr>
        <w:t>0</w:t>
      </w:r>
      <w:r>
        <w:rPr>
          <w:rFonts w:ascii="Arial" w:cs="Arial" w:eastAsia="Arial" w:hAnsi="Arial"/>
          <w:sz w:val="18"/>
          <w:szCs w:val="18"/>
          <w:u w:val="single" w:color="auto"/>
          <w:color w:val="auto"/>
        </w:rPr>
        <w:t xml:space="preserve"> – DIV</w:t>
      </w:r>
    </w:p>
    <w:p>
      <w:pPr>
        <w:spacing w:after="0" w:line="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r>
        <w:rPr>
          <w:rFonts w:ascii="Arial" w:cs="Arial" w:eastAsia="Arial" w:hAnsi="Arial"/>
          <w:sz w:val="18"/>
          <w:szCs w:val="18"/>
          <w:color w:val="auto"/>
        </w:rPr>
        <w:t xml:space="preserve"> = the Closing Price per share of Common Stock on the Trading Day immediately preceding the Ex-Date.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DIV = the amount per share of Common Stock of the cash distribution, as determined pursuant to the introduction to this paragraph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638175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11" w:name="page112"/>
    <w:bookmarkEnd w:id="111"/>
    <w:p>
      <w:pPr>
        <w:ind w:right="219"/>
        <w:spacing w:after="0" w:line="259" w:lineRule="auto"/>
        <w:rPr>
          <w:sz w:val="20"/>
          <w:szCs w:val="20"/>
          <w:color w:val="auto"/>
        </w:rPr>
      </w:pPr>
      <w:r>
        <w:rPr>
          <w:rFonts w:ascii="Arial" w:cs="Arial" w:eastAsia="Arial" w:hAnsi="Arial"/>
          <w:sz w:val="18"/>
          <w:szCs w:val="18"/>
          <w:color w:val="auto"/>
        </w:rPr>
        <w:t>In the event that any distribution described in this clause (v) is not so made, the Conversion Price shall be readjusted, effective as of the date the Board of Directors publicly announces its decision not to pay such distribution, to the Conversion Price which would then be in effect if such distribution had not been declared (but giving effect to any intervening adjustments that may have been made with respect to the Series G Preferred Stock).</w:t>
      </w:r>
    </w:p>
    <w:p>
      <w:pPr>
        <w:spacing w:after="0" w:line="160" w:lineRule="exact"/>
        <w:rPr>
          <w:sz w:val="20"/>
          <w:szCs w:val="20"/>
          <w:color w:val="auto"/>
        </w:rPr>
      </w:pPr>
    </w:p>
    <w:p>
      <w:pPr>
        <w:ind w:right="279" w:firstLine="381"/>
        <w:spacing w:after="0" w:line="257" w:lineRule="auto"/>
        <w:tabs>
          <w:tab w:leader="none" w:pos="694"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Self Tender Offers and Exchange Offers</w:t>
      </w:r>
      <w:r>
        <w:rPr>
          <w:rFonts w:ascii="Arial" w:cs="Arial" w:eastAsia="Arial" w:hAnsi="Arial"/>
          <w:sz w:val="18"/>
          <w:szCs w:val="18"/>
          <w:color w:val="auto"/>
        </w:rPr>
        <w:t>. If the Corporation or any of its subsidiaries successfully completes a tender or exchange offer for the Company Common Stock where the cash and the value of any other consideration included in the payment per share of the Common Stock exceeds the Closing Price per share of the Common Stock on the Trading Day immediately succeeding the expiration of the tender or exchange offer, then the Conversion Price in effect at the close of business on such immediately succeeding Trading Day will be multiplied by the following fraction:</w:t>
      </w:r>
    </w:p>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r>
        <w:rPr>
          <w:rFonts w:ascii="Arial" w:cs="Arial" w:eastAsia="Arial" w:hAnsi="Arial"/>
          <w:sz w:val="18"/>
          <w:szCs w:val="18"/>
          <w:color w:val="auto"/>
        </w:rPr>
        <w:t xml:space="preserve"> x SP</w:t>
      </w:r>
      <w:r>
        <w:rPr>
          <w:rFonts w:ascii="Arial" w:cs="Arial" w:eastAsia="Arial" w:hAnsi="Arial"/>
          <w:sz w:val="15"/>
          <w:szCs w:val="15"/>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2661920</wp:posOffset>
            </wp:positionH>
            <wp:positionV relativeFrom="paragraph">
              <wp:posOffset>6350</wp:posOffset>
            </wp:positionV>
            <wp:extent cx="8407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AC + (SP</w:t>
      </w:r>
      <w:r>
        <w:rPr>
          <w:rFonts w:ascii="Arial" w:cs="Arial" w:eastAsia="Arial" w:hAnsi="Arial"/>
          <w:sz w:val="15"/>
          <w:szCs w:val="15"/>
          <w:color w:val="auto"/>
        </w:rPr>
        <w:t>0</w:t>
      </w:r>
      <w:r>
        <w:rPr>
          <w:rFonts w:ascii="Arial" w:cs="Arial" w:eastAsia="Arial" w:hAnsi="Arial"/>
          <w:sz w:val="18"/>
          <w:szCs w:val="18"/>
          <w:color w:val="auto"/>
        </w:rPr>
        <w:t xml:space="preserve"> x OS</w:t>
      </w:r>
      <w:r>
        <w:rPr>
          <w:rFonts w:ascii="Arial" w:cs="Arial" w:eastAsia="Arial" w:hAnsi="Arial"/>
          <w:sz w:val="15"/>
          <w:szCs w:val="15"/>
          <w:color w:val="auto"/>
        </w:rPr>
        <w:t>1</w:t>
      </w:r>
      <w:r>
        <w:rPr>
          <w:rFonts w:ascii="Arial" w:cs="Arial" w:eastAsia="Arial" w:hAnsi="Arial"/>
          <w:sz w:val="18"/>
          <w:szCs w:val="18"/>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98" w:lineRule="exact"/>
        <w:rPr>
          <w:sz w:val="20"/>
          <w:szCs w:val="20"/>
          <w:color w:val="auto"/>
        </w:rPr>
      </w:pPr>
    </w:p>
    <w:p>
      <w:pPr>
        <w:ind w:right="699"/>
        <w:spacing w:after="0" w:line="277" w:lineRule="auto"/>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r>
        <w:rPr>
          <w:rFonts w:ascii="Arial" w:cs="Arial" w:eastAsia="Arial" w:hAnsi="Arial"/>
          <w:sz w:val="18"/>
          <w:szCs w:val="18"/>
          <w:color w:val="auto"/>
        </w:rPr>
        <w:t xml:space="preserve"> = the Closing Price per share of Common Stock on the Trading Day immediately succeeding the expiration of the tender or exchange offer.</w:t>
      </w:r>
    </w:p>
    <w:p>
      <w:pPr>
        <w:spacing w:after="0" w:line="130" w:lineRule="exact"/>
        <w:rPr>
          <w:sz w:val="20"/>
          <w:szCs w:val="20"/>
          <w:color w:val="auto"/>
        </w:rPr>
      </w:pPr>
    </w:p>
    <w:p>
      <w:pPr>
        <w:ind w:right="759"/>
        <w:spacing w:after="0" w:line="277" w:lineRule="auto"/>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r>
        <w:rPr>
          <w:rFonts w:ascii="Arial" w:cs="Arial" w:eastAsia="Arial" w:hAnsi="Arial"/>
          <w:sz w:val="18"/>
          <w:szCs w:val="18"/>
          <w:color w:val="auto"/>
        </w:rPr>
        <w:t xml:space="preserve"> = the number of shares of Common Stock outstanding immediately prior to the expiration of the tender or exchange offer, including any shares validly tendered and not withdrawn.</w:t>
      </w:r>
    </w:p>
    <w:p>
      <w:pPr>
        <w:spacing w:after="0" w:line="130" w:lineRule="exact"/>
        <w:rPr>
          <w:sz w:val="20"/>
          <w:szCs w:val="20"/>
          <w:color w:val="auto"/>
        </w:rPr>
      </w:pPr>
    </w:p>
    <w:p>
      <w:pPr>
        <w:jc w:val="both"/>
        <w:ind w:right="479"/>
        <w:spacing w:after="0" w:line="264" w:lineRule="auto"/>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r>
        <w:rPr>
          <w:rFonts w:ascii="Arial" w:cs="Arial" w:eastAsia="Arial" w:hAnsi="Arial"/>
          <w:sz w:val="18"/>
          <w:szCs w:val="18"/>
          <w:color w:val="auto"/>
        </w:rPr>
        <w:t>= the number of shares of Common Stock outstanding immediately after the expiration of the tender or exchange offer, giving effect to consummation of the acquisition of all shares validly tendered or exchanged (and not withdrawn) in connection with such tender or exchange.</w:t>
      </w:r>
    </w:p>
    <w:p>
      <w:pPr>
        <w:spacing w:after="0" w:line="154" w:lineRule="exact"/>
        <w:rPr>
          <w:sz w:val="20"/>
          <w:szCs w:val="20"/>
          <w:color w:val="auto"/>
        </w:rPr>
      </w:pPr>
    </w:p>
    <w:p>
      <w:pPr>
        <w:ind w:right="219"/>
        <w:spacing w:after="0" w:line="277" w:lineRule="auto"/>
        <w:rPr>
          <w:sz w:val="20"/>
          <w:szCs w:val="20"/>
          <w:color w:val="auto"/>
        </w:rPr>
      </w:pPr>
      <w:r>
        <w:rPr>
          <w:rFonts w:ascii="Arial" w:cs="Arial" w:eastAsia="Arial" w:hAnsi="Arial"/>
          <w:sz w:val="18"/>
          <w:szCs w:val="18"/>
          <w:color w:val="auto"/>
        </w:rPr>
        <w:t>AC = the aggregate cash and fair market value of the other consideration payable in the tender or exchange offer, as determined by the Board of Directors.</w:t>
      </w:r>
    </w:p>
    <w:p>
      <w:pPr>
        <w:spacing w:after="0" w:line="130" w:lineRule="exact"/>
        <w:rPr>
          <w:sz w:val="20"/>
          <w:szCs w:val="20"/>
          <w:color w:val="auto"/>
        </w:rPr>
      </w:pPr>
    </w:p>
    <w:p>
      <w:pPr>
        <w:ind w:right="239"/>
        <w:spacing w:after="0" w:line="291" w:lineRule="auto"/>
        <w:rPr>
          <w:sz w:val="20"/>
          <w:szCs w:val="20"/>
          <w:color w:val="auto"/>
        </w:rPr>
      </w:pPr>
      <w:r>
        <w:rPr>
          <w:rFonts w:ascii="Arial" w:cs="Arial" w:eastAsia="Arial" w:hAnsi="Arial"/>
          <w:sz w:val="16"/>
          <w:szCs w:val="16"/>
          <w:color w:val="auto"/>
        </w:rPr>
        <w:t>In the event that the Corporation, or one of its subsidiaries, is obligated to purchase shares of Company Common Stock pursuant to any such tender offer or exchange offer, but the Corporation, or such subsidiary, is permanently prevented by applicable law from effecting any such purchases, or all such purchases are rescinded, then the Conversion Price shall be readjusted to be such Conversion Price that would then be in effect if such tender offer or exchange offer had not been made (but giving effect to any intervening adjustments that may have been made with respect to the Series G Preferred Stock). Except as set forth in the preceding sentence, if the application of this clause (vi) to any tender offer or exchange offer would result in an increase in the Conversion Price, no adjustment shall be made for such tender offer or exchange offer under this clause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619125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12" w:name="page113"/>
    <w:bookmarkEnd w:id="112"/>
    <w:p>
      <w:pPr>
        <w:ind w:left="8" w:right="339" w:firstLine="381"/>
        <w:spacing w:after="0" w:line="285" w:lineRule="auto"/>
        <w:tabs>
          <w:tab w:leader="none" w:pos="751"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Rights Plans</w:t>
      </w:r>
      <w:r>
        <w:rPr>
          <w:rFonts w:ascii="Arial" w:cs="Arial" w:eastAsia="Arial" w:hAnsi="Arial"/>
          <w:sz w:val="16"/>
          <w:szCs w:val="16"/>
          <w:color w:val="auto"/>
        </w:rPr>
        <w:t>. To the extent that the Corporation has a rights plan in effect with respect to the Company Common Stock on the Mandatory Conversion Date, upon conversion of any shares of the Series G Preferred Stock, Holders will receive, in addition to the shares of Non-Voting Common Stock, the rights under the rights plan, unless, prior to the Mandatory Conversion Date, the rights have separated from the shares of Non-Voting Common Stock, in which case the Conversion Price will be adjusted at the time of separation as if the Corporation had made a distribution to all holders of the Non-Voting Common Stock as described in clause</w:t>
      </w:r>
    </w:p>
    <w:p>
      <w:pPr>
        <w:spacing w:after="0" w:line="2" w:lineRule="exact"/>
        <w:rPr>
          <w:rFonts w:ascii="Arial" w:cs="Arial" w:eastAsia="Arial" w:hAnsi="Arial"/>
          <w:sz w:val="16"/>
          <w:szCs w:val="16"/>
          <w:color w:val="auto"/>
        </w:rPr>
      </w:pPr>
    </w:p>
    <w:p>
      <w:pPr>
        <w:ind w:left="8" w:right="399" w:hanging="8"/>
        <w:spacing w:after="0" w:line="261" w:lineRule="auto"/>
        <w:tabs>
          <w:tab w:leader="none" w:pos="323" w:val="left"/>
        </w:tabs>
        <w:numPr>
          <w:ilvl w:val="0"/>
          <w:numId w:val="99"/>
        </w:numPr>
        <w:rPr>
          <w:rFonts w:ascii="Arial" w:cs="Arial" w:eastAsia="Arial" w:hAnsi="Arial"/>
          <w:sz w:val="18"/>
          <w:szCs w:val="18"/>
          <w:color w:val="auto"/>
        </w:rPr>
      </w:pPr>
      <w:r>
        <w:rPr>
          <w:rFonts w:ascii="Arial" w:cs="Arial" w:eastAsia="Arial" w:hAnsi="Arial"/>
          <w:sz w:val="18"/>
          <w:szCs w:val="18"/>
          <w:color w:val="auto"/>
        </w:rPr>
        <w:t>above, subject to readjustment in the event of the expiration, termination or redemption of such rights (but after giving effect to any intervening adjustments that may have been made with respect to the Series G Preferred Stock).</w:t>
      </w:r>
    </w:p>
    <w:p>
      <w:pPr>
        <w:spacing w:after="0" w:line="156" w:lineRule="exact"/>
        <w:rPr>
          <w:rFonts w:ascii="Arial" w:cs="Arial" w:eastAsia="Arial" w:hAnsi="Arial"/>
          <w:sz w:val="18"/>
          <w:szCs w:val="18"/>
          <w:color w:val="auto"/>
        </w:rPr>
      </w:pPr>
    </w:p>
    <w:p>
      <w:pPr>
        <w:ind w:left="8" w:right="339" w:firstLine="770"/>
        <w:spacing w:after="0" w:line="302" w:lineRule="auto"/>
        <w:tabs>
          <w:tab w:leader="none" w:pos="1037" w:val="left"/>
        </w:tabs>
        <w:numPr>
          <w:ilvl w:val="2"/>
          <w:numId w:val="99"/>
        </w:numPr>
        <w:rPr>
          <w:rFonts w:ascii="Arial" w:cs="Arial" w:eastAsia="Arial" w:hAnsi="Arial"/>
          <w:sz w:val="16"/>
          <w:szCs w:val="16"/>
          <w:color w:val="auto"/>
        </w:rPr>
      </w:pPr>
      <w:r>
        <w:rPr>
          <w:rFonts w:ascii="Arial" w:cs="Arial" w:eastAsia="Arial" w:hAnsi="Arial"/>
          <w:sz w:val="16"/>
          <w:szCs w:val="16"/>
          <w:color w:val="auto"/>
        </w:rPr>
        <w:t>The Corporation may make such decreases in the Conversion Price, in addition to any other decreases required by this Section 10, if the Board of Directors deems it advisable, to avoid or diminish any income tax to holders of the Company Common Stock resulting from any dividend or distribution of shares of Company Common Stock (or issuance of rights or warrants to acquire shares of Company Common Stock) or from any event treated as such for income tax purposes or for any other reason.</w:t>
      </w:r>
    </w:p>
    <w:p>
      <w:pPr>
        <w:spacing w:after="0" w:line="113" w:lineRule="exact"/>
        <w:rPr>
          <w:rFonts w:ascii="Arial" w:cs="Arial" w:eastAsia="Arial" w:hAnsi="Arial"/>
          <w:sz w:val="16"/>
          <w:szCs w:val="16"/>
          <w:color w:val="auto"/>
        </w:rPr>
      </w:pPr>
    </w:p>
    <w:p>
      <w:pPr>
        <w:ind w:left="8" w:right="179" w:firstLine="770"/>
        <w:spacing w:after="0" w:line="276" w:lineRule="auto"/>
        <w:tabs>
          <w:tab w:leader="none" w:pos="1030" w:val="left"/>
        </w:tabs>
        <w:numPr>
          <w:ilvl w:val="2"/>
          <w:numId w:val="99"/>
        </w:numPr>
        <w:rPr>
          <w:rFonts w:ascii="Arial" w:cs="Arial" w:eastAsia="Arial" w:hAnsi="Arial"/>
          <w:sz w:val="17"/>
          <w:szCs w:val="17"/>
          <w:color w:val="auto"/>
        </w:rPr>
      </w:pPr>
      <w:r>
        <w:rPr>
          <w:rFonts w:ascii="Arial" w:cs="Arial" w:eastAsia="Arial" w:hAnsi="Arial"/>
          <w:sz w:val="17"/>
          <w:szCs w:val="17"/>
          <w:color w:val="auto"/>
        </w:rPr>
        <w:t xml:space="preserve">(i) All adjustments to the Conversion Price shall be calculated to the nearest 1/10 of a cent. No adjustment in the Conversion Price shall be required if such adjustment would be less than $0.01;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adjustments which by reason of this subparagraph are not required to be made shall be carried forward and taken into account in any subsequent adjustment;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on the Mandatory Conversion Date adjustments to the Conversion Price will be made with respect to any such adjustment</w:t>
      </w:r>
      <w:r>
        <w:rPr>
          <w:rFonts w:ascii="Arial" w:cs="Arial" w:eastAsia="Arial" w:hAnsi="Arial"/>
          <w:sz w:val="17"/>
          <w:szCs w:val="17"/>
          <w:i w:val="1"/>
          <w:iCs w:val="1"/>
          <w:color w:val="auto"/>
        </w:rPr>
        <w:t xml:space="preserve"> </w:t>
      </w:r>
      <w:r>
        <w:rPr>
          <w:rFonts w:ascii="Arial" w:cs="Arial" w:eastAsia="Arial" w:hAnsi="Arial"/>
          <w:sz w:val="17"/>
          <w:szCs w:val="17"/>
          <w:color w:val="auto"/>
        </w:rPr>
        <w:t>carried forward and which has not been taken into account before such date.</w:t>
      </w:r>
    </w:p>
    <w:p>
      <w:pPr>
        <w:spacing w:after="0" w:line="132" w:lineRule="exact"/>
        <w:rPr>
          <w:rFonts w:ascii="Arial" w:cs="Arial" w:eastAsia="Arial" w:hAnsi="Arial"/>
          <w:sz w:val="17"/>
          <w:szCs w:val="17"/>
          <w:color w:val="auto"/>
        </w:rPr>
      </w:pPr>
    </w:p>
    <w:p>
      <w:pPr>
        <w:ind w:left="8" w:right="279" w:firstLine="381"/>
        <w:spacing w:after="0" w:line="259" w:lineRule="auto"/>
        <w:tabs>
          <w:tab w:leader="none" w:pos="662" w:val="left"/>
        </w:tabs>
        <w:numPr>
          <w:ilvl w:val="1"/>
          <w:numId w:val="99"/>
        </w:numPr>
        <w:rPr>
          <w:rFonts w:ascii="Arial" w:cs="Arial" w:eastAsia="Arial" w:hAnsi="Arial"/>
          <w:sz w:val="18"/>
          <w:szCs w:val="18"/>
          <w:color w:val="auto"/>
        </w:rPr>
      </w:pPr>
      <w:r>
        <w:rPr>
          <w:rFonts w:ascii="Arial" w:cs="Arial" w:eastAsia="Arial" w:hAnsi="Arial"/>
          <w:sz w:val="18"/>
          <w:szCs w:val="18"/>
          <w:color w:val="auto"/>
        </w:rPr>
        <w:t>No adjustment to the Conversion Price shall be made if Holders may participate in the transaction that would otherwise give rise to an adjustment, as a result of holding the Series G Preferred Stock (including without limitation pursuant to Section 4 hereof), without having to convert the Series G Preferred Stock, as if they held the full number of shares of Non-Voting Common Stock into which a share of the Series G Preferred Stock may then be converted.</w:t>
      </w:r>
    </w:p>
    <w:p>
      <w:pPr>
        <w:spacing w:after="0" w:line="159" w:lineRule="exact"/>
        <w:rPr>
          <w:rFonts w:ascii="Arial" w:cs="Arial" w:eastAsia="Arial" w:hAnsi="Arial"/>
          <w:sz w:val="18"/>
          <w:szCs w:val="18"/>
          <w:color w:val="auto"/>
        </w:rPr>
      </w:pPr>
    </w:p>
    <w:p>
      <w:pPr>
        <w:ind w:left="708" w:hanging="319"/>
        <w:spacing w:after="0"/>
        <w:tabs>
          <w:tab w:leader="none" w:pos="708"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Applicable Conversion Price shall not be adjusted:</w:t>
      </w:r>
    </w:p>
    <w:p>
      <w:pPr>
        <w:spacing w:after="0" w:line="185" w:lineRule="exact"/>
        <w:rPr>
          <w:sz w:val="20"/>
          <w:szCs w:val="20"/>
          <w:color w:val="auto"/>
        </w:rPr>
      </w:pPr>
    </w:p>
    <w:p>
      <w:pPr>
        <w:ind w:left="8" w:right="559" w:firstLine="381"/>
        <w:spacing w:after="0" w:line="264" w:lineRule="auto"/>
        <w:tabs>
          <w:tab w:leader="none" w:pos="69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upon the issuance of any shares of Company Common Stock pursuant to any present or future plan providing for the reinvestment of dividends or interest payable on the Corporation’s securities and the investment of additional optional amounts in shares of Company Common Stock under any such plan;</w:t>
      </w:r>
    </w:p>
    <w:p>
      <w:pPr>
        <w:spacing w:after="0" w:line="140" w:lineRule="exact"/>
        <w:rPr>
          <w:rFonts w:ascii="Arial" w:cs="Arial" w:eastAsia="Arial" w:hAnsi="Arial"/>
          <w:sz w:val="18"/>
          <w:szCs w:val="18"/>
          <w:color w:val="auto"/>
        </w:rPr>
      </w:pPr>
    </w:p>
    <w:p>
      <w:pPr>
        <w:ind w:left="8" w:right="259" w:firstLine="381"/>
        <w:spacing w:after="0" w:line="342" w:lineRule="auto"/>
        <w:tabs>
          <w:tab w:leader="none" w:pos="68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upon the issuance of any shares of Company Common Stock or rights or warrants to purchase those shares pursuant to any present or future employee, director or consultant benefit plan or program of or assumed by the Corporation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591820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13" w:name="page114"/>
    <w:bookmarkEnd w:id="113"/>
    <w:p>
      <w:pPr>
        <w:ind w:right="779" w:firstLine="381"/>
        <w:spacing w:after="0" w:line="264" w:lineRule="auto"/>
        <w:tabs>
          <w:tab w:leader="none" w:pos="67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upon the issuance of any shares of Company Common Stock pursuant to any option, warrant, right or exercisable, exchangeable or convertible security outstanding as of the date shares of the Series G Preferred Stock were first issued and not substantially amended thereafter;</w:t>
      </w:r>
    </w:p>
    <w:p>
      <w:pPr>
        <w:spacing w:after="0" w:line="154" w:lineRule="exact"/>
        <w:rPr>
          <w:rFonts w:ascii="Arial" w:cs="Arial" w:eastAsia="Arial" w:hAnsi="Arial"/>
          <w:sz w:val="18"/>
          <w:szCs w:val="18"/>
          <w:color w:val="auto"/>
        </w:rPr>
      </w:pPr>
    </w:p>
    <w:p>
      <w:pPr>
        <w:ind w:left="680" w:hanging="299"/>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a change in the par value or no par value of Company Common Stock; or</w:t>
      </w:r>
    </w:p>
    <w:p>
      <w:pPr>
        <w:spacing w:after="0" w:line="184" w:lineRule="exact"/>
        <w:rPr>
          <w:rFonts w:ascii="Arial" w:cs="Arial" w:eastAsia="Arial" w:hAnsi="Arial"/>
          <w:sz w:val="18"/>
          <w:szCs w:val="18"/>
          <w:color w:val="auto"/>
        </w:rPr>
      </w:pPr>
    </w:p>
    <w:p>
      <w:pPr>
        <w:ind w:left="660" w:hanging="279"/>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accrued and unpaid dividends on the Series G Preferred Stock.</w:t>
      </w:r>
    </w:p>
    <w:p>
      <w:pPr>
        <w:spacing w:after="0" w:line="184" w:lineRule="exact"/>
        <w:rPr>
          <w:rFonts w:ascii="Arial" w:cs="Arial" w:eastAsia="Arial" w:hAnsi="Arial"/>
          <w:sz w:val="18"/>
          <w:szCs w:val="18"/>
          <w:color w:val="auto"/>
        </w:rPr>
      </w:pPr>
    </w:p>
    <w:p>
      <w:pPr>
        <w:ind w:left="1020" w:hanging="250"/>
        <w:spacing w:after="0"/>
        <w:tabs>
          <w:tab w:leader="none" w:pos="102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Whenever the Conversion Price is to be adjusted in accordance with Section 10(a) or Section 10(b), the Corporation</w:t>
      </w:r>
    </w:p>
    <w:p>
      <w:pPr>
        <w:spacing w:after="0" w:line="46" w:lineRule="exact"/>
        <w:rPr>
          <w:rFonts w:ascii="Arial" w:cs="Arial" w:eastAsia="Arial" w:hAnsi="Arial"/>
          <w:sz w:val="16"/>
          <w:szCs w:val="16"/>
          <w:color w:val="auto"/>
        </w:rPr>
      </w:pPr>
    </w:p>
    <w:p>
      <w:pPr>
        <w:ind w:right="279"/>
        <w:spacing w:after="0" w:line="268" w:lineRule="auto"/>
        <w:rPr>
          <w:rFonts w:ascii="Arial" w:cs="Arial" w:eastAsia="Arial" w:hAnsi="Arial"/>
          <w:sz w:val="16"/>
          <w:szCs w:val="16"/>
          <w:color w:val="auto"/>
        </w:rPr>
      </w:pPr>
      <w:r>
        <w:rPr>
          <w:rFonts w:ascii="Arial" w:cs="Arial" w:eastAsia="Arial" w:hAnsi="Arial"/>
          <w:sz w:val="17"/>
          <w:szCs w:val="17"/>
          <w:color w:val="auto"/>
        </w:rPr>
        <w:t>shall: (i) compute the Conversion Price in accordance with Section 10(a) or Section 10(b), taking into account the $0.01 threshold set forth in Section 10(c) hereof; (ii) as soon as practicable following the occurrence of an event that requires an adjustment to the Conversion Price pursuant to Section 10(a) or Section 10(b), taking into account the one percent threshold set forth in Section 10(c) hereof (or if the Corporation is not aware of such occurrence, as soon as practicable after becoming so aware), provide, or cause to be provided, a written notice to the Holders of the occurrence of such event; and (iii) as soon as practicable following the determination of the revised Conversion Price in accordance with Section 10(a) or Section 10(b) hereof, provide, or cause to be provided, a written notice to the Holders setting forth in reasonable detail the method by which the adjustment to the Conversion Price was determined and setting forth the revised Conversion Price.</w:t>
      </w:r>
    </w:p>
    <w:p>
      <w:pPr>
        <w:spacing w:after="0" w:line="157" w:lineRule="exact"/>
        <w:rPr>
          <w:sz w:val="20"/>
          <w:szCs w:val="20"/>
          <w:color w:val="auto"/>
        </w:rPr>
      </w:pPr>
    </w:p>
    <w:p>
      <w:pPr>
        <w:ind w:right="239" w:firstLine="778"/>
        <w:spacing w:after="0" w:line="277" w:lineRule="auto"/>
        <w:rPr>
          <w:sz w:val="20"/>
          <w:szCs w:val="20"/>
          <w:color w:val="auto"/>
        </w:rPr>
      </w:pPr>
      <w:r>
        <w:rPr>
          <w:rFonts w:ascii="Arial" w:cs="Arial" w:eastAsia="Arial" w:hAnsi="Arial"/>
          <w:sz w:val="18"/>
          <w:szCs w:val="18"/>
          <w:i w:val="1"/>
          <w:iCs w:val="1"/>
          <w:color w:val="auto"/>
        </w:rPr>
        <w:t>Section 11. Reorganization Events</w:t>
      </w:r>
      <w:r>
        <w:rPr>
          <w:rFonts w:ascii="Arial" w:cs="Arial" w:eastAsia="Arial" w:hAnsi="Arial"/>
          <w:sz w:val="18"/>
          <w:szCs w:val="18"/>
          <w:color w:val="auto"/>
        </w:rPr>
        <w:t>. (a) In the event that, for so long as any shares of Series F Preferred Stock have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converted and remain outstanding, there occurs:</w:t>
      </w:r>
    </w:p>
    <w:p>
      <w:pPr>
        <w:spacing w:after="0" w:line="130" w:lineRule="exact"/>
        <w:rPr>
          <w:sz w:val="20"/>
          <w:szCs w:val="20"/>
          <w:color w:val="auto"/>
        </w:rPr>
      </w:pPr>
    </w:p>
    <w:p>
      <w:pPr>
        <w:ind w:right="319" w:firstLine="381"/>
        <w:spacing w:after="0" w:line="264" w:lineRule="auto"/>
        <w:tabs>
          <w:tab w:leader="none" w:pos="60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consolidation, merger or other similar business combination of the Corporation with or into another Person, in each case pursuant to which the Non-Voting Common Stock will be converted into cash, securities or other property of the Corporation or another Person;</w:t>
      </w:r>
    </w:p>
    <w:p>
      <w:pPr>
        <w:spacing w:after="0" w:line="140" w:lineRule="exact"/>
        <w:rPr>
          <w:rFonts w:ascii="Arial" w:cs="Arial" w:eastAsia="Arial" w:hAnsi="Arial"/>
          <w:sz w:val="18"/>
          <w:szCs w:val="18"/>
          <w:color w:val="auto"/>
        </w:rPr>
      </w:pPr>
    </w:p>
    <w:p>
      <w:pPr>
        <w:ind w:right="179" w:firstLine="381"/>
        <w:spacing w:after="0" w:line="264" w:lineRule="auto"/>
        <w:tabs>
          <w:tab w:leader="none" w:pos="65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sale, transfer, lease or conveyance to another Person of all or substantially all of the property and assets of the Corporation, in each case pursuant to which the Non-Voting Common Stock will be converted into cash, securities or other property of the Corporation or another Person;</w:t>
      </w:r>
    </w:p>
    <w:p>
      <w:pPr>
        <w:spacing w:after="0" w:line="154" w:lineRule="exact"/>
        <w:rPr>
          <w:rFonts w:ascii="Arial" w:cs="Arial" w:eastAsia="Arial" w:hAnsi="Arial"/>
          <w:sz w:val="18"/>
          <w:szCs w:val="18"/>
          <w:color w:val="auto"/>
        </w:rPr>
      </w:pPr>
    </w:p>
    <w:p>
      <w:pPr>
        <w:ind w:right="839" w:firstLine="381"/>
        <w:spacing w:after="0" w:line="277" w:lineRule="auto"/>
        <w:tabs>
          <w:tab w:leader="none" w:pos="70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reclassification of the Non-Voting Common Stock into securities including securities other than the Non-Voting Common Stock; or</w:t>
      </w:r>
    </w:p>
    <w:p>
      <w:pPr>
        <w:spacing w:after="0" w:line="129" w:lineRule="exact"/>
        <w:rPr>
          <w:rFonts w:ascii="Arial" w:cs="Arial" w:eastAsia="Arial" w:hAnsi="Arial"/>
          <w:sz w:val="18"/>
          <w:szCs w:val="18"/>
          <w:color w:val="auto"/>
        </w:rPr>
      </w:pPr>
    </w:p>
    <w:p>
      <w:pPr>
        <w:ind w:right="319" w:firstLine="381"/>
        <w:spacing w:after="0" w:line="277" w:lineRule="auto"/>
        <w:tabs>
          <w:tab w:leader="none" w:pos="69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statutory exchange of the outstanding shares of Non-Voting Common Stock for securities of another Person (other than in connection with a merger or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621030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14" w:name="page115"/>
    <w:bookmarkEnd w:id="114"/>
    <w:p>
      <w:pPr>
        <w:ind w:left="8" w:right="179"/>
        <w:spacing w:after="0" w:line="286" w:lineRule="auto"/>
        <w:rPr>
          <w:sz w:val="20"/>
          <w:szCs w:val="20"/>
          <w:color w:val="auto"/>
        </w:rPr>
      </w:pPr>
      <w:r>
        <w:rPr>
          <w:rFonts w:ascii="Arial" w:cs="Arial" w:eastAsia="Arial" w:hAnsi="Arial"/>
          <w:sz w:val="16"/>
          <w:szCs w:val="16"/>
          <w:color w:val="auto"/>
        </w:rPr>
        <w:t>(any such event specified in this Section 10(a), a “</w:t>
      </w:r>
      <w:r>
        <w:rPr>
          <w:rFonts w:ascii="Arial" w:cs="Arial" w:eastAsia="Arial" w:hAnsi="Arial"/>
          <w:sz w:val="16"/>
          <w:szCs w:val="16"/>
          <w:u w:val="single" w:color="auto"/>
          <w:color w:val="auto"/>
        </w:rPr>
        <w:t>Reorganization Event</w:t>
      </w:r>
      <w:r>
        <w:rPr>
          <w:rFonts w:ascii="Arial" w:cs="Arial" w:eastAsia="Arial" w:hAnsi="Arial"/>
          <w:sz w:val="16"/>
          <w:szCs w:val="16"/>
          <w:color w:val="auto"/>
        </w:rPr>
        <w:t>”); then each share of such Holder’s Series G Preferred Stock outstanding immediately prior to such Reorganization Event shall remain outstanding but shall automatically convert, effective as of the close of business on the Mandatory Conversion Date with respect to the shares of Series G Preferred Stock of such Holder (with the term “</w:t>
      </w:r>
      <w:r>
        <w:rPr>
          <w:rFonts w:ascii="Arial" w:cs="Arial" w:eastAsia="Arial" w:hAnsi="Arial"/>
          <w:sz w:val="16"/>
          <w:szCs w:val="16"/>
          <w:u w:val="single" w:color="auto"/>
          <w:color w:val="auto"/>
        </w:rPr>
        <w:t>Regulatory Approval</w:t>
      </w:r>
      <w:r>
        <w:rPr>
          <w:rFonts w:ascii="Arial" w:cs="Arial" w:eastAsia="Arial" w:hAnsi="Arial"/>
          <w:sz w:val="16"/>
          <w:szCs w:val="16"/>
          <w:color w:val="auto"/>
        </w:rPr>
        <w:t>” applied for such purpose, as applicable, to the surviving entity in such Reorganization Event and its securities included in the Exchange Property (as defined below)), into the type and amount of securities, cash and other property receivable in such Reorganization Event by the holder (excluding the counterparty to the Reorganization Event or an Affiliate of such counterparty) of the greater of (i) the number of shares of Non-Voting Common Stock into which one share of Series G Preferred Stock would then be convertible assuming the receipt of the Stockholder Approvals and the Regulatory Approval and (ii) the number of shares of Non-Voting Common Stock that, if one share of Series G Preferred Stock were converted into such number of shares, would result in the fair market value of the securities, cash and other property receivable in such Reorganization Event by a Holder of such number of shares equaling the Liquidation Preference plus, in each case of clause (i) and (ii) above, all accrued and unpaid dividends, whether or not declared, up to, but excluding such date (such securities, cash and other property, the “</w:t>
      </w:r>
      <w:r>
        <w:rPr>
          <w:rFonts w:ascii="Arial" w:cs="Arial" w:eastAsia="Arial" w:hAnsi="Arial"/>
          <w:sz w:val="16"/>
          <w:szCs w:val="16"/>
          <w:u w:val="single" w:color="auto"/>
          <w:color w:val="auto"/>
        </w:rPr>
        <w:t>Exchange Property</w:t>
      </w:r>
      <w:r>
        <w:rPr>
          <w:rFonts w:ascii="Arial" w:cs="Arial" w:eastAsia="Arial" w:hAnsi="Arial"/>
          <w:sz w:val="16"/>
          <w:szCs w:val="16"/>
          <w:color w:val="auto"/>
        </w:rPr>
        <w:t>”). In the event that a Reorganization Event referenced in Section 11(a) involves common stock as all or part of the consideration being offered in a fixed exchange ratio transaction, the fair market value per share of such common stock shall be determined by reference to the average of the closing prices of such common stock for the ten Trading Day period ending immediately prior to the consummation of such Reorganization Event.</w:t>
      </w:r>
    </w:p>
    <w:p>
      <w:pPr>
        <w:spacing w:after="0" w:line="358" w:lineRule="exact"/>
        <w:rPr>
          <w:sz w:val="20"/>
          <w:szCs w:val="20"/>
          <w:color w:val="auto"/>
        </w:rPr>
      </w:pPr>
    </w:p>
    <w:p>
      <w:pPr>
        <w:ind w:left="8" w:right="939" w:firstLine="770"/>
        <w:spacing w:after="0" w:line="342" w:lineRule="auto"/>
        <w:tabs>
          <w:tab w:leader="none" w:pos="10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the event that holders of the shares of Non-Voting Common Stock have the opportunity to elect the form of consideration to be received in such transaction, the Holders shall likewise be allowed to make such an election.</w:t>
      </w:r>
    </w:p>
    <w:p>
      <w:pPr>
        <w:spacing w:after="0" w:line="83" w:lineRule="exact"/>
        <w:rPr>
          <w:rFonts w:ascii="Arial" w:cs="Arial" w:eastAsia="Arial" w:hAnsi="Arial"/>
          <w:sz w:val="16"/>
          <w:szCs w:val="16"/>
          <w:color w:val="auto"/>
        </w:rPr>
      </w:pPr>
    </w:p>
    <w:p>
      <w:pPr>
        <w:ind w:left="8" w:right="279" w:firstLine="770"/>
        <w:spacing w:after="0" w:line="264" w:lineRule="auto"/>
        <w:tabs>
          <w:tab w:leader="none" w:pos="102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above provisions of this Section 11 shall similarly apply to successive Reorganization Events and the provisions of Section 10 shall apply to any shares of capital stock of the Corporation (or any successor) received by the holders of the Company Common Stock in any such Reorganization Event.</w:t>
      </w:r>
    </w:p>
    <w:p>
      <w:pPr>
        <w:spacing w:after="0" w:line="140" w:lineRule="exact"/>
        <w:rPr>
          <w:rFonts w:ascii="Arial" w:cs="Arial" w:eastAsia="Arial" w:hAnsi="Arial"/>
          <w:sz w:val="18"/>
          <w:szCs w:val="18"/>
          <w:color w:val="auto"/>
        </w:rPr>
      </w:pPr>
    </w:p>
    <w:p>
      <w:pPr>
        <w:jc w:val="both"/>
        <w:ind w:left="8" w:right="239" w:firstLine="770"/>
        <w:spacing w:after="0" w:line="312" w:lineRule="auto"/>
        <w:tabs>
          <w:tab w:leader="none" w:pos="103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Corporation (or any successor) shall, within seven days of the consummation of any Reorganization Event, provide written notice to the Holders of such consummation of such event and of the kind and amount of the cash, securities or other property that constitutes the Exchange Property. Failure to deliver such notice shall not affect the operation of this Section 11.</w:t>
      </w:r>
    </w:p>
    <w:p>
      <w:pPr>
        <w:spacing w:after="0" w:line="119" w:lineRule="exact"/>
        <w:rPr>
          <w:rFonts w:ascii="Arial" w:cs="Arial" w:eastAsia="Arial" w:hAnsi="Arial"/>
          <w:sz w:val="16"/>
          <w:szCs w:val="16"/>
          <w:color w:val="auto"/>
        </w:rPr>
      </w:pPr>
    </w:p>
    <w:p>
      <w:pPr>
        <w:ind w:left="8" w:right="479" w:firstLine="770"/>
        <w:spacing w:after="0" w:line="264" w:lineRule="auto"/>
        <w:tabs>
          <w:tab w:leader="none" w:pos="102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Corporation shall not enter into any agreement for a transaction constituting a Reorganization Event unless such agreement provides for or does not interfere with or prevent (as applicable) conversion of the Series G Preferred Stock into the Exchange Property in a manner that is consistent with and gives effect to this Section 11.</w:t>
      </w:r>
    </w:p>
    <w:p>
      <w:pPr>
        <w:spacing w:after="0" w:line="141" w:lineRule="exact"/>
        <w:rPr>
          <w:sz w:val="20"/>
          <w:szCs w:val="20"/>
          <w:color w:val="auto"/>
        </w:rPr>
      </w:pPr>
    </w:p>
    <w:p>
      <w:pPr>
        <w:ind w:left="788"/>
        <w:spacing w:after="0"/>
        <w:rPr>
          <w:sz w:val="20"/>
          <w:szCs w:val="20"/>
          <w:color w:val="auto"/>
        </w:rPr>
      </w:pPr>
      <w:r>
        <w:rPr>
          <w:rFonts w:ascii="Arial" w:cs="Arial" w:eastAsia="Arial" w:hAnsi="Arial"/>
          <w:sz w:val="17"/>
          <w:szCs w:val="17"/>
          <w:i w:val="1"/>
          <w:iCs w:val="1"/>
          <w:color w:val="auto"/>
        </w:rPr>
        <w:t>Section 12. Voting Rights</w:t>
      </w:r>
      <w:r>
        <w:rPr>
          <w:rFonts w:ascii="Arial" w:cs="Arial" w:eastAsia="Arial" w:hAnsi="Arial"/>
          <w:sz w:val="17"/>
          <w:szCs w:val="17"/>
          <w:color w:val="auto"/>
        </w:rPr>
        <w:t>. (a) Holders will not have any voting rights, including the right to elect any directors, except</w:t>
      </w:r>
    </w:p>
    <w:p>
      <w:pPr>
        <w:spacing w:after="0" w:line="35" w:lineRule="exact"/>
        <w:rPr>
          <w:sz w:val="20"/>
          <w:szCs w:val="20"/>
          <w:color w:val="auto"/>
        </w:rPr>
      </w:pPr>
    </w:p>
    <w:p>
      <w:pPr>
        <w:ind w:left="208" w:hanging="208"/>
        <w:spacing w:after="0"/>
        <w:tabs>
          <w:tab w:leader="none" w:pos="2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voting rights, if any, required by law, and (ii) voting rights, if any, described in this Section 12.</w:t>
      </w:r>
    </w:p>
    <w:p>
      <w:pPr>
        <w:spacing w:after="0" w:line="170" w:lineRule="exact"/>
        <w:rPr>
          <w:rFonts w:ascii="Arial" w:cs="Arial" w:eastAsia="Arial" w:hAnsi="Arial"/>
          <w:sz w:val="18"/>
          <w:szCs w:val="18"/>
          <w:color w:val="auto"/>
        </w:rPr>
      </w:pPr>
    </w:p>
    <w:p>
      <w:pPr>
        <w:ind w:left="8" w:right="159" w:firstLine="770"/>
        <w:spacing w:after="0" w:line="259" w:lineRule="auto"/>
        <w:tabs>
          <w:tab w:leader="none" w:pos="10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So long as any shares of Series G Preferred Stock are outstanding, the vote or consent of the Holders of a majority of the shares of Series G Preferred Stock at the time outstanding, voting as a single class, given in person or by proxy, either in writing without a meeting or by vote at any meeting called for the purpose, will be necessary for effecting or validating any of the following actions, whether or not such approval is required by Georgia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631825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115" w:name="page116"/>
    <w:bookmarkEnd w:id="115"/>
    <w:p>
      <w:pPr>
        <w:ind w:right="219" w:firstLine="381"/>
        <w:spacing w:after="0" w:line="264" w:lineRule="auto"/>
        <w:tabs>
          <w:tab w:leader="none" w:pos="60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amendment, alteration or repeal (including by means of a merger, consolidation or otherwise) of any provision of the Articles of Incorporation (including this Certificate of Designations) or the Corporation’s bylaws that would alter or change the rights, preferences or privileges of the Series G Preferred Stock so as to affect them adversely; or</w:t>
      </w:r>
    </w:p>
    <w:p>
      <w:pPr>
        <w:spacing w:after="0" w:line="154" w:lineRule="exact"/>
        <w:rPr>
          <w:rFonts w:ascii="Arial" w:cs="Arial" w:eastAsia="Arial" w:hAnsi="Arial"/>
          <w:sz w:val="18"/>
          <w:szCs w:val="18"/>
          <w:color w:val="auto"/>
        </w:rPr>
      </w:pPr>
    </w:p>
    <w:p>
      <w:pPr>
        <w:ind w:right="339" w:firstLine="381"/>
        <w:spacing w:after="0" w:line="302" w:lineRule="auto"/>
        <w:tabs>
          <w:tab w:leader="none" w:pos="65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amendment or alteration (including by means of a merger, consolidation or otherwise) of the Corporation’s Articles of Incorporation to authorize, or create, or increase the authorized amount of, any shares of, or any securities convertible into shares of, any class or series of the Corporation’s capital stock ranking equally with or senior to the Series G Preferred Stock in the payment of dividends or in the distribution of assets on any liquidation, dissolution or winding up of the Corporation.</w:t>
      </w:r>
    </w:p>
    <w:p>
      <w:pPr>
        <w:spacing w:after="0" w:line="114" w:lineRule="exact"/>
        <w:rPr>
          <w:sz w:val="20"/>
          <w:szCs w:val="20"/>
          <w:color w:val="auto"/>
        </w:rPr>
      </w:pPr>
    </w:p>
    <w:p>
      <w:pPr>
        <w:ind w:right="199"/>
        <w:spacing w:after="0" w:line="255"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creation and issuance, or an increase in the authorized or issued amount, of any series of preferred stock or</w:t>
      </w:r>
      <w:r>
        <w:rPr>
          <w:rFonts w:ascii="Arial" w:cs="Arial" w:eastAsia="Arial" w:hAnsi="Arial"/>
          <w:sz w:val="18"/>
          <w:szCs w:val="18"/>
          <w:i w:val="1"/>
          <w:iCs w:val="1"/>
          <w:color w:val="auto"/>
        </w:rPr>
        <w:t xml:space="preserve"> </w:t>
      </w:r>
      <w:r>
        <w:rPr>
          <w:rFonts w:ascii="Arial" w:cs="Arial" w:eastAsia="Arial" w:hAnsi="Arial"/>
          <w:sz w:val="18"/>
          <w:szCs w:val="18"/>
          <w:color w:val="auto"/>
        </w:rPr>
        <w:t>any securities convertible into preferred stock ranking junior to the Series G Preferred Stock with respect to the payment of dividends (whether such dividends are cumulative or non-cumulative) and/or the distribution of assets upon the Corporation’s liquidation, dissolution or winding up will not, in and of itself, be deemed to adversely affect rights, preferences or privileges of the Series G Preferred Stock and, notwithstanding any provision of Georgia law, Holders will have no right to vote solely by reason of such an increase, creation or issuance.</w:t>
      </w:r>
    </w:p>
    <w:p>
      <w:pPr>
        <w:spacing w:after="0" w:line="153" w:lineRule="exact"/>
        <w:rPr>
          <w:sz w:val="20"/>
          <w:szCs w:val="20"/>
          <w:color w:val="auto"/>
        </w:rPr>
      </w:pPr>
    </w:p>
    <w:p>
      <w:pPr>
        <w:ind w:right="519" w:firstLine="770"/>
        <w:spacing w:after="0" w:line="264" w:lineRule="auto"/>
        <w:tabs>
          <w:tab w:leader="none" w:pos="102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Notwithstanding the foregoing, Holders shall not have any voting rights if, at or prior to the effective time of the act with respect to which such vote would otherwise be required, all outstanding shares of Series G Preferred Stock shall have been converted into shares of Non-Voting Common Stock.</w:t>
      </w:r>
    </w:p>
    <w:p>
      <w:pPr>
        <w:spacing w:after="0" w:line="154"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Section 13. Fractional Shares</w:t>
      </w:r>
      <w:r>
        <w:rPr>
          <w:rFonts w:ascii="Arial" w:cs="Arial" w:eastAsia="Arial" w:hAnsi="Arial"/>
          <w:sz w:val="18"/>
          <w:szCs w:val="18"/>
          <w:color w:val="auto"/>
        </w:rPr>
        <w:t>.</w:t>
      </w:r>
    </w:p>
    <w:p>
      <w:pPr>
        <w:spacing w:after="0" w:line="185" w:lineRule="exact"/>
        <w:rPr>
          <w:sz w:val="20"/>
          <w:szCs w:val="20"/>
          <w:color w:val="auto"/>
        </w:rPr>
      </w:pPr>
    </w:p>
    <w:p>
      <w:pPr>
        <w:ind w:right="479" w:firstLine="770"/>
        <w:spacing w:after="0" w:line="277" w:lineRule="auto"/>
        <w:tabs>
          <w:tab w:leader="none" w:pos="102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fractional shares of Non-Voting Common Stock will be issued as a result of any conversion of shares of Series G Preferred Stock.</w:t>
      </w:r>
    </w:p>
    <w:p>
      <w:pPr>
        <w:spacing w:after="0" w:line="129" w:lineRule="exact"/>
        <w:rPr>
          <w:rFonts w:ascii="Arial" w:cs="Arial" w:eastAsia="Arial" w:hAnsi="Arial"/>
          <w:sz w:val="18"/>
          <w:szCs w:val="18"/>
          <w:color w:val="auto"/>
        </w:rPr>
      </w:pPr>
    </w:p>
    <w:p>
      <w:pPr>
        <w:jc w:val="both"/>
        <w:ind w:right="219" w:firstLine="770"/>
        <w:spacing w:after="0" w:line="259" w:lineRule="auto"/>
        <w:tabs>
          <w:tab w:leader="none" w:pos="103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lieu of any fractional share of Non-Voting Common Stock otherwise issuable in respect of any mandatory conversion pursuant to Section 8 hereof, the Corporation shall pay an amount in cash (computed to the nearest cent) equal to the same fraction of the Closing Price of the Common Stock determined as of the second Trading Day immediately preceding the Mandatory Conversion Date.</w:t>
      </w:r>
    </w:p>
    <w:p>
      <w:pPr>
        <w:spacing w:after="0" w:line="159" w:lineRule="exact"/>
        <w:rPr>
          <w:rFonts w:ascii="Arial" w:cs="Arial" w:eastAsia="Arial" w:hAnsi="Arial"/>
          <w:sz w:val="18"/>
          <w:szCs w:val="18"/>
          <w:color w:val="auto"/>
        </w:rPr>
      </w:pPr>
    </w:p>
    <w:p>
      <w:pPr>
        <w:ind w:right="379" w:firstLine="770"/>
        <w:spacing w:after="0" w:line="264" w:lineRule="auto"/>
        <w:tabs>
          <w:tab w:leader="none" w:pos="102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more than one share of the Series G Preferred Stock is surrendered for conversion at one time by or for the same Holder, the number of full shares of Non-Voting Common Stock issuable upon conversion thereof shall be computed on the basis of the aggregate number of shares of the Series G Preferred Stock so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619760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16" w:name="page117"/>
    <w:bookmarkEnd w:id="116"/>
    <w:p>
      <w:pPr>
        <w:ind w:left="10"/>
        <w:spacing w:after="0"/>
        <w:rPr>
          <w:sz w:val="20"/>
          <w:szCs w:val="20"/>
          <w:color w:val="auto"/>
        </w:rPr>
      </w:pPr>
      <w:r>
        <w:rPr>
          <w:rFonts w:ascii="Arial" w:cs="Arial" w:eastAsia="Arial" w:hAnsi="Arial"/>
          <w:sz w:val="18"/>
          <w:szCs w:val="18"/>
          <w:i w:val="1"/>
          <w:iCs w:val="1"/>
          <w:color w:val="auto"/>
        </w:rPr>
        <w:t>Section 14. Reservation of Non-Voting Common Stock.</w:t>
      </w:r>
    </w:p>
    <w:p>
      <w:pPr>
        <w:spacing w:after="0" w:line="198" w:lineRule="exact"/>
        <w:rPr>
          <w:sz w:val="20"/>
          <w:szCs w:val="20"/>
          <w:color w:val="auto"/>
        </w:rPr>
      </w:pPr>
    </w:p>
    <w:p>
      <w:pPr>
        <w:ind w:left="-770" w:right="179" w:firstLine="770"/>
        <w:spacing w:after="0" w:line="287" w:lineRule="auto"/>
        <w:tabs>
          <w:tab w:leader="none" w:pos="25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Following the receipt of the Stockholder Approvals, the Corporation shall at all times reserve and keep available out of its authorized and unissued Non-Voting Common Stock or shares acquired by the Corporation, solely for issuance upon the conversion of shares of Series G Preferred Stock as provided in this Certificate of Designations free from any preemptive or other similar rights, such number of shares of Non-Voting Common Stock as shall from time to time be issuable upon the conversion of all the shares of Series G Preferred Stock then outstanding. For purposes of this Section 14(a), the number of shares of Non-Voting Common Stock that shall be deliverable upon the conversion of all outstanding shares of Series G Preferred Stock shall be computed as if at the time of computation all such outstanding shares were held by a single Holder. Following the receipt of the Stockholder Approvals, the Corporation shall at all times reserve and keep available out of its authorized and unissued Common Stock or shares acquired by the Corporation, solely for issuance upon the conversion of shares of Non-Voting Common Stock issued upon conversion of the Series G Preferred Stock free from any preemptive or other similar rights, the same number of shares of Common Stock as the number of shares of Non-Voting Common Stock reserved pursuant to the first sentence of this Section 14(a).</w:t>
      </w:r>
    </w:p>
    <w:p>
      <w:pPr>
        <w:spacing w:after="0" w:line="132" w:lineRule="exact"/>
        <w:rPr>
          <w:rFonts w:ascii="Arial" w:cs="Arial" w:eastAsia="Arial" w:hAnsi="Arial"/>
          <w:sz w:val="16"/>
          <w:szCs w:val="16"/>
          <w:color w:val="auto"/>
        </w:rPr>
      </w:pPr>
    </w:p>
    <w:p>
      <w:pPr>
        <w:ind w:left="-770" w:right="539" w:firstLine="770"/>
        <w:spacing w:after="0" w:line="259" w:lineRule="auto"/>
        <w:tabs>
          <w:tab w:leader="none" w:pos="26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Notwithstanding the foregoing, the Corporation shall be entitled to deliver upon conversion of shares of Series G Preferred Stock, as herein provided, shares of Non-Voting Common Stock acquired by the Corporation (in lieu of the issuance of authorized and unissued shares of Non-Voting Common Stock), so long as any such acquired shares are free and clear of all liens, charges, security interests or encumbrances.</w:t>
      </w:r>
    </w:p>
    <w:p>
      <w:pPr>
        <w:spacing w:after="0" w:line="146" w:lineRule="exact"/>
        <w:rPr>
          <w:rFonts w:ascii="Arial" w:cs="Arial" w:eastAsia="Arial" w:hAnsi="Arial"/>
          <w:sz w:val="18"/>
          <w:szCs w:val="18"/>
          <w:color w:val="auto"/>
        </w:rPr>
      </w:pPr>
    </w:p>
    <w:p>
      <w:pPr>
        <w:ind w:left="-770" w:right="259" w:firstLine="770"/>
        <w:spacing w:after="0" w:line="342" w:lineRule="auto"/>
        <w:tabs>
          <w:tab w:leader="none" w:pos="24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All shares of Non-Voting Common Stock delivered upon conversion of the Series G Preferred Stock shall be duly authorized, validly issued, fully paid and non-assessable, free and clear of all liens, claims, security interests and other encumbrances.</w:t>
      </w:r>
    </w:p>
    <w:p>
      <w:pPr>
        <w:spacing w:after="0" w:line="96" w:lineRule="exact"/>
        <w:rPr>
          <w:rFonts w:ascii="Arial" w:cs="Arial" w:eastAsia="Arial" w:hAnsi="Arial"/>
          <w:sz w:val="16"/>
          <w:szCs w:val="16"/>
          <w:color w:val="auto"/>
        </w:rPr>
      </w:pPr>
    </w:p>
    <w:p>
      <w:pPr>
        <w:ind w:left="-770" w:right="179" w:firstLine="770"/>
        <w:spacing w:after="0" w:line="259" w:lineRule="auto"/>
        <w:tabs>
          <w:tab w:leader="none" w:pos="26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Prior to the delivery of any securities that the Corporation shall be obligated to deliver upon conversion of the Series G Preferred Stock, the Corporation shall use its reasonable best efforts to comply with all federal and state laws and regulations thereunder requiring the registration of such securities with, or any approval of or consent to the delivery thereof by, any governmental authority.</w:t>
      </w:r>
    </w:p>
    <w:p>
      <w:pPr>
        <w:spacing w:after="0" w:line="146" w:lineRule="exact"/>
        <w:rPr>
          <w:rFonts w:ascii="Arial" w:cs="Arial" w:eastAsia="Arial" w:hAnsi="Arial"/>
          <w:sz w:val="18"/>
          <w:szCs w:val="18"/>
          <w:color w:val="auto"/>
        </w:rPr>
      </w:pPr>
    </w:p>
    <w:p>
      <w:pPr>
        <w:ind w:left="-770" w:right="179" w:firstLine="770"/>
        <w:spacing w:after="0" w:line="257" w:lineRule="auto"/>
        <w:tabs>
          <w:tab w:leader="none" w:pos="24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Corporation hereby covenants and agrees that, if at any time the Non-Voting Common Stock shall be listed on The NASDAQ Global Select Market or any other national securities exchange or automated quotation system, the Corporation will, if permitted by the rules of such exchange or automated quotation system, list and keep listed, so long as the Non-Voting Common Stock shall be so listed on such exchange or automated quotation system, all the Non-Voting Common Stock issuable upon conversion of the Series G Preferred Stock.</w:t>
      </w:r>
    </w:p>
    <w:p>
      <w:pPr>
        <w:spacing w:after="0" w:line="148" w:lineRule="exact"/>
        <w:rPr>
          <w:sz w:val="20"/>
          <w:szCs w:val="20"/>
          <w:color w:val="auto"/>
        </w:rPr>
      </w:pPr>
    </w:p>
    <w:p>
      <w:pPr>
        <w:ind w:left="10"/>
        <w:spacing w:after="0"/>
        <w:rPr>
          <w:sz w:val="20"/>
          <w:szCs w:val="20"/>
          <w:color w:val="auto"/>
        </w:rPr>
      </w:pPr>
      <w:r>
        <w:rPr>
          <w:rFonts w:ascii="Arial" w:cs="Arial" w:eastAsia="Arial" w:hAnsi="Arial"/>
          <w:sz w:val="18"/>
          <w:szCs w:val="18"/>
          <w:i w:val="1"/>
          <w:iCs w:val="1"/>
          <w:color w:val="auto"/>
        </w:rPr>
        <w:t>Section 15. Replacement Certificates</w:t>
      </w:r>
      <w:r>
        <w:rPr>
          <w:rFonts w:ascii="Arial" w:cs="Arial" w:eastAsia="Arial" w:hAnsi="Arial"/>
          <w:sz w:val="18"/>
          <w:szCs w:val="18"/>
          <w:color w:val="auto"/>
        </w:rPr>
        <w:t>.</w:t>
      </w:r>
    </w:p>
    <w:p>
      <w:pPr>
        <w:spacing w:after="0" w:line="198" w:lineRule="exact"/>
        <w:rPr>
          <w:sz w:val="20"/>
          <w:szCs w:val="20"/>
          <w:color w:val="auto"/>
        </w:rPr>
      </w:pPr>
    </w:p>
    <w:p>
      <w:pPr>
        <w:jc w:val="both"/>
        <w:ind w:left="-770" w:right="219" w:firstLine="770"/>
        <w:spacing w:after="0" w:line="259" w:lineRule="auto"/>
        <w:tabs>
          <w:tab w:leader="none" w:pos="24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Corporation shall replace any mutilated certificate at the Holder’s expense upon surrender of that certificate to the Corporation. The Corporation shall replace certificates that become destroyed, stolen or lost at the Holder’s expense upon delivery to the Corporation of satisfactory evidence that the certificate has been destroyed, stolen or lost, together with any indemnity that may be required by the Corporation.</w:t>
      </w:r>
    </w:p>
    <w:p>
      <w:pPr>
        <w:spacing w:after="0" w:line="146" w:lineRule="exact"/>
        <w:rPr>
          <w:rFonts w:ascii="Arial" w:cs="Arial" w:eastAsia="Arial" w:hAnsi="Arial"/>
          <w:sz w:val="18"/>
          <w:szCs w:val="18"/>
          <w:color w:val="auto"/>
        </w:rPr>
      </w:pPr>
    </w:p>
    <w:p>
      <w:pPr>
        <w:ind w:left="-770" w:right="319" w:firstLine="770"/>
        <w:spacing w:after="0" w:line="279" w:lineRule="auto"/>
        <w:tabs>
          <w:tab w:leader="none" w:pos="25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Corporation shall not be required to issue any certificates representing the Series G Preferred Stock on or after the Mandatory Conversion Date. In place of the delivery of a replacement certificate following the Mandatory Conversion Date, the Corporation, upon delivery of the evidence and indemnity described in clause (a) above, shall deliver the shares of Non-Voting Common Stock pursuant to the terms of the Series G Preferred Stock formerly evidenced by the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621665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09"/>
          </w:cols>
          <w:pgMar w:left="1350" w:top="935" w:right="1440" w:bottom="1440" w:gutter="0" w:footer="0" w:header="0"/>
        </w:sectPr>
      </w:pPr>
    </w:p>
    <w:bookmarkStart w:id="117" w:name="page118"/>
    <w:bookmarkEnd w:id="117"/>
    <w:p>
      <w:pPr>
        <w:ind w:left="10"/>
        <w:spacing w:after="0"/>
        <w:rPr>
          <w:sz w:val="20"/>
          <w:szCs w:val="20"/>
          <w:color w:val="auto"/>
        </w:rPr>
      </w:pPr>
      <w:r>
        <w:rPr>
          <w:rFonts w:ascii="Arial" w:cs="Arial" w:eastAsia="Arial" w:hAnsi="Arial"/>
          <w:sz w:val="18"/>
          <w:szCs w:val="18"/>
          <w:i w:val="1"/>
          <w:iCs w:val="1"/>
          <w:color w:val="auto"/>
        </w:rPr>
        <w:t>Section 16. Miscellaneous</w:t>
      </w:r>
      <w:r>
        <w:rPr>
          <w:rFonts w:ascii="Arial" w:cs="Arial" w:eastAsia="Arial" w:hAnsi="Arial"/>
          <w:sz w:val="18"/>
          <w:szCs w:val="18"/>
          <w:color w:val="auto"/>
        </w:rPr>
        <w:t>.</w:t>
      </w:r>
    </w:p>
    <w:p>
      <w:pPr>
        <w:spacing w:after="0" w:line="198" w:lineRule="exact"/>
        <w:rPr>
          <w:sz w:val="20"/>
          <w:szCs w:val="20"/>
          <w:color w:val="auto"/>
        </w:rPr>
      </w:pPr>
    </w:p>
    <w:p>
      <w:pPr>
        <w:ind w:left="-770" w:right="219" w:firstLine="770"/>
        <w:spacing w:after="0" w:line="293" w:lineRule="auto"/>
        <w:tabs>
          <w:tab w:leader="none" w:pos="24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All notices referred to herein shall be in writing, and, unless otherwise specified herein, all notices hereunder shall be deemed to have been given upon the earlier of receipt thereof or three Business Days after the mailing thereof if sent by registered or certified mail (unless first-class mail shall be specifically permitted for such notice under the terms of this Certificate of Designations) with postage prepaid, addressed: (i) if to the Corporation, to its office at 125 Highway 515 East, Blairsville, Georgia 30512 or (ii) if to any Holder, to such Holder at the address of such Holder as listed in the stock record books of the Corporation, or (iii) to such other address as the Corporation or any such Holder, as the case may be, shall have designated by notice similarly given.</w:t>
      </w:r>
    </w:p>
    <w:p>
      <w:pPr>
        <w:spacing w:after="0" w:line="124" w:lineRule="exact"/>
        <w:rPr>
          <w:rFonts w:ascii="Arial" w:cs="Arial" w:eastAsia="Arial" w:hAnsi="Arial"/>
          <w:sz w:val="16"/>
          <w:szCs w:val="16"/>
          <w:color w:val="auto"/>
        </w:rPr>
      </w:pPr>
    </w:p>
    <w:p>
      <w:pPr>
        <w:ind w:left="-770" w:right="199" w:firstLine="770"/>
        <w:spacing w:after="0" w:line="289" w:lineRule="auto"/>
        <w:tabs>
          <w:tab w:leader="none" w:pos="25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Corporation shall pay any and all stock transfer and documentary stamp taxes that may be payable in respect of any issuance or delivery of shares of Series G Preferred Stock or shares of Non-Voting Common Stock or other securities issued on account of Series G Preferred Stock pursuant hereto or certificates representing such shares or securities. The Corporation shall not, however, be required to pay any such tax that may be payable in respect of any transfer involved in the issuance or delivery of shares of Series G Preferred Stock or Non-Voting Common Stock or other securities in a name other than that in which the shares of Series G Preferred Stock with respect to which such shares or other securities are issued or delivered were registered, or in respect of any payment to any Person other than a payment to the registered holder thereof, and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spacing w:after="0" w:line="126" w:lineRule="exact"/>
        <w:rPr>
          <w:rFonts w:ascii="Arial" w:cs="Arial" w:eastAsia="Arial" w:hAnsi="Arial"/>
          <w:sz w:val="16"/>
          <w:szCs w:val="16"/>
          <w:color w:val="auto"/>
        </w:rPr>
      </w:pPr>
    </w:p>
    <w:p>
      <w:pPr>
        <w:ind w:left="-770" w:right="219" w:firstLine="770"/>
        <w:spacing w:after="0" w:line="264" w:lineRule="auto"/>
        <w:tabs>
          <w:tab w:leader="none" w:pos="24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payments on the shares of Series G Preferred Stock shall be subject to withholding and backup withholding of tax to the extent required by applicable law, subject to applicable exemptions, and amounts withheld, if any, shall be treated as received by the holders thereof.</w:t>
      </w:r>
    </w:p>
    <w:p>
      <w:pPr>
        <w:spacing w:after="0" w:line="154" w:lineRule="exact"/>
        <w:rPr>
          <w:rFonts w:ascii="Arial" w:cs="Arial" w:eastAsia="Arial" w:hAnsi="Arial"/>
          <w:sz w:val="18"/>
          <w:szCs w:val="18"/>
          <w:color w:val="auto"/>
        </w:rPr>
      </w:pPr>
    </w:p>
    <w:p>
      <w:pPr>
        <w:ind w:left="-770" w:right="899" w:firstLine="770"/>
        <w:spacing w:after="0" w:line="312" w:lineRule="auto"/>
        <w:tabs>
          <w:tab w:leader="none" w:pos="26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No share of Series G Preferred Stock shall have any rights of preemption whatsoever under this Certificate of Designations as to any securities of the Corporation, or any warrants, rights or options issued or granted with respect thereto, regardless of how such securities, or such warrants, rights or options, may be designated issued or granted.</w:t>
      </w:r>
    </w:p>
    <w:p>
      <w:pPr>
        <w:spacing w:after="0" w:line="106" w:lineRule="exact"/>
        <w:rPr>
          <w:rFonts w:ascii="Arial" w:cs="Arial" w:eastAsia="Arial" w:hAnsi="Arial"/>
          <w:sz w:val="16"/>
          <w:szCs w:val="16"/>
          <w:color w:val="auto"/>
        </w:rPr>
      </w:pPr>
    </w:p>
    <w:p>
      <w:pPr>
        <w:ind w:left="-770" w:right="279" w:firstLine="770"/>
        <w:spacing w:after="0" w:line="264" w:lineRule="auto"/>
        <w:tabs>
          <w:tab w:leader="none" w:pos="24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shares of Series G Preferred Stock shall not have any voting powers, preferences or relative, participating, optional or other special rights, or qualifications, limitations or restrictions thereof, other than as set forth herein or in the Articles of Incorporation or as provided by applicable law.</w:t>
      </w:r>
    </w:p>
    <w:p>
      <w:pPr>
        <w:spacing w:after="0" w:line="140" w:lineRule="exact"/>
        <w:rPr>
          <w:rFonts w:ascii="Arial" w:cs="Arial" w:eastAsia="Arial" w:hAnsi="Arial"/>
          <w:sz w:val="18"/>
          <w:szCs w:val="18"/>
          <w:color w:val="auto"/>
        </w:rPr>
      </w:pPr>
    </w:p>
    <w:p>
      <w:pPr>
        <w:ind w:left="-770" w:right="199" w:firstLine="770"/>
        <w:spacing w:after="0" w:line="277" w:lineRule="auto"/>
        <w:tabs>
          <w:tab w:leader="none" w:pos="22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Corporation covenants (1) not to treat the Series G Preferred Stock as preferred stock for purposes of Section 305 of the Internal Revenue Code of 1986, as amended, except as otherwise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621030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09"/>
          </w:cols>
          <w:pgMar w:left="1350" w:top="935" w:right="1440" w:bottom="1440" w:gutter="0" w:footer="0" w:header="0"/>
        </w:sectPr>
      </w:pPr>
    </w:p>
    <w:bookmarkStart w:id="118" w:name="page119"/>
    <w:bookmarkEnd w:id="118"/>
    <w:p>
      <w:pPr>
        <w:jc w:val="center"/>
        <w:ind w:right="179"/>
        <w:spacing w:after="0"/>
        <w:rPr>
          <w:sz w:val="20"/>
          <w:szCs w:val="20"/>
          <w:color w:val="auto"/>
        </w:rPr>
      </w:pPr>
      <w:r>
        <w:rPr>
          <w:rFonts w:ascii="Arial" w:cs="Arial" w:eastAsia="Arial" w:hAnsi="Arial"/>
          <w:sz w:val="18"/>
          <w:szCs w:val="18"/>
          <w:b w:val="1"/>
          <w:bCs w:val="1"/>
          <w:color w:val="auto"/>
        </w:rPr>
        <w:t>ARTICLES OF AMENDMENT</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UNITED COMMUNITY BANKS, INC.</w:t>
      </w:r>
    </w:p>
    <w:p>
      <w:pPr>
        <w:spacing w:after="0" w:line="1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185" w:lineRule="exact"/>
        <w:rPr>
          <w:sz w:val="20"/>
          <w:szCs w:val="20"/>
          <w:color w:val="auto"/>
        </w:rPr>
      </w:pPr>
    </w:p>
    <w:p>
      <w:pPr>
        <w:ind w:right="179"/>
        <w:spacing w:after="0" w:line="264" w:lineRule="auto"/>
        <w:rPr>
          <w:sz w:val="20"/>
          <w:szCs w:val="20"/>
          <w:color w:val="auto"/>
        </w:rPr>
      </w:pPr>
      <w:r>
        <w:rPr>
          <w:rFonts w:ascii="Arial" w:cs="Arial" w:eastAsia="Arial" w:hAnsi="Arial"/>
          <w:sz w:val="18"/>
          <w:szCs w:val="18"/>
          <w:color w:val="auto"/>
        </w:rPr>
        <w:t xml:space="preserve">The Restated Articles of Incorporation, as amended, of the corporation are amended by adding the powers, rights, and preferences, and the qualifications, limitations, and restrictions thereof, of the Junior Participating Preferred Stock, Series E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185" w:lineRule="exact"/>
        <w:rPr>
          <w:sz w:val="20"/>
          <w:szCs w:val="20"/>
          <w:color w:val="auto"/>
        </w:rPr>
      </w:pPr>
    </w:p>
    <w:p>
      <w:pPr>
        <w:ind w:right="279"/>
        <w:spacing w:after="0" w:line="264" w:lineRule="auto"/>
        <w:rPr>
          <w:sz w:val="20"/>
          <w:szCs w:val="20"/>
          <w:color w:val="auto"/>
        </w:rPr>
      </w:pPr>
      <w:r>
        <w:rPr>
          <w:rFonts w:ascii="Arial" w:cs="Arial" w:eastAsia="Arial" w:hAnsi="Arial"/>
          <w:sz w:val="18"/>
          <w:szCs w:val="18"/>
          <w:color w:val="auto"/>
        </w:rPr>
        <w:t>The amendment was adopted by the board of directors of the corporation at a meeting duly convened and held on January 17, 2011. Pursuant to O.C.G.A. § 14-2-602 and Article V of the Restated Articles of Incorporation, as amended, of the corporation, shareholder consent was not required.</w:t>
      </w:r>
    </w:p>
    <w:p>
      <w:pPr>
        <w:spacing w:after="0" w:line="137" w:lineRule="exact"/>
        <w:rPr>
          <w:sz w:val="20"/>
          <w:szCs w:val="20"/>
          <w:color w:val="auto"/>
        </w:rPr>
      </w:pPr>
    </w:p>
    <w:p>
      <w:pPr>
        <w:ind w:right="299"/>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these Articles of Amendment to the Restated Articles of Incorporation,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of United Community Banks, Inc. this 22nd day of February, 2011.</w:t>
      </w:r>
    </w:p>
    <w:p>
      <w:pPr>
        <w:spacing w:after="0" w:line="162"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 /s/ Lois J. Rich</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Name: Lois J.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-130810</wp:posOffset>
            </wp:positionV>
            <wp:extent cx="23926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4600"/>
        <w:spacing w:after="0"/>
        <w:tabs>
          <w:tab w:leader="none" w:pos="5160" w:val="left"/>
        </w:tabs>
        <w:rPr>
          <w:sz w:val="20"/>
          <w:szCs w:val="20"/>
          <w:color w:val="auto"/>
        </w:rPr>
      </w:pPr>
      <w:r>
        <w:rPr>
          <w:rFonts w:ascii="Arial" w:cs="Arial" w:eastAsia="Arial" w:hAnsi="Arial"/>
          <w:sz w:val="18"/>
          <w:szCs w:val="18"/>
          <w:color w:val="auto"/>
        </w:rPr>
        <w:t>Title:</w:t>
        <w:tab/>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19" w:name="page120"/>
    <w:bookmarkEnd w:id="119"/>
    <w:p>
      <w:pPr>
        <w:jc w:val="right"/>
        <w:ind w:right="159"/>
        <w:spacing w:after="0"/>
        <w:rPr>
          <w:sz w:val="20"/>
          <w:szCs w:val="20"/>
          <w:color w:val="auto"/>
        </w:rPr>
      </w:pPr>
      <w:r>
        <w:rPr>
          <w:rFonts w:ascii="Arial" w:cs="Arial" w:eastAsia="Arial" w:hAnsi="Arial"/>
          <w:sz w:val="18"/>
          <w:szCs w:val="18"/>
          <w:b w:val="1"/>
          <w:bCs w:val="1"/>
          <w:color w:val="auto"/>
        </w:rPr>
        <w:t>Exhibit A</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DESIGNATIONS, POWERS, PREFERENCES,</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LIMITATIONS, RESTRICTIONS, AND RELATIVE RIGHTS</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JUNIOR PARTICIPATING PREFERRED STOCK, SERIES E</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UNITED COMMUNITY BANKS, INC.</w:t>
      </w:r>
    </w:p>
    <w:p>
      <w:pPr>
        <w:spacing w:after="0" w:line="185" w:lineRule="exact"/>
        <w:rPr>
          <w:sz w:val="20"/>
          <w:szCs w:val="20"/>
          <w:color w:val="auto"/>
        </w:rPr>
      </w:pPr>
    </w:p>
    <w:p>
      <w:pPr>
        <w:ind w:left="8" w:right="199"/>
        <w:spacing w:after="0" w:line="295" w:lineRule="auto"/>
        <w:rPr>
          <w:sz w:val="20"/>
          <w:szCs w:val="20"/>
          <w:color w:val="auto"/>
        </w:rPr>
      </w:pPr>
      <w:r>
        <w:rPr>
          <w:rFonts w:ascii="Arial" w:cs="Arial" w:eastAsia="Arial" w:hAnsi="Arial"/>
          <w:sz w:val="16"/>
          <w:szCs w:val="16"/>
          <w:b w:val="1"/>
          <w:bCs w:val="1"/>
          <w:color w:val="auto"/>
        </w:rPr>
        <w:t xml:space="preserve">Section 1. Designation And Amount. </w:t>
      </w:r>
      <w:r>
        <w:rPr>
          <w:rFonts w:ascii="Arial" w:cs="Arial" w:eastAsia="Arial" w:hAnsi="Arial"/>
          <w:sz w:val="16"/>
          <w:szCs w:val="16"/>
          <w:color w:val="auto"/>
        </w:rPr>
        <w:t>The shares of such series shall be designated as “Junior Participating Preferred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Series E,” $1.00 par value per share (the “</w:t>
      </w:r>
      <w:r>
        <w:rPr>
          <w:rFonts w:ascii="Arial" w:cs="Arial" w:eastAsia="Arial" w:hAnsi="Arial"/>
          <w:sz w:val="16"/>
          <w:szCs w:val="16"/>
          <w:b w:val="1"/>
          <w:bCs w:val="1"/>
          <w:i w:val="1"/>
          <w:iCs w:val="1"/>
          <w:color w:val="auto"/>
        </w:rPr>
        <w:t>Series E Preferred Stock</w:t>
      </w:r>
      <w:r>
        <w:rPr>
          <w:rFonts w:ascii="Arial" w:cs="Arial" w:eastAsia="Arial" w:hAnsi="Arial"/>
          <w:sz w:val="16"/>
          <w:szCs w:val="16"/>
          <w:color w:val="auto"/>
        </w:rPr>
        <w:t>”), and the number of shares constituting the Series E Preferred Stock shall be 1,000,000. Such number of shares may be increased or decreased by resolution of the Board of Directors; provided, that no decrease shall reduce the number of shares of Series E Preferred stock to a number less than the number of shares then outstanding plus the number of shares reserved for issuance upon the exercise of outstanding options, rights, or warrants or upon the conversion of any outstanding securities issued by the Company convertible into Series E Preferred Stock.</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Section 2. Dividends And Distributions.</w:t>
      </w:r>
    </w:p>
    <w:p>
      <w:pPr>
        <w:spacing w:after="0" w:line="202" w:lineRule="exact"/>
        <w:rPr>
          <w:sz w:val="20"/>
          <w:szCs w:val="20"/>
          <w:color w:val="auto"/>
        </w:rPr>
      </w:pPr>
    </w:p>
    <w:p>
      <w:pPr>
        <w:ind w:left="8" w:right="199" w:hanging="8"/>
        <w:spacing w:after="0" w:line="286" w:lineRule="auto"/>
        <w:tabs>
          <w:tab w:leader="none" w:pos="25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Subject to the rights of the holders of any shares of any series of Preferred Stock (or any similar stock) ranking prior and superior to the Series E Preferred Stock with respect to dividends, the holders of shares of Series E Preferred Stock shall be entitled to receive, when, as, and if declared by the Board of Directors out of funds legally available for the purpose, dividends in an amount per share (rounded to the nearest cent) equal to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In the event the Company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E Preferred Stock were entitled immediately prior to such event under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34" w:lineRule="exact"/>
        <w:rPr>
          <w:rFonts w:ascii="Arial" w:cs="Arial" w:eastAsia="Arial" w:hAnsi="Arial"/>
          <w:sz w:val="16"/>
          <w:szCs w:val="16"/>
          <w:color w:val="auto"/>
        </w:rPr>
      </w:pPr>
    </w:p>
    <w:p>
      <w:pPr>
        <w:ind w:left="8" w:right="199" w:hanging="8"/>
        <w:spacing w:after="0" w:line="257" w:lineRule="auto"/>
        <w:tabs>
          <w:tab w:leader="none" w:pos="26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Dividends paid on the shares of Series E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E Preferred Stock entitled to receive payment of a dividend or distribution declared thereon, which record date shall be not more than 60 days prior to the date fixed for the payment thereof.</w:t>
      </w:r>
    </w:p>
    <w:p>
      <w:pPr>
        <w:spacing w:after="0" w:line="144" w:lineRule="exact"/>
        <w:rPr>
          <w:sz w:val="20"/>
          <w:szCs w:val="20"/>
          <w:color w:val="auto"/>
        </w:rPr>
      </w:pPr>
    </w:p>
    <w:p>
      <w:pPr>
        <w:ind w:left="8" w:right="179"/>
        <w:spacing w:after="0" w:line="282" w:lineRule="auto"/>
        <w:rPr>
          <w:sz w:val="20"/>
          <w:szCs w:val="20"/>
          <w:color w:val="auto"/>
        </w:rPr>
      </w:pPr>
      <w:r>
        <w:rPr>
          <w:rFonts w:ascii="Arial" w:cs="Arial" w:eastAsia="Arial" w:hAnsi="Arial"/>
          <w:sz w:val="18"/>
          <w:szCs w:val="18"/>
          <w:b w:val="1"/>
          <w:bCs w:val="1"/>
          <w:color w:val="auto"/>
        </w:rPr>
        <w:t xml:space="preserve">Section 3. Voting Rights. </w:t>
      </w:r>
      <w:r>
        <w:rPr>
          <w:rFonts w:ascii="Arial" w:cs="Arial" w:eastAsia="Arial" w:hAnsi="Arial"/>
          <w:sz w:val="18"/>
          <w:szCs w:val="18"/>
          <w:color w:val="auto"/>
        </w:rPr>
        <w:t>In addition to any other voting rights required by law, the holders of shares of Series E Preferred Stock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following voting rights:</w:t>
      </w:r>
    </w:p>
    <w:p>
      <w:pPr>
        <w:spacing w:after="0" w:line="139" w:lineRule="exact"/>
        <w:rPr>
          <w:sz w:val="20"/>
          <w:szCs w:val="20"/>
          <w:color w:val="auto"/>
        </w:rPr>
      </w:pPr>
    </w:p>
    <w:p>
      <w:pPr>
        <w:ind w:left="8" w:right="219" w:hanging="8"/>
        <w:spacing w:after="0" w:line="290" w:lineRule="auto"/>
        <w:tabs>
          <w:tab w:leader="none" w:pos="25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Subject to the provision for adjustment hereinafter set forth, each share of Series E Preferred Stock shall entitle the holder thereof to 100 votes on all matters submitted to a vote of the shareholders of the Company. In the event the Company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E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spacing w:after="0" w:line="317"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337" w:right="1440" w:bottom="1440" w:gutter="0" w:footer="0" w:header="0"/>
        </w:sectPr>
      </w:pPr>
    </w:p>
    <w:bookmarkStart w:id="120" w:name="page121"/>
    <w:bookmarkEnd w:id="120"/>
    <w:p>
      <w:pPr>
        <w:ind w:left="8" w:right="179" w:hanging="8"/>
        <w:spacing w:after="0" w:line="259" w:lineRule="auto"/>
        <w:tabs>
          <w:tab w:leader="none" w:pos="26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Except as otherwise provided herein, in any other Certificate of Designations creating a series of Preferred Stock or any similar Stock, or by law, the holders of shares of Series E Preferred Stock and the holders of shares of Common Stock and any other capital stock of the Company having general voting rights shall vote together as one class on all matters submitted to a vote of shareholders of the Company.</w:t>
      </w:r>
    </w:p>
    <w:p>
      <w:pPr>
        <w:spacing w:after="0" w:line="159" w:lineRule="exact"/>
        <w:rPr>
          <w:rFonts w:ascii="Arial" w:cs="Arial" w:eastAsia="Arial" w:hAnsi="Arial"/>
          <w:sz w:val="18"/>
          <w:szCs w:val="18"/>
          <w:color w:val="auto"/>
        </w:rPr>
      </w:pPr>
    </w:p>
    <w:p>
      <w:pPr>
        <w:ind w:left="8" w:right="199" w:hanging="8"/>
        <w:spacing w:after="0" w:line="264" w:lineRule="auto"/>
        <w:tabs>
          <w:tab w:leader="none" w:pos="25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Except as set forth herein, or as otherwise provided by law, holders of Series E Preferred Stock shall have no special voting rights and their consent shall not be required (except to the extent they are entitled to vote with holders of Common Stock as set forth herein) for taking any corporate action.</w:t>
      </w:r>
    </w:p>
    <w:p>
      <w:pPr>
        <w:spacing w:after="0" w:line="137" w:lineRule="exact"/>
        <w:rPr>
          <w:sz w:val="20"/>
          <w:szCs w:val="20"/>
          <w:color w:val="auto"/>
        </w:rPr>
      </w:pPr>
    </w:p>
    <w:p>
      <w:pPr>
        <w:ind w:left="8" w:right="199"/>
        <w:spacing w:after="0" w:line="277" w:lineRule="auto"/>
        <w:rPr>
          <w:sz w:val="20"/>
          <w:szCs w:val="20"/>
          <w:color w:val="auto"/>
        </w:rPr>
      </w:pPr>
      <w:r>
        <w:rPr>
          <w:rFonts w:ascii="Arial" w:cs="Arial" w:eastAsia="Arial" w:hAnsi="Arial"/>
          <w:sz w:val="17"/>
          <w:szCs w:val="17"/>
          <w:b w:val="1"/>
          <w:bCs w:val="1"/>
          <w:color w:val="auto"/>
        </w:rPr>
        <w:t xml:space="preserve">Section 4. Reacquired Shares. </w:t>
      </w:r>
      <w:r>
        <w:rPr>
          <w:rFonts w:ascii="Arial" w:cs="Arial" w:eastAsia="Arial" w:hAnsi="Arial"/>
          <w:sz w:val="17"/>
          <w:szCs w:val="17"/>
          <w:color w:val="auto"/>
        </w:rPr>
        <w:t>Any shares of Series E Preferred Stock purchased or otherwise acquired by the Company in any</w:t>
      </w:r>
      <w:r>
        <w:rPr>
          <w:rFonts w:ascii="Arial" w:cs="Arial" w:eastAsia="Arial" w:hAnsi="Arial"/>
          <w:sz w:val="17"/>
          <w:szCs w:val="17"/>
          <w:b w:val="1"/>
          <w:bCs w:val="1"/>
          <w:color w:val="auto"/>
        </w:rPr>
        <w:t xml:space="preserve"> </w:t>
      </w:r>
      <w:r>
        <w:rPr>
          <w:rFonts w:ascii="Arial" w:cs="Arial" w:eastAsia="Arial" w:hAnsi="Arial"/>
          <w:sz w:val="17"/>
          <w:szCs w:val="17"/>
          <w:color w:val="auto"/>
        </w:rPr>
        <w:t>manner whatsoever shall be retired and canceled promptly after the acquisition thereof. All such shares shall upon their cancellation become authorized but unissued shares of Preferred Stock and may be reissued as part of a new series of the Preferred Stock subject to the conditions and restrictions on issuance set forth herein, in the Articles, or in any other Certificate of Designation creating a series of Preferred Stock or any similar stock or as otherwise required by law.</w:t>
      </w:r>
    </w:p>
    <w:p>
      <w:pPr>
        <w:spacing w:after="0" w:line="128" w:lineRule="exact"/>
        <w:rPr>
          <w:sz w:val="20"/>
          <w:szCs w:val="20"/>
          <w:color w:val="auto"/>
        </w:rPr>
      </w:pPr>
    </w:p>
    <w:p>
      <w:pPr>
        <w:ind w:left="8" w:right="159"/>
        <w:spacing w:after="0" w:line="268" w:lineRule="auto"/>
        <w:rPr>
          <w:sz w:val="20"/>
          <w:szCs w:val="20"/>
          <w:color w:val="auto"/>
        </w:rPr>
      </w:pPr>
      <w:r>
        <w:rPr>
          <w:rFonts w:ascii="Arial" w:cs="Arial" w:eastAsia="Arial" w:hAnsi="Arial"/>
          <w:sz w:val="17"/>
          <w:szCs w:val="17"/>
          <w:b w:val="1"/>
          <w:bCs w:val="1"/>
          <w:color w:val="auto"/>
        </w:rPr>
        <w:t xml:space="preserve">Section 5. Liquidation, Dissolution Or Winding Up. </w:t>
      </w:r>
      <w:r>
        <w:rPr>
          <w:rFonts w:ascii="Arial" w:cs="Arial" w:eastAsia="Arial" w:hAnsi="Arial"/>
          <w:sz w:val="17"/>
          <w:szCs w:val="17"/>
          <w:color w:val="auto"/>
        </w:rPr>
        <w:t>Upon any liquidation, dissolution or winding up of the Company, no</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shall be made (a) to the holders of shares of stock ranking junior (either as to dividends or upon liquidation, dissolution or winding up) to the Series E Preferred Stock unless, prior thereto, the holders of shares of Series E Preferred Stock shall have received $100 per share, and any such additional amount such that the holders of shares of Series E Preferred Stock shall be entitled to receive an aggregate amount per share, subject to the provision for adjustment hereinafter set forth, equal to 100 times the aggregate amount to be distributed per share to holders of shares of Common Stock, or (b) to the holders of shares of stock ranking on a parity (either as to dividends or upon liquidation, dissolution or winding up) with the Series E Preferred Stock, except distributions made ratable on the Series E Preferred Stock and all such parity stock in proportion to the total amounts to which the holders of all such shares are entitled upon such liquidation, dissolution or winding up. In the event the Company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E Preferred Stock were entitled immediately prior to such event under the proviso in clause (a)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spacing w:after="0" w:line="350"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21" w:name="page122"/>
    <w:bookmarkEnd w:id="121"/>
    <w:p>
      <w:pPr>
        <w:ind w:right="159"/>
        <w:spacing w:after="0" w:line="269" w:lineRule="auto"/>
        <w:rPr>
          <w:sz w:val="20"/>
          <w:szCs w:val="20"/>
          <w:color w:val="auto"/>
        </w:rPr>
      </w:pPr>
      <w:r>
        <w:rPr>
          <w:rFonts w:ascii="Arial" w:cs="Arial" w:eastAsia="Arial" w:hAnsi="Arial"/>
          <w:sz w:val="17"/>
          <w:szCs w:val="17"/>
          <w:b w:val="1"/>
          <w:bCs w:val="1"/>
          <w:color w:val="auto"/>
        </w:rPr>
        <w:t xml:space="preserve">Section 6. Consolidation, Merger, Etc. </w:t>
      </w:r>
      <w:r>
        <w:rPr>
          <w:rFonts w:ascii="Arial" w:cs="Arial" w:eastAsia="Arial" w:hAnsi="Arial"/>
          <w:sz w:val="17"/>
          <w:szCs w:val="17"/>
          <w:color w:val="auto"/>
        </w:rPr>
        <w:t>In case the Company shall enter into any consolidation, merger, combination,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in which the shares of Common Stock are exchanged for or changed into other stock or securities, cash, and/or any other property, then in any such case each share of Series E Preferred Stock shall at the same time be similarly exchanged or changed into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Company shall at any time declare or pay any dividend on the Common Stock payable in shares of Common Stock, or effect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E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7. No Redemption. </w:t>
      </w:r>
      <w:r>
        <w:rPr>
          <w:rFonts w:ascii="Arial" w:cs="Arial" w:eastAsia="Arial" w:hAnsi="Arial"/>
          <w:sz w:val="18"/>
          <w:szCs w:val="18"/>
          <w:color w:val="auto"/>
        </w:rPr>
        <w:t>The shares of Series E Preferred Stock shall not be redeemable.</w:t>
      </w:r>
    </w:p>
    <w:p>
      <w:pPr>
        <w:spacing w:after="0" w:line="185" w:lineRule="exact"/>
        <w:rPr>
          <w:sz w:val="20"/>
          <w:szCs w:val="20"/>
          <w:color w:val="auto"/>
        </w:rPr>
      </w:pPr>
    </w:p>
    <w:p>
      <w:pPr>
        <w:ind w:right="259"/>
        <w:spacing w:after="0" w:line="347" w:lineRule="auto"/>
        <w:rPr>
          <w:sz w:val="20"/>
          <w:szCs w:val="20"/>
          <w:color w:val="auto"/>
        </w:rPr>
      </w:pPr>
      <w:r>
        <w:rPr>
          <w:rFonts w:ascii="Arial" w:cs="Arial" w:eastAsia="Arial" w:hAnsi="Arial"/>
          <w:sz w:val="16"/>
          <w:szCs w:val="16"/>
          <w:b w:val="1"/>
          <w:bCs w:val="1"/>
          <w:color w:val="auto"/>
        </w:rPr>
        <w:t xml:space="preserve">Section 8. Rank. </w:t>
      </w:r>
      <w:r>
        <w:rPr>
          <w:rFonts w:ascii="Arial" w:cs="Arial" w:eastAsia="Arial" w:hAnsi="Arial"/>
          <w:sz w:val="16"/>
          <w:szCs w:val="16"/>
          <w:color w:val="auto"/>
        </w:rPr>
        <w:t>The Series E Preferred Stock shall rank, with respect to the payment of dividends and the distribution of assets,</w:t>
      </w:r>
      <w:r>
        <w:rPr>
          <w:rFonts w:ascii="Arial" w:cs="Arial" w:eastAsia="Arial" w:hAnsi="Arial"/>
          <w:sz w:val="16"/>
          <w:szCs w:val="16"/>
          <w:b w:val="1"/>
          <w:bCs w:val="1"/>
          <w:color w:val="auto"/>
        </w:rPr>
        <w:t xml:space="preserve"> </w:t>
      </w:r>
      <w:r>
        <w:rPr>
          <w:rFonts w:ascii="Arial" w:cs="Arial" w:eastAsia="Arial" w:hAnsi="Arial"/>
          <w:sz w:val="16"/>
          <w:szCs w:val="16"/>
          <w:color w:val="auto"/>
        </w:rPr>
        <w:t>junior to all series of any other class of the Company’s Preferred Stock and shall rank senior to the Common Stock as to such matters.</w:t>
      </w:r>
    </w:p>
    <w:p>
      <w:pPr>
        <w:spacing w:after="0" w:line="76" w:lineRule="exact"/>
        <w:rPr>
          <w:sz w:val="20"/>
          <w:szCs w:val="20"/>
          <w:color w:val="auto"/>
        </w:rPr>
      </w:pPr>
    </w:p>
    <w:p>
      <w:pPr>
        <w:ind w:right="279"/>
        <w:spacing w:after="0" w:line="289" w:lineRule="auto"/>
        <w:rPr>
          <w:sz w:val="20"/>
          <w:szCs w:val="20"/>
          <w:color w:val="auto"/>
        </w:rPr>
      </w:pPr>
      <w:r>
        <w:rPr>
          <w:rFonts w:ascii="Arial" w:cs="Arial" w:eastAsia="Arial" w:hAnsi="Arial"/>
          <w:sz w:val="17"/>
          <w:szCs w:val="17"/>
          <w:b w:val="1"/>
          <w:bCs w:val="1"/>
          <w:color w:val="auto"/>
        </w:rPr>
        <w:t xml:space="preserve">Section 9. Amendment. </w:t>
      </w:r>
      <w:r>
        <w:rPr>
          <w:rFonts w:ascii="Arial" w:cs="Arial" w:eastAsia="Arial" w:hAnsi="Arial"/>
          <w:sz w:val="17"/>
          <w:szCs w:val="17"/>
          <w:color w:val="auto"/>
        </w:rPr>
        <w:t>The Articles shall not be amended in any manner which would materially alter or change the powers,</w:t>
      </w:r>
      <w:r>
        <w:rPr>
          <w:rFonts w:ascii="Arial" w:cs="Arial" w:eastAsia="Arial" w:hAnsi="Arial"/>
          <w:sz w:val="17"/>
          <w:szCs w:val="17"/>
          <w:b w:val="1"/>
          <w:bCs w:val="1"/>
          <w:color w:val="auto"/>
        </w:rPr>
        <w:t xml:space="preserve"> </w:t>
      </w:r>
      <w:r>
        <w:rPr>
          <w:rFonts w:ascii="Arial" w:cs="Arial" w:eastAsia="Arial" w:hAnsi="Arial"/>
          <w:sz w:val="17"/>
          <w:szCs w:val="17"/>
          <w:color w:val="auto"/>
        </w:rPr>
        <w:t>preferences, or special rights of the Series E Preferred Stock so as to affect them adversely without the affirmative vote of the holders of at least a majority of the outstanding shares of Series E Preferred Stock, voting together as a single class.</w:t>
      </w:r>
    </w:p>
    <w:p>
      <w:pPr>
        <w:spacing w:after="0" w:line="200" w:lineRule="exact"/>
        <w:rPr>
          <w:sz w:val="20"/>
          <w:szCs w:val="20"/>
          <w:color w:val="auto"/>
        </w:rPr>
      </w:pP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122" w:name="page123"/>
    <w:bookmarkEnd w:id="122"/>
    <w:p>
      <w:pPr>
        <w:jc w:val="center"/>
        <w:ind w:right="179"/>
        <w:spacing w:after="0"/>
        <w:rPr>
          <w:sz w:val="20"/>
          <w:szCs w:val="20"/>
          <w:color w:val="auto"/>
        </w:rPr>
      </w:pPr>
      <w:r>
        <w:rPr>
          <w:rFonts w:ascii="Arial" w:cs="Arial" w:eastAsia="Arial" w:hAnsi="Arial"/>
          <w:sz w:val="18"/>
          <w:szCs w:val="18"/>
          <w:b w:val="1"/>
          <w:bCs w:val="1"/>
          <w:color w:val="auto"/>
        </w:rPr>
        <w:t>ARTICLES OF AMENDMENT</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UNITED COMMUNITY BANKS, INC.</w:t>
      </w:r>
    </w:p>
    <w:p>
      <w:pPr>
        <w:spacing w:after="0" w:line="1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185" w:lineRule="exact"/>
        <w:rPr>
          <w:sz w:val="20"/>
          <w:szCs w:val="20"/>
          <w:color w:val="auto"/>
        </w:rPr>
      </w:pPr>
    </w:p>
    <w:p>
      <w:pPr>
        <w:ind w:right="179"/>
        <w:spacing w:after="0" w:line="264" w:lineRule="auto"/>
        <w:rPr>
          <w:sz w:val="20"/>
          <w:szCs w:val="20"/>
          <w:color w:val="auto"/>
        </w:rPr>
      </w:pPr>
      <w:r>
        <w:rPr>
          <w:rFonts w:ascii="Arial" w:cs="Arial" w:eastAsia="Arial" w:hAnsi="Arial"/>
          <w:sz w:val="18"/>
          <w:szCs w:val="18"/>
          <w:color w:val="auto"/>
        </w:rPr>
        <w:t xml:space="preserve">The Restated Articles of Incorporation, as amended, of the corporation are amended by adding the powers, rights, and preferences, and the qualifications, limitations, and restrictions thereof, of the Cumulative Perpetual Preferred Stock, Series D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185" w:lineRule="exact"/>
        <w:rPr>
          <w:sz w:val="20"/>
          <w:szCs w:val="20"/>
          <w:color w:val="auto"/>
        </w:rPr>
      </w:pPr>
    </w:p>
    <w:p>
      <w:pPr>
        <w:ind w:right="279"/>
        <w:spacing w:after="0" w:line="264" w:lineRule="auto"/>
        <w:rPr>
          <w:sz w:val="20"/>
          <w:szCs w:val="20"/>
          <w:color w:val="auto"/>
        </w:rPr>
      </w:pPr>
      <w:r>
        <w:rPr>
          <w:rFonts w:ascii="Arial" w:cs="Arial" w:eastAsia="Arial" w:hAnsi="Arial"/>
          <w:sz w:val="18"/>
          <w:szCs w:val="18"/>
          <w:color w:val="auto"/>
        </w:rPr>
        <w:t>The amendment was adopted by the board of directors of the corporation at a meeting duly convened and held on January 17, 2011. Pursuant to O.C.G.A. § 14-2-602 and Article V of the Restated Articles of Incorporation, as amended, of the corporation, shareholder consent was not required.</w:t>
      </w:r>
    </w:p>
    <w:p>
      <w:pPr>
        <w:spacing w:after="0" w:line="137" w:lineRule="exact"/>
        <w:rPr>
          <w:sz w:val="20"/>
          <w:szCs w:val="20"/>
          <w:color w:val="auto"/>
        </w:rPr>
      </w:pPr>
    </w:p>
    <w:p>
      <w:pPr>
        <w:ind w:right="299"/>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these Articles of Amendment to the Restated Articles of Incorporation,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of United Community Banks, Inc. this 22nd day of February, 2011.</w:t>
      </w:r>
    </w:p>
    <w:p>
      <w:pPr>
        <w:spacing w:after="0" w:line="162"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By: /s/ Rex S. Schuette</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Name: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-130810</wp:posOffset>
            </wp:positionV>
            <wp:extent cx="23926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4600"/>
        <w:spacing w:after="0"/>
        <w:tabs>
          <w:tab w:leader="none" w:pos="5160" w:val="left"/>
        </w:tabs>
        <w:rPr>
          <w:sz w:val="20"/>
          <w:szCs w:val="20"/>
          <w:color w:val="auto"/>
        </w:rPr>
      </w:pPr>
      <w:r>
        <w:rPr>
          <w:rFonts w:ascii="Arial" w:cs="Arial" w:eastAsia="Arial" w:hAnsi="Arial"/>
          <w:sz w:val="18"/>
          <w:szCs w:val="18"/>
          <w:color w:val="auto"/>
        </w:rPr>
        <w:t>Title:</w:t>
        <w:tab/>
        <w:t>Executive Vice President and Chief</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23" w:name="page124"/>
    <w:bookmarkEnd w:id="123"/>
    <w:p>
      <w:pPr>
        <w:jc w:val="right"/>
        <w:ind w:right="159"/>
        <w:spacing w:after="0"/>
        <w:rPr>
          <w:sz w:val="20"/>
          <w:szCs w:val="20"/>
          <w:color w:val="auto"/>
        </w:rPr>
      </w:pPr>
      <w:r>
        <w:rPr>
          <w:rFonts w:ascii="Arial" w:cs="Arial" w:eastAsia="Arial" w:hAnsi="Arial"/>
          <w:sz w:val="18"/>
          <w:szCs w:val="18"/>
          <w:b w:val="1"/>
          <w:bCs w:val="1"/>
          <w:color w:val="auto"/>
        </w:rPr>
        <w:t>Exhibit A</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DESIGNATIONS, POWERS, PREFERENCES,</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LIMITATIONS, RESTRICTIONS, AND RELATIVE RIGHTS</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CUMULATIVE PERPETUAL PREFERRED STOCK, SERIES D</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UNITED COMMUNITY BANKS, INC.</w:t>
      </w:r>
    </w:p>
    <w:p>
      <w:pPr>
        <w:spacing w:after="0" w:line="189" w:lineRule="exact"/>
        <w:rPr>
          <w:sz w:val="20"/>
          <w:szCs w:val="20"/>
          <w:color w:val="auto"/>
        </w:rPr>
      </w:pPr>
    </w:p>
    <w:p>
      <w:pPr>
        <w:ind w:left="8" w:right="179"/>
        <w:spacing w:after="0" w:line="297" w:lineRule="auto"/>
        <w:rPr>
          <w:sz w:val="20"/>
          <w:szCs w:val="20"/>
          <w:color w:val="auto"/>
        </w:rPr>
      </w:pPr>
      <w:r>
        <w:rPr>
          <w:rFonts w:ascii="Arial" w:cs="Arial" w:eastAsia="Arial" w:hAnsi="Arial"/>
          <w:sz w:val="16"/>
          <w:szCs w:val="16"/>
          <w:color w:val="auto"/>
        </w:rPr>
        <w:t>Pursuant to the authority vested in the board of directors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by the Restated Articles of Incorporation of United Community Banks,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as amended (the “</w:t>
      </w:r>
      <w:r>
        <w:rPr>
          <w:rFonts w:ascii="Arial" w:cs="Arial" w:eastAsia="Arial" w:hAnsi="Arial"/>
          <w:sz w:val="16"/>
          <w:szCs w:val="16"/>
          <w:u w:val="single" w:color="auto"/>
          <w:color w:val="auto"/>
        </w:rPr>
        <w:t>Articles of Incorporation</w:t>
      </w:r>
      <w:r>
        <w:rPr>
          <w:rFonts w:ascii="Arial" w:cs="Arial" w:eastAsia="Arial" w:hAnsi="Arial"/>
          <w:sz w:val="16"/>
          <w:szCs w:val="16"/>
          <w:color w:val="auto"/>
        </w:rPr>
        <w:t>”), the Board of Directors does hereby designate, create, authorize and provide for the issue of a series of preferred stock, which shall be designated as Cumulative Perpetual Preferred Stock, Series D (the “</w:t>
      </w:r>
      <w:r>
        <w:rPr>
          <w:rFonts w:ascii="Arial" w:cs="Arial" w:eastAsia="Arial" w:hAnsi="Arial"/>
          <w:sz w:val="16"/>
          <w:szCs w:val="16"/>
          <w:u w:val="single" w:color="auto"/>
          <w:color w:val="auto"/>
        </w:rPr>
        <w:t>Series D Preferred Stock</w:t>
      </w:r>
      <w:r>
        <w:rPr>
          <w:rFonts w:ascii="Arial" w:cs="Arial" w:eastAsia="Arial" w:hAnsi="Arial"/>
          <w:sz w:val="16"/>
          <w:szCs w:val="16"/>
          <w:color w:val="auto"/>
        </w:rPr>
        <w:t>”), consisting of 25,000 shares having the following powers, preferences, participation and other special rights, qualifications, limitations, restrictions and other designations:</w:t>
      </w:r>
    </w:p>
    <w:p>
      <w:pPr>
        <w:spacing w:after="0" w:line="118" w:lineRule="exact"/>
        <w:rPr>
          <w:sz w:val="20"/>
          <w:szCs w:val="20"/>
          <w:color w:val="auto"/>
        </w:rPr>
      </w:pPr>
    </w:p>
    <w:p>
      <w:pPr>
        <w:ind w:left="8" w:right="179"/>
        <w:spacing w:after="0" w:line="273"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General Matters</w:t>
      </w:r>
      <w:r>
        <w:rPr>
          <w:rFonts w:ascii="Arial" w:cs="Arial" w:eastAsia="Arial" w:hAnsi="Arial"/>
          <w:sz w:val="17"/>
          <w:szCs w:val="17"/>
          <w:color w:val="auto"/>
        </w:rPr>
        <w:t>. Each share of the Series D Preferred Stock shall be identical in all respects to every other share of the Series D Preferred Stock. The Series D Preferred Stock shall be perpetual, subject to the provisions of Section 5 of this Certificate of Designation. The Series D Preferred Stock shall rank at least equally with all Parity Stock outstanding as of the date hereof (except for any senior series that may be issued following the date hereof with the requisite consent of the holders of the Series D Preferred Stock and any other class or series whose vote is required) and shall rank senior to Junior Stock with respect to the payment of dividends and the distribution of assets in the event of liquidation, dissolution or winding up of the Corporation.</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85" w:lineRule="exact"/>
        <w:rPr>
          <w:sz w:val="20"/>
          <w:szCs w:val="20"/>
          <w:color w:val="auto"/>
        </w:rPr>
      </w:pPr>
    </w:p>
    <w:p>
      <w:pPr>
        <w:ind w:left="8" w:right="199" w:hanging="8"/>
        <w:spacing w:after="0" w:line="286" w:lineRule="auto"/>
        <w:tabs>
          <w:tab w:leader="none" w:pos="25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Dividend Rate</w:t>
      </w:r>
      <w:r>
        <w:rPr>
          <w:rFonts w:ascii="Arial" w:cs="Arial" w:eastAsia="Arial" w:hAnsi="Arial"/>
          <w:sz w:val="16"/>
          <w:szCs w:val="16"/>
          <w:color w:val="auto"/>
        </w:rPr>
        <w:t xml:space="preserve">” means a rate per annum equal to (i) the sum of 10.00%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three-month United States Dollar London Interbank Offered Rate, (“</w:t>
      </w:r>
      <w:r>
        <w:rPr>
          <w:rFonts w:ascii="Arial" w:cs="Arial" w:eastAsia="Arial" w:hAnsi="Arial"/>
          <w:sz w:val="16"/>
          <w:szCs w:val="16"/>
          <w:u w:val="single" w:color="auto"/>
          <w:color w:val="auto"/>
        </w:rPr>
        <w:t>LIBOR</w:t>
      </w:r>
      <w:r>
        <w:rPr>
          <w:rFonts w:ascii="Arial" w:cs="Arial" w:eastAsia="Arial" w:hAnsi="Arial"/>
          <w:sz w:val="16"/>
          <w:szCs w:val="16"/>
          <w:color w:val="auto"/>
        </w:rPr>
        <w:t xml:space="preserve">”), as announced and published on February 22, 2011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most recently published LIBOR, as announced and published from time to time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and in effect on the last day of the month preceding the applicable Dividend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initial Applicable Dividend Rate shall be</w:t>
      </w:r>
    </w:p>
    <w:p>
      <w:pPr>
        <w:spacing w:after="0" w:line="1" w:lineRule="exact"/>
        <w:rPr>
          <w:rFonts w:ascii="Arial" w:cs="Arial" w:eastAsia="Arial" w:hAnsi="Arial"/>
          <w:sz w:val="16"/>
          <w:szCs w:val="16"/>
          <w:color w:val="auto"/>
        </w:rPr>
      </w:pPr>
    </w:p>
    <w:p>
      <w:pPr>
        <w:ind w:left="8" w:right="159"/>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10.00% and shall continue in effect until May 15, 2011. In the event that more than one LIBOR is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as of the last day of the month preceding any Dividend Period, the highest LIBOR published will be used.</w:t>
      </w:r>
    </w:p>
    <w:p>
      <w:pPr>
        <w:spacing w:after="0" w:line="143" w:lineRule="exact"/>
        <w:rPr>
          <w:rFonts w:ascii="Arial" w:cs="Arial" w:eastAsia="Arial" w:hAnsi="Arial"/>
          <w:sz w:val="16"/>
          <w:szCs w:val="16"/>
          <w:color w:val="auto"/>
        </w:rPr>
      </w:pPr>
    </w:p>
    <w:p>
      <w:pPr>
        <w:ind w:left="248" w:hanging="248"/>
        <w:spacing w:after="0"/>
        <w:tabs>
          <w:tab w:leader="none" w:pos="24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has the meaning set forth in the preamble.</w:t>
      </w:r>
    </w:p>
    <w:p>
      <w:pPr>
        <w:spacing w:after="0" w:line="198" w:lineRule="exact"/>
        <w:rPr>
          <w:rFonts w:ascii="Arial" w:cs="Arial" w:eastAsia="Arial" w:hAnsi="Arial"/>
          <w:sz w:val="18"/>
          <w:szCs w:val="18"/>
          <w:color w:val="auto"/>
        </w:rPr>
      </w:pPr>
    </w:p>
    <w:p>
      <w:pPr>
        <w:ind w:left="8" w:right="639" w:hanging="8"/>
        <w:spacing w:after="0" w:line="277" w:lineRule="auto"/>
        <w:tabs>
          <w:tab w:leader="none" w:pos="25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Saturday, Sunday and any day on which banking institutions in the State of New York generally are authorized or required by law or other governmental actions to close.</w:t>
      </w:r>
    </w:p>
    <w:p>
      <w:pPr>
        <w:spacing w:after="0" w:line="129" w:lineRule="exact"/>
        <w:rPr>
          <w:rFonts w:ascii="Arial" w:cs="Arial" w:eastAsia="Arial" w:hAnsi="Arial"/>
          <w:sz w:val="18"/>
          <w:szCs w:val="18"/>
          <w:color w:val="auto"/>
        </w:rPr>
      </w:pPr>
    </w:p>
    <w:p>
      <w:pPr>
        <w:ind w:left="248" w:hanging="248"/>
        <w:spacing w:after="0"/>
        <w:tabs>
          <w:tab w:leader="none" w:pos="24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Bylaws</w:t>
      </w:r>
      <w:r>
        <w:rPr>
          <w:rFonts w:ascii="Arial" w:cs="Arial" w:eastAsia="Arial" w:hAnsi="Arial"/>
          <w:sz w:val="17"/>
          <w:szCs w:val="17"/>
          <w:color w:val="auto"/>
        </w:rPr>
        <w:t>” means the Amended and Restated Bylaws of the Corporation, as they may be further amended from time to time.</w:t>
      </w:r>
    </w:p>
    <w:p>
      <w:pPr>
        <w:spacing w:after="0" w:line="196" w:lineRule="exact"/>
        <w:rPr>
          <w:rFonts w:ascii="Arial" w:cs="Arial" w:eastAsia="Arial" w:hAnsi="Arial"/>
          <w:sz w:val="17"/>
          <w:szCs w:val="17"/>
          <w:color w:val="auto"/>
        </w:rPr>
      </w:pPr>
    </w:p>
    <w:p>
      <w:pPr>
        <w:ind w:left="8" w:right="579" w:hanging="8"/>
        <w:spacing w:after="0" w:line="277" w:lineRule="auto"/>
        <w:tabs>
          <w:tab w:leader="none" w:pos="25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means this Certificate of Designation or comparable instrument relating to the Series D Preferred Stock, as it may be amended from time to time.</w:t>
      </w:r>
    </w:p>
    <w:p>
      <w:pPr>
        <w:spacing w:after="0" w:line="143" w:lineRule="exact"/>
        <w:rPr>
          <w:rFonts w:ascii="Arial" w:cs="Arial" w:eastAsia="Arial" w:hAnsi="Arial"/>
          <w:sz w:val="18"/>
          <w:szCs w:val="18"/>
          <w:color w:val="auto"/>
        </w:rPr>
      </w:pPr>
    </w:p>
    <w:p>
      <w:pPr>
        <w:ind w:left="228" w:hanging="228"/>
        <w:spacing w:after="0"/>
        <w:tabs>
          <w:tab w:leader="none" w:pos="22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on which the closing of the issuances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647700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336" w:right="1440" w:bottom="1440" w:gutter="0" w:footer="0" w:header="0"/>
        </w:sectPr>
      </w:pPr>
    </w:p>
    <w:bookmarkStart w:id="124" w:name="page125"/>
    <w:bookmarkEnd w:id="124"/>
    <w:p>
      <w:pPr>
        <w:ind w:left="248" w:hanging="248"/>
        <w:spacing w:after="0"/>
        <w:tabs>
          <w:tab w:leader="none" w:pos="2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$1.00 par value per share, of the Corporation.</w:t>
      </w:r>
    </w:p>
    <w:p>
      <w:pPr>
        <w:spacing w:after="0" w:line="198" w:lineRule="exact"/>
        <w:rPr>
          <w:rFonts w:ascii="Arial" w:cs="Arial" w:eastAsia="Arial" w:hAnsi="Arial"/>
          <w:sz w:val="18"/>
          <w:szCs w:val="18"/>
          <w:color w:val="auto"/>
        </w:rPr>
      </w:pPr>
    </w:p>
    <w:p>
      <w:pPr>
        <w:ind w:left="248" w:hanging="248"/>
        <w:spacing w:after="0"/>
        <w:tabs>
          <w:tab w:leader="none" w:pos="2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has the meaning set forth in the preamble.</w:t>
      </w:r>
    </w:p>
    <w:p>
      <w:pPr>
        <w:spacing w:after="0" w:line="184" w:lineRule="exact"/>
        <w:rPr>
          <w:rFonts w:ascii="Arial" w:cs="Arial" w:eastAsia="Arial" w:hAnsi="Arial"/>
          <w:sz w:val="18"/>
          <w:szCs w:val="18"/>
          <w:color w:val="auto"/>
        </w:rPr>
      </w:pPr>
    </w:p>
    <w:p>
      <w:pPr>
        <w:ind w:left="208" w:hanging="208"/>
        <w:spacing w:after="0"/>
        <w:tabs>
          <w:tab w:leader="none" w:pos="20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means February 15, May 15, August 15 and November 15 of each year.</w:t>
      </w:r>
    </w:p>
    <w:p>
      <w:pPr>
        <w:spacing w:after="0" w:line="184" w:lineRule="exact"/>
        <w:rPr>
          <w:rFonts w:ascii="Arial" w:cs="Arial" w:eastAsia="Arial" w:hAnsi="Arial"/>
          <w:sz w:val="18"/>
          <w:szCs w:val="18"/>
          <w:color w:val="auto"/>
        </w:rPr>
      </w:pPr>
    </w:p>
    <w:p>
      <w:pPr>
        <w:ind w:left="208" w:hanging="208"/>
        <w:spacing w:after="0"/>
        <w:tabs>
          <w:tab w:leader="none" w:pos="20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has the meaning set forth in Section 3(a).</w:t>
      </w:r>
    </w:p>
    <w:p>
      <w:pPr>
        <w:spacing w:after="0" w:line="198" w:lineRule="exact"/>
        <w:rPr>
          <w:rFonts w:ascii="Arial" w:cs="Arial" w:eastAsia="Arial" w:hAnsi="Arial"/>
          <w:sz w:val="18"/>
          <w:szCs w:val="18"/>
          <w:color w:val="auto"/>
        </w:rPr>
      </w:pPr>
    </w:p>
    <w:p>
      <w:pPr>
        <w:ind w:left="248" w:hanging="248"/>
        <w:spacing w:after="0"/>
        <w:tabs>
          <w:tab w:leader="none" w:pos="2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has the meaning set forth in Section 3(a).</w:t>
      </w:r>
    </w:p>
    <w:p>
      <w:pPr>
        <w:spacing w:after="0" w:line="184" w:lineRule="exact"/>
        <w:rPr>
          <w:rFonts w:ascii="Arial" w:cs="Arial" w:eastAsia="Arial" w:hAnsi="Arial"/>
          <w:sz w:val="18"/>
          <w:szCs w:val="18"/>
          <w:color w:val="auto"/>
        </w:rPr>
      </w:pPr>
    </w:p>
    <w:p>
      <w:pPr>
        <w:jc w:val="both"/>
        <w:ind w:left="8" w:right="719" w:hanging="8"/>
        <w:spacing w:after="0" w:line="264" w:lineRule="auto"/>
        <w:tabs>
          <w:tab w:leader="none" w:pos="22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Stock</w:t>
      </w:r>
      <w:r>
        <w:rPr>
          <w:rFonts w:ascii="Arial" w:cs="Arial" w:eastAsia="Arial" w:hAnsi="Arial"/>
          <w:sz w:val="18"/>
          <w:szCs w:val="18"/>
          <w:color w:val="auto"/>
        </w:rPr>
        <w:t>” means Common Stock and any other class or series of stock of the Corporation the terms of which expressly provide that it ranks junior to the Series D Preferred Stock as to dividend rights and/or as to rights on liquidation, dissolution or winding up of the Corporation.</w:t>
      </w:r>
    </w:p>
    <w:p>
      <w:pPr>
        <w:spacing w:after="0" w:line="140" w:lineRule="exact"/>
        <w:rPr>
          <w:rFonts w:ascii="Arial" w:cs="Arial" w:eastAsia="Arial" w:hAnsi="Arial"/>
          <w:sz w:val="18"/>
          <w:szCs w:val="18"/>
          <w:color w:val="auto"/>
        </w:rPr>
      </w:pPr>
    </w:p>
    <w:p>
      <w:pPr>
        <w:ind w:left="308" w:hanging="308"/>
        <w:spacing w:after="0"/>
        <w:tabs>
          <w:tab w:leader="none" w:pos="30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Amount</w:t>
      </w:r>
      <w:r>
        <w:rPr>
          <w:rFonts w:ascii="Arial" w:cs="Arial" w:eastAsia="Arial" w:hAnsi="Arial"/>
          <w:sz w:val="18"/>
          <w:szCs w:val="18"/>
          <w:color w:val="auto"/>
        </w:rPr>
        <w:t>” means $1,000.00 per share of the Series D Preferred Stock.</w:t>
      </w:r>
    </w:p>
    <w:p>
      <w:pPr>
        <w:spacing w:after="0" w:line="198" w:lineRule="exact"/>
        <w:rPr>
          <w:rFonts w:ascii="Arial" w:cs="Arial" w:eastAsia="Arial" w:hAnsi="Arial"/>
          <w:sz w:val="18"/>
          <w:szCs w:val="18"/>
          <w:color w:val="auto"/>
        </w:rPr>
      </w:pPr>
    </w:p>
    <w:p>
      <w:pPr>
        <w:ind w:left="248" w:hanging="248"/>
        <w:spacing w:after="0"/>
        <w:tabs>
          <w:tab w:leader="none" w:pos="2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has the meaning set forth in Section 4(a).</w:t>
      </w:r>
    </w:p>
    <w:p>
      <w:pPr>
        <w:spacing w:after="0" w:line="184" w:lineRule="exact"/>
        <w:rPr>
          <w:rFonts w:ascii="Arial" w:cs="Arial" w:eastAsia="Arial" w:hAnsi="Arial"/>
          <w:sz w:val="18"/>
          <w:szCs w:val="18"/>
          <w:color w:val="auto"/>
        </w:rPr>
      </w:pPr>
    </w:p>
    <w:p>
      <w:pPr>
        <w:jc w:val="both"/>
        <w:ind w:left="8" w:right="339" w:hanging="8"/>
        <w:spacing w:after="0" w:line="259" w:lineRule="auto"/>
        <w:tabs>
          <w:tab w:leader="none" w:pos="26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Stock</w:t>
      </w:r>
      <w:r>
        <w:rPr>
          <w:rFonts w:ascii="Arial" w:cs="Arial" w:eastAsia="Arial" w:hAnsi="Arial"/>
          <w:sz w:val="18"/>
          <w:szCs w:val="18"/>
          <w:color w:val="auto"/>
        </w:rPr>
        <w:t>” means any class of capital stock or series of stock of the Corporation (other than the Series D Preferred Stock) the terms of which expressly provide that such class or series will rank on senior or junior to the Series D Preferred Stock as to dividend rights and/or as to rights upon the liquidation, dissolution or winding up of the Corporation (in each case without regard to whether dividends accrue cumulatively or non-cumulatively).</w:t>
      </w:r>
    </w:p>
    <w:p>
      <w:pPr>
        <w:spacing w:after="0" w:line="146" w:lineRule="exact"/>
        <w:rPr>
          <w:rFonts w:ascii="Arial" w:cs="Arial" w:eastAsia="Arial" w:hAnsi="Arial"/>
          <w:sz w:val="18"/>
          <w:szCs w:val="18"/>
          <w:color w:val="auto"/>
        </w:rPr>
      </w:pPr>
    </w:p>
    <w:p>
      <w:pPr>
        <w:ind w:left="248" w:hanging="248"/>
        <w:spacing w:after="0"/>
        <w:tabs>
          <w:tab w:leader="none" w:pos="24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Stock</w:t>
      </w:r>
      <w:r>
        <w:rPr>
          <w:rFonts w:ascii="Arial" w:cs="Arial" w:eastAsia="Arial" w:hAnsi="Arial"/>
          <w:sz w:val="17"/>
          <w:szCs w:val="17"/>
          <w:color w:val="auto"/>
        </w:rPr>
        <w:t>” means any and all series of preferred stock of the Corporation, including the Series D Preferred Stock.</w:t>
      </w:r>
    </w:p>
    <w:p>
      <w:pPr>
        <w:spacing w:after="0" w:line="209" w:lineRule="exact"/>
        <w:rPr>
          <w:rFonts w:ascii="Arial" w:cs="Arial" w:eastAsia="Arial" w:hAnsi="Arial"/>
          <w:sz w:val="17"/>
          <w:szCs w:val="17"/>
          <w:color w:val="auto"/>
        </w:rPr>
      </w:pPr>
    </w:p>
    <w:p>
      <w:pPr>
        <w:ind w:left="248" w:hanging="248"/>
        <w:spacing w:after="0"/>
        <w:tabs>
          <w:tab w:leader="none" w:pos="2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Dilution Amount</w:t>
      </w:r>
      <w:r>
        <w:rPr>
          <w:rFonts w:ascii="Arial" w:cs="Arial" w:eastAsia="Arial" w:hAnsi="Arial"/>
          <w:sz w:val="18"/>
          <w:szCs w:val="18"/>
          <w:color w:val="auto"/>
        </w:rPr>
        <w:t>” has the meaning set forth in Section 3(b).</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85" w:lineRule="exact"/>
        <w:rPr>
          <w:sz w:val="20"/>
          <w:szCs w:val="20"/>
          <w:color w:val="auto"/>
        </w:rPr>
      </w:pPr>
    </w:p>
    <w:p>
      <w:pPr>
        <w:ind w:left="8" w:right="179" w:hanging="8"/>
        <w:spacing w:after="0" w:line="268" w:lineRule="auto"/>
        <w:tabs>
          <w:tab w:leader="none" w:pos="252"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Rate</w:t>
      </w:r>
      <w:r>
        <w:rPr>
          <w:rFonts w:ascii="Arial" w:cs="Arial" w:eastAsia="Arial" w:hAnsi="Arial"/>
          <w:sz w:val="17"/>
          <w:szCs w:val="17"/>
          <w:color w:val="auto"/>
        </w:rPr>
        <w:t>. Holders of the Series D Preferred Stock shall be entitled to receive, on each share of the Series D Preferred Stock if, as and when declared by the Board of Directors or any duly authorized committee of the Board of Directors, but only out of assets legally available therefor, cumulative cash dividends with respect to each Dividend Period (as defined below) at the Applicable Dividend Rate on (i) the Liquidation Amount per share of the Series D Preferred Stock and (ii) the amount of accrued and unpaid dividends for any prior Dividend Period on such share of the Series D Preferred Stock, if any. Dividends shall begin to accrue and be cumulative from the Closing Date and shall compound on each subsequent Dividend Payment Date (</w:t>
      </w:r>
      <w:r>
        <w:rPr>
          <w:rFonts w:ascii="Arial" w:cs="Arial" w:eastAsia="Arial" w:hAnsi="Arial"/>
          <w:sz w:val="17"/>
          <w:szCs w:val="17"/>
          <w:i w:val="1"/>
          <w:iCs w:val="1"/>
          <w:color w:val="auto"/>
        </w:rPr>
        <w:t>i.e.</w:t>
      </w:r>
      <w:r>
        <w:rPr>
          <w:rFonts w:ascii="Arial" w:cs="Arial" w:eastAsia="Arial" w:hAnsi="Arial"/>
          <w:sz w:val="17"/>
          <w:szCs w:val="17"/>
          <w:color w:val="auto"/>
        </w:rPr>
        <w:t>, no dividends shall accrue on other dividends unless and until the first Dividend Payment Date for such other dividends has passed without such other dividends having been paid on such date), in each case whether or not declared, and shall be payable quarterly in arrears on each Dividend Payment Date, commencing May 15, 2011. In the event that any Dividend Payment Date would otherwise fall on a day that is not a Business Day, the dividend payment due on that date will be postponed to the next day that is a Business Day and no additional dividends will accrue as a result of that postponement. The period from and including any Dividend Payment Date to, but excluding, the next Dividend Payment Date is a “</w:t>
      </w:r>
      <w:r>
        <w:rPr>
          <w:rFonts w:ascii="Arial" w:cs="Arial" w:eastAsia="Arial" w:hAnsi="Arial"/>
          <w:sz w:val="17"/>
          <w:szCs w:val="17"/>
          <w:u w:val="single" w:color="auto"/>
          <w:color w:val="auto"/>
        </w:rPr>
        <w:t>Dividend Period</w:t>
      </w:r>
      <w:r>
        <w:rPr>
          <w:rFonts w:ascii="Arial" w:cs="Arial" w:eastAsia="Arial" w:hAnsi="Arial"/>
          <w:sz w:val="17"/>
          <w:szCs w:val="17"/>
          <w:color w:val="auto"/>
        </w:rPr>
        <w:t>,” provided that the initial Dividend Period shall be the period from and including the Closing Date to, but excluding, May 15,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631825</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25" w:name="page126"/>
    <w:bookmarkEnd w:id="125"/>
    <w:p>
      <w:pPr>
        <w:ind w:left="8" w:right="239"/>
        <w:spacing w:after="0" w:line="259" w:lineRule="auto"/>
        <w:rPr>
          <w:sz w:val="20"/>
          <w:szCs w:val="20"/>
          <w:color w:val="auto"/>
        </w:rPr>
      </w:pPr>
      <w:r>
        <w:rPr>
          <w:rFonts w:ascii="Arial" w:cs="Arial" w:eastAsia="Arial" w:hAnsi="Arial"/>
          <w:sz w:val="18"/>
          <w:szCs w:val="18"/>
          <w:color w:val="auto"/>
        </w:rPr>
        <w:t>Dividends that are payable on the Series D Preferred Stock in respect of any Dividend Period shall be computed on the basis of a 360-day year consisting of twelve 30-day months. The amount of dividends payable on the Series D Preferred Stock on any date prior to the end of a Dividend Period, and for the initial Dividend Period, shall be computed on the basis of a 360-day year consisting of twelve 30-day months, and actual days elapsed over a 30-day month.</w:t>
      </w:r>
    </w:p>
    <w:p>
      <w:pPr>
        <w:spacing w:after="0" w:line="160" w:lineRule="exact"/>
        <w:rPr>
          <w:sz w:val="20"/>
          <w:szCs w:val="20"/>
          <w:color w:val="auto"/>
        </w:rPr>
      </w:pPr>
    </w:p>
    <w:p>
      <w:pPr>
        <w:jc w:val="both"/>
        <w:ind w:left="8" w:right="239"/>
        <w:spacing w:after="0" w:line="279" w:lineRule="auto"/>
        <w:rPr>
          <w:sz w:val="20"/>
          <w:szCs w:val="20"/>
          <w:color w:val="auto"/>
        </w:rPr>
      </w:pPr>
      <w:r>
        <w:rPr>
          <w:rFonts w:ascii="Arial" w:cs="Arial" w:eastAsia="Arial" w:hAnsi="Arial"/>
          <w:sz w:val="17"/>
          <w:szCs w:val="17"/>
          <w:color w:val="auto"/>
        </w:rPr>
        <w:t>Dividends that are payable on the Series D Preferred Stock on any Dividend Payment Date will be payable to holders of record of the Series D Preferred Stock as they appear on the stock register of the Corporation on the applicable record date, which shall be the 15th calendar day immediately preceding such Dividend Payment Date (each, a “</w:t>
      </w:r>
      <w:r>
        <w:rPr>
          <w:rFonts w:ascii="Arial" w:cs="Arial" w:eastAsia="Arial" w:hAnsi="Arial"/>
          <w:sz w:val="17"/>
          <w:szCs w:val="17"/>
          <w:u w:val="single" w:color="auto"/>
          <w:color w:val="auto"/>
        </w:rPr>
        <w:t>Dividend Record Date</w:t>
      </w:r>
      <w:r>
        <w:rPr>
          <w:rFonts w:ascii="Arial" w:cs="Arial" w:eastAsia="Arial" w:hAnsi="Arial"/>
          <w:sz w:val="17"/>
          <w:szCs w:val="17"/>
          <w:color w:val="auto"/>
        </w:rPr>
        <w:t>”). Any such day that is a Dividend Record Date shall be a Dividend Record Date whether or not such day is a Business Day.</w:t>
      </w:r>
    </w:p>
    <w:p>
      <w:pPr>
        <w:spacing w:after="0" w:line="131" w:lineRule="exact"/>
        <w:rPr>
          <w:sz w:val="20"/>
          <w:szCs w:val="20"/>
          <w:color w:val="auto"/>
        </w:rPr>
      </w:pPr>
    </w:p>
    <w:p>
      <w:pPr>
        <w:jc w:val="both"/>
        <w:ind w:left="8" w:right="379"/>
        <w:spacing w:after="0" w:line="264" w:lineRule="auto"/>
        <w:rPr>
          <w:sz w:val="20"/>
          <w:szCs w:val="20"/>
          <w:color w:val="auto"/>
        </w:rPr>
      </w:pPr>
      <w:r>
        <w:rPr>
          <w:rFonts w:ascii="Arial" w:cs="Arial" w:eastAsia="Arial" w:hAnsi="Arial"/>
          <w:sz w:val="18"/>
          <w:szCs w:val="18"/>
          <w:color w:val="auto"/>
        </w:rPr>
        <w:t>Holders of the Series D Preferred Stock shall not be entitled to any dividends, whether payable in cash, securities or other property, other than dividends (if any) declared and payable on the Series D Preferred Stock as specified in this Section 3 (subject to the other provisions of this Certificate of Designation).</w:t>
      </w:r>
    </w:p>
    <w:p>
      <w:pPr>
        <w:spacing w:after="0" w:line="141" w:lineRule="exact"/>
        <w:rPr>
          <w:sz w:val="20"/>
          <w:szCs w:val="20"/>
          <w:color w:val="auto"/>
        </w:rPr>
      </w:pPr>
    </w:p>
    <w:p>
      <w:pPr>
        <w:ind w:left="8" w:right="179" w:hanging="8"/>
        <w:spacing w:after="0" w:line="284" w:lineRule="auto"/>
        <w:tabs>
          <w:tab w:leader="none" w:pos="262"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Priority of Dividends</w:t>
      </w:r>
      <w:r>
        <w:rPr>
          <w:rFonts w:ascii="Arial" w:cs="Arial" w:eastAsia="Arial" w:hAnsi="Arial"/>
          <w:sz w:val="16"/>
          <w:szCs w:val="16"/>
          <w:color w:val="auto"/>
        </w:rPr>
        <w:t xml:space="preserve">. So long as any share of the Series D Preferred Stock remains outstanding, no dividend or distribution shall be declared or paid on Common Stock or any other shares of Junior Stock (other than dividends payable solely in shares of Common Stock) or Parity Stock, subject to the immediately following paragraph in the case of Parity Stock, and no Common Stock, Junior Stock or Parity Stock shall be, directly or indirectly, purchased, redeemed or otherwise acquired for consideration by the Corporation or any of its subsidiaries unless all accrued and unpaid dividends for all past Dividend Periods, including the latest completed Dividend Period (including, if applicable as provided in Section 3(a) above, dividends on such amount), on all outstanding shares of the Series D Preferred Stock have been or are contemporaneously declared and paid in full (or have been declared and a sum sufficient for the payment thereof has been set aside for the benefit of the holders of shares of the Series D Preferred Stock on the applicable record date). The foregoing limitation shall not apply to (i) redemptions, purchases or other acquisitions of shares of Common Stock or other Junior Stock in connection with the administration of any employee benefit plan in the ordinary course of business (including purchases to offset the Share Dilution Amount (as defined below) pursuant to a publicly announced repurchase plan) and consistent with past practice,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purchases to offset the Share Dilution Amount shall in no event exceed the Share Dilution Amount; (ii) purchases or other acquisitions by a broker-dealer subsidiary of the Corporation solely for the purpose of market-making, stabilization or customer facilitation transactions in Junior Stock or Parity Stock in the ordinary course of its business; (iii) purchases by a broker-dealer subsidiary of the Corporation of capital stock of the Corporation for resale pursuant to an offering by the Corporation of such capital stock underwritten by such broker-dealer subsidiary; (iv) any dividends or distributions of rights or Junior Stock in connection with a stockholders’ rights plan or any redemption or repurchase of rights pursuant to any stockholders’ rights plan; (v) the acquisition by the Corporation or any of its subsidiaries of record ownership in Junior Stock or Parity Stock for the beneficial ownership of any other persons (other than the Corporation or any of its subsidiaries), including as trustees or custodians; and (vi) the exchange or conversion of Junior Stock for or into other Junior Stock or of Parity Stock for or into other Parity Stock (with the same or lesser aggregate liquidation amount) or Junior Stock, in each case, solely to the extent required pursuant to binding contractual agreements entered into prior to the Closing Date or any subsequent agreement for the accelerated exercise, settlement or exchange thereof for Common Stock. “</w:t>
      </w:r>
      <w:r>
        <w:rPr>
          <w:rFonts w:ascii="Arial" w:cs="Arial" w:eastAsia="Arial" w:hAnsi="Arial"/>
          <w:sz w:val="16"/>
          <w:szCs w:val="16"/>
          <w:u w:val="single" w:color="auto"/>
          <w:color w:val="auto"/>
        </w:rPr>
        <w:t>Share Dilution Amount</w:t>
      </w:r>
      <w:r>
        <w:rPr>
          <w:rFonts w:ascii="Arial" w:cs="Arial" w:eastAsia="Arial" w:hAnsi="Arial"/>
          <w:sz w:val="16"/>
          <w:szCs w:val="16"/>
          <w:color w:val="auto"/>
        </w:rPr>
        <w:t>” means the increase in the number of diluted shares outstanding (determined in accordance with generally accepted accounting principles in the United States, and as measured from the date of the Corporation’s consolidated financial statements most recently filed with the Securities and Exchange Commission prior to the Closing Date) resulting from the grant, vesting or exercise of equity-based compensation to employees and equitably adjusted for any stock split, stock dividend, reverse stock split, reclassification or similar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622300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26" w:name="page127"/>
    <w:bookmarkEnd w:id="126"/>
    <w:p>
      <w:pPr>
        <w:ind w:left="8" w:right="179"/>
        <w:spacing w:after="0" w:line="286" w:lineRule="auto"/>
        <w:rPr>
          <w:sz w:val="20"/>
          <w:szCs w:val="20"/>
          <w:color w:val="auto"/>
        </w:rPr>
      </w:pPr>
      <w:r>
        <w:rPr>
          <w:rFonts w:ascii="Arial" w:cs="Arial" w:eastAsia="Arial" w:hAnsi="Arial"/>
          <w:sz w:val="16"/>
          <w:szCs w:val="16"/>
          <w:color w:val="auto"/>
        </w:rPr>
        <w:t xml:space="preserve">When dividends are not paid (or declared and a sum sufficient for payment thereof set aside for the benefit of the holders thereof on the applicable record date) on any Dividend Payment Date (or, in the case of Parity Stock having dividend payment dates different from the Dividend Payment Dates, on a dividend payment date falling within a Dividend Period related to such Dividend Payment Date) in full upon the Series D Preferred Stock and any shares of Parity Stock, all dividends declared on the Series D Preferred Stock and/or all such Parity Stock and payable on such Dividend Payment Date (or, in the case of Parity Stock having dividend payment dates different from the Dividend Payment Dates, on a dividend payment date falling within the Dividend Period related to such Dividend Payment Date) shall be declared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so that the respective amounts of such dividends declared shall bear the same ratio to each other as all accrued and unpaid dividends per share on the shares of the Series D Preferred Stock (including, if applicable as provided in Section 3(a) above, dividends on such amount) and all Parity Stock payable on such Dividend Payment Date (or, in the case of Parity Stock having dividend payment dates different from the Dividend Payment Dates, on a dividend payment date falling within the Dividend Period related to such Dividend Payment Date) (subject to their having been declared by the Board of Directors or a duly authorized committee of the Board of Directors out of legally available funds and including, in the case of Parity Stock that bears cumulative dividends, all accrued but unpaid dividends) bear to each other.</w:t>
      </w:r>
    </w:p>
    <w:p>
      <w:pPr>
        <w:spacing w:after="0" w:line="148" w:lineRule="exact"/>
        <w:rPr>
          <w:sz w:val="20"/>
          <w:szCs w:val="20"/>
          <w:color w:val="auto"/>
        </w:rPr>
      </w:pPr>
    </w:p>
    <w:p>
      <w:pPr>
        <w:ind w:left="8" w:right="199"/>
        <w:spacing w:after="0" w:line="279" w:lineRule="auto"/>
        <w:rPr>
          <w:sz w:val="20"/>
          <w:szCs w:val="20"/>
          <w:color w:val="auto"/>
        </w:rPr>
      </w:pPr>
      <w:r>
        <w:rPr>
          <w:rFonts w:ascii="Arial" w:cs="Arial" w:eastAsia="Arial" w:hAnsi="Arial"/>
          <w:sz w:val="17"/>
          <w:szCs w:val="17"/>
          <w:color w:val="auto"/>
        </w:rPr>
        <w:t>Subject to the foregoing, and not otherwise, such dividends (payable in cash, securities or other property) as may be determined by the Board of Directors or any duly authorized committee of the Board of Directors may be declared and paid on any securities, including Common Stock and other Junior Stock, from time to time out of any funds legally available for such payment, and holders of the Series D Preferred Stock shall not be entitled to participate in any such dividends.</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185" w:lineRule="exact"/>
        <w:rPr>
          <w:sz w:val="20"/>
          <w:szCs w:val="20"/>
          <w:color w:val="auto"/>
        </w:rPr>
      </w:pPr>
    </w:p>
    <w:p>
      <w:pPr>
        <w:ind w:left="8" w:right="179" w:hanging="8"/>
        <w:spacing w:after="0" w:line="290" w:lineRule="auto"/>
        <w:tabs>
          <w:tab w:leader="none" w:pos="252"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Voluntary or Involuntary Liquidation</w:t>
      </w:r>
      <w:r>
        <w:rPr>
          <w:rFonts w:ascii="Arial" w:cs="Arial" w:eastAsia="Arial" w:hAnsi="Arial"/>
          <w:sz w:val="16"/>
          <w:szCs w:val="16"/>
          <w:color w:val="auto"/>
        </w:rPr>
        <w:t>. In the event of any liquidation, dissolution or winding up of the affairs of the Corporation, whether voluntary or involuntary, holders of the Series D Preferred Stock shall be entitled to receive for each share of the Series D Preferred Stock, out of the assets of the Corporation or proceeds thereof (whether capital or surplus) available for distribution to stockholders of the Corporation, subject to the rights of any creditors of the Corporation, before any distribution of such assets or proceeds is made to or set aside for the holders of Common Stock and any other stock of the Corporation ranking junior to the Series D Preferred Stock as to such distribution, payment in full in an amount equal to the sum of (i) the Liquidation Amount per share and (ii) the amount of any accrued and unpaid dividends (including, if applicable as provided in Section 3(a) above, dividends on such amount), whether or not declared, to the date of payment (such amounts collectively, the “</w:t>
      </w:r>
      <w:r>
        <w:rPr>
          <w:rFonts w:ascii="Arial" w:cs="Arial" w:eastAsia="Arial" w:hAnsi="Arial"/>
          <w:sz w:val="16"/>
          <w:szCs w:val="16"/>
          <w:u w:val="single" w:color="auto"/>
          <w:color w:val="auto"/>
        </w:rPr>
        <w:t>Liquidation Preference</w:t>
      </w:r>
      <w:r>
        <w:rPr>
          <w:rFonts w:ascii="Arial" w:cs="Arial" w:eastAsia="Arial" w:hAnsi="Arial"/>
          <w:sz w:val="16"/>
          <w:szCs w:val="16"/>
          <w:color w:val="auto"/>
        </w:rPr>
        <w:t>”).</w:t>
      </w:r>
    </w:p>
    <w:p>
      <w:pPr>
        <w:spacing w:after="0" w:line="139" w:lineRule="exact"/>
        <w:rPr>
          <w:rFonts w:ascii="Arial" w:cs="Arial" w:eastAsia="Arial" w:hAnsi="Arial"/>
          <w:sz w:val="16"/>
          <w:szCs w:val="16"/>
          <w:color w:val="auto"/>
        </w:rPr>
      </w:pPr>
    </w:p>
    <w:p>
      <w:pPr>
        <w:ind w:left="8" w:right="339" w:hanging="8"/>
        <w:spacing w:after="0" w:line="276" w:lineRule="auto"/>
        <w:tabs>
          <w:tab w:leader="none" w:pos="262"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Partial Payment</w:t>
      </w:r>
      <w:r>
        <w:rPr>
          <w:rFonts w:ascii="Arial" w:cs="Arial" w:eastAsia="Arial" w:hAnsi="Arial"/>
          <w:sz w:val="17"/>
          <w:szCs w:val="17"/>
          <w:color w:val="auto"/>
        </w:rPr>
        <w:t>. If in any distribution described in Section 4(a) above the assets of the Corporation or proceeds thereof are not sufficient to pay in full the amounts payable with respect to all outstanding shares of the Series D Preferred Stock and the corresponding amounts payable with respect of any other stock of the Corporation ranking equally with the Series D Preferred Stock as to such distribution, holders of the Series D Preferred Stock and the holders of such other stock shall share ratably in any such distribution in proportion to the full respective distributions to which they are entitled.</w:t>
      </w:r>
    </w:p>
    <w:p>
      <w:pPr>
        <w:spacing w:after="0" w:line="132" w:lineRule="exact"/>
        <w:rPr>
          <w:rFonts w:ascii="Arial" w:cs="Arial" w:eastAsia="Arial" w:hAnsi="Arial"/>
          <w:sz w:val="17"/>
          <w:szCs w:val="17"/>
          <w:color w:val="auto"/>
        </w:rPr>
      </w:pPr>
    </w:p>
    <w:p>
      <w:pPr>
        <w:ind w:left="8" w:right="339" w:hanging="8"/>
        <w:spacing w:after="0" w:line="279" w:lineRule="auto"/>
        <w:tabs>
          <w:tab w:leader="none" w:pos="252"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Residual Distributions</w:t>
      </w:r>
      <w:r>
        <w:rPr>
          <w:rFonts w:ascii="Arial" w:cs="Arial" w:eastAsia="Arial" w:hAnsi="Arial"/>
          <w:sz w:val="17"/>
          <w:szCs w:val="17"/>
          <w:color w:val="auto"/>
        </w:rPr>
        <w:t>. If the Liquidation Preference has been paid in full to all holders of the Series D Preferred Stock and the corresponding amounts payable with respect of any other stock of the Corporation ranking equally with the Series D Preferred Stock as to such distribution has been paid in full, the holders of other stock of the Corporation shall be entitled to receive all remaining assets of the Corporation (or proceeds thereof) according to their respective rights and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621665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127" w:name="page128"/>
    <w:bookmarkEnd w:id="127"/>
    <w:p>
      <w:pPr>
        <w:ind w:left="8" w:right="319" w:hanging="8"/>
        <w:spacing w:after="0" w:line="291" w:lineRule="auto"/>
        <w:tabs>
          <w:tab w:leader="none" w:pos="262"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Merger, Consolidation and Sale of Assets Not Liquidation</w:t>
      </w:r>
      <w:r>
        <w:rPr>
          <w:rFonts w:ascii="Arial" w:cs="Arial" w:eastAsia="Arial" w:hAnsi="Arial"/>
          <w:sz w:val="16"/>
          <w:szCs w:val="16"/>
          <w:color w:val="auto"/>
        </w:rPr>
        <w:t>. For purposes of this Section 4, the merger or consolidation of the Corporation with any other corporation or other entity, including a merger or consolidation in which the holders of the Series D Preferred Stock receive cash, securities or other property for their shares, or the sale, lease or exchange (for cash, securities or other property) of all or substantially all of the assets of the Corporation, shall not constitute a liquidation, dissolution or winding up of the Corporation, but only to the extent that the holders of the Series D Preferred Stock receive in such transaction an amount equal to at least the sum of (i) the Liquidation Amount per share and (ii) except as otherwise provided below, any accrued and unpaid dividends (including, if applicable as provided in Section 3(a) above, dividends on such amount).</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85" w:lineRule="exact"/>
        <w:rPr>
          <w:sz w:val="20"/>
          <w:szCs w:val="20"/>
          <w:color w:val="auto"/>
        </w:rPr>
      </w:pPr>
    </w:p>
    <w:p>
      <w:pPr>
        <w:ind w:left="8" w:right="179" w:hanging="8"/>
        <w:spacing w:after="0" w:line="291" w:lineRule="auto"/>
        <w:tabs>
          <w:tab w:leader="none" w:pos="252"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Optional Redemption</w:t>
      </w:r>
      <w:r>
        <w:rPr>
          <w:rFonts w:ascii="Arial" w:cs="Arial" w:eastAsia="Arial" w:hAnsi="Arial"/>
          <w:sz w:val="16"/>
          <w:szCs w:val="16"/>
          <w:color w:val="auto"/>
        </w:rPr>
        <w:t>. The Series D Preferred Stock may not be redeemed prior to either (i) the third anniversary of the Closing Date or (ii) September 30, 2014, as determined by the Board of Directors in its sole discretion (the “</w:t>
      </w:r>
      <w:r>
        <w:rPr>
          <w:rFonts w:ascii="Arial" w:cs="Arial" w:eastAsia="Arial" w:hAnsi="Arial"/>
          <w:sz w:val="16"/>
          <w:szCs w:val="16"/>
          <w:u w:val="single" w:color="auto"/>
          <w:color w:val="auto"/>
        </w:rPr>
        <w:t>Optional Redemption Date</w:t>
      </w:r>
      <w:r>
        <w:rPr>
          <w:rFonts w:ascii="Arial" w:cs="Arial" w:eastAsia="Arial" w:hAnsi="Arial"/>
          <w:sz w:val="16"/>
          <w:szCs w:val="16"/>
          <w:color w:val="auto"/>
        </w:rPr>
        <w:t>”). On or after the Optional Redemption Date, the Corporation, at its option may redeem, in whole but not in part, at any time, out of funds legally available therefor, shares of the Series D Preferred Stock at the time outstanding, upon notice given as provided in Section 5(c) below, at a redemption price equal to the sum of (i) the Liquidation Amount per share and (ii) except as otherwise provided below, any accrued and unpaid dividends (including, if applicable as provided in Section 3(a) above, dividends on such amount) (regardless of whether dividends are actually declared) to, but excluding, the date fixed for redemption.</w:t>
      </w:r>
    </w:p>
    <w:p>
      <w:pPr>
        <w:spacing w:after="0" w:line="127" w:lineRule="exact"/>
        <w:rPr>
          <w:sz w:val="20"/>
          <w:szCs w:val="20"/>
          <w:color w:val="auto"/>
        </w:rPr>
      </w:pPr>
    </w:p>
    <w:p>
      <w:pPr>
        <w:ind w:left="8" w:right="219"/>
        <w:spacing w:after="0" w:line="272" w:lineRule="auto"/>
        <w:rPr>
          <w:sz w:val="20"/>
          <w:szCs w:val="20"/>
          <w:color w:val="auto"/>
        </w:rPr>
      </w:pPr>
      <w:r>
        <w:rPr>
          <w:rFonts w:ascii="Arial" w:cs="Arial" w:eastAsia="Arial" w:hAnsi="Arial"/>
          <w:sz w:val="17"/>
          <w:szCs w:val="17"/>
          <w:color w:val="auto"/>
        </w:rPr>
        <w:t>The redemption price for any shares of the Series D Preferred Stock shall be payable on the redemption date to the holder of such shares against surrender of the certificate(s) evidencing such shares to the Corporation or its agent, or for uncertificated shares that are issued in book-entry form on the books of the Corporation, against surrender on the books of the Corporation in accordance with the Corporation’s applicable direct registration system. Any declared but unpaid dividends payable on a redemption date that occurs subsequent to the Dividend Record Date for a Dividend Period shall not be paid to the holder entitled to receive the redemption price on the redemption date, but rather shall be paid to the holder of record of the redeemed shares on such Dividend Record Date relating to the Dividend Payment Date as provided in Section 3 above.</w:t>
      </w:r>
    </w:p>
    <w:p>
      <w:pPr>
        <w:spacing w:after="0" w:line="151" w:lineRule="exact"/>
        <w:rPr>
          <w:sz w:val="20"/>
          <w:szCs w:val="20"/>
          <w:color w:val="auto"/>
        </w:rPr>
      </w:pPr>
    </w:p>
    <w:p>
      <w:pPr>
        <w:ind w:left="8" w:right="499" w:hanging="8"/>
        <w:spacing w:after="0" w:line="264" w:lineRule="auto"/>
        <w:tabs>
          <w:tab w:leader="none" w:pos="262"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No Sinking Fund</w:t>
      </w:r>
      <w:r>
        <w:rPr>
          <w:rFonts w:ascii="Arial" w:cs="Arial" w:eastAsia="Arial" w:hAnsi="Arial"/>
          <w:sz w:val="18"/>
          <w:szCs w:val="18"/>
          <w:color w:val="auto"/>
        </w:rPr>
        <w:t>. The Series D Preferred Stock will not be subject to any mandatory redemption, sinking fund or other similar provisions. Holders of the Series D Preferred Stock will have no right to require redemption or repurchase of any shares of the Series D Preferred Stock.</w:t>
      </w:r>
    </w:p>
    <w:p>
      <w:pPr>
        <w:spacing w:after="0" w:line="140" w:lineRule="exact"/>
        <w:rPr>
          <w:rFonts w:ascii="Arial" w:cs="Arial" w:eastAsia="Arial" w:hAnsi="Arial"/>
          <w:sz w:val="18"/>
          <w:szCs w:val="18"/>
          <w:color w:val="auto"/>
        </w:rPr>
      </w:pPr>
    </w:p>
    <w:p>
      <w:pPr>
        <w:ind w:left="8" w:right="179" w:hanging="8"/>
        <w:spacing w:after="0" w:line="269" w:lineRule="auto"/>
        <w:tabs>
          <w:tab w:leader="none" w:pos="252"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Notice of Redemption</w:t>
      </w:r>
      <w:r>
        <w:rPr>
          <w:rFonts w:ascii="Arial" w:cs="Arial" w:eastAsia="Arial" w:hAnsi="Arial"/>
          <w:sz w:val="17"/>
          <w:szCs w:val="17"/>
          <w:color w:val="auto"/>
        </w:rPr>
        <w:t>. Notice of every redemption of shares of the Series D Preferred Stock shall be given by first class mail, postage prepaid, addressed to the holders of record of the shares to be redeemed at their respective last addresses appearing on the books of the Corporation. Such mailing shall be at least 30 days and not more than 60 days before the date fixed for redemption. Any notice mailed as provided in this Subsection shall be conclusively presumed to have been duly given, whether or not the holder receives such notice, but failure duly to give such notice by mail, or any defect in such notice or in the mailing thereof, to any holder of shares of the Series D Preferred Stock designated for redemption shall not affect the validity of the proceedings for the redemption of any other shares of the Series D Preferred Stock. Notwithstanding the foregoing, if shares of the Series D Preferred Stock are issued in book-entry form through The Depository Trust Company or any other similar facility, notice of redemption may be given to the holders of the Series D Preferred Stock at such time and in any manner permitted by such facility. Each notice of redemption given to a holder shall state: (1) the redemption date; (2) the number of shares of the Series D Preferred Stock to be redeemed; (3) the redemption price; and (4) the place or places where certificates for any such shares issued in certificated form are to be surrendered for payment of the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627380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28" w:name="page129"/>
    <w:bookmarkEnd w:id="128"/>
    <w:p>
      <w:pPr>
        <w:ind w:left="8" w:right="219" w:hanging="8"/>
        <w:spacing w:after="0" w:line="270" w:lineRule="auto"/>
        <w:tabs>
          <w:tab w:leader="none" w:pos="262"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Effectiveness of Redemption</w:t>
      </w:r>
      <w:r>
        <w:rPr>
          <w:rFonts w:ascii="Arial" w:cs="Arial" w:eastAsia="Arial" w:hAnsi="Arial"/>
          <w:sz w:val="17"/>
          <w:szCs w:val="17"/>
          <w:color w:val="auto"/>
        </w:rPr>
        <w:t xml:space="preserve">. If notice of redemption has been duly given and if on or before the redemption date specified in the notice all funds necessary for the redemption have been deposited by the Corporation, in trust for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benefit of the holders of the shares called for redemption, with a bank or trust company selected by the Board of Directors,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law, be released to the Corporation, after which time the holders of the shares so called for redemption shall look only to the Corporation for payment of the redemption price of such shares.</w:t>
      </w:r>
    </w:p>
    <w:p>
      <w:pPr>
        <w:spacing w:after="0" w:line="150" w:lineRule="exact"/>
        <w:rPr>
          <w:rFonts w:ascii="Arial" w:cs="Arial" w:eastAsia="Arial" w:hAnsi="Arial"/>
          <w:sz w:val="17"/>
          <w:szCs w:val="17"/>
          <w:color w:val="auto"/>
        </w:rPr>
      </w:pPr>
    </w:p>
    <w:p>
      <w:pPr>
        <w:ind w:left="8" w:right="299" w:hanging="8"/>
        <w:spacing w:after="0" w:line="312" w:lineRule="auto"/>
        <w:tabs>
          <w:tab w:leader="none" w:pos="252"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Status of Redeemed Shares</w:t>
      </w:r>
      <w:r>
        <w:rPr>
          <w:rFonts w:ascii="Arial" w:cs="Arial" w:eastAsia="Arial" w:hAnsi="Arial"/>
          <w:sz w:val="16"/>
          <w:szCs w:val="16"/>
          <w:color w:val="auto"/>
        </w:rPr>
        <w:t>. Shares of the Series D Preferred Stock that are redeemed, repurchased or otherwise acquired by the Corporation shall revert to authorized but unissued shares of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cancelled shares of the Series D Preferred Stock may be reissued only as shares of any series of Preferred Stock other than the Series D Preferred Stock).</w:t>
      </w:r>
    </w:p>
    <w:p>
      <w:pPr>
        <w:spacing w:after="0" w:line="106" w:lineRule="exact"/>
        <w:rPr>
          <w:sz w:val="20"/>
          <w:szCs w:val="20"/>
          <w:color w:val="auto"/>
        </w:rPr>
      </w:pPr>
    </w:p>
    <w:p>
      <w:pPr>
        <w:ind w:left="8" w:right="279"/>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Conversion</w:t>
      </w:r>
      <w:r>
        <w:rPr>
          <w:rFonts w:ascii="Arial" w:cs="Arial" w:eastAsia="Arial" w:hAnsi="Arial"/>
          <w:sz w:val="18"/>
          <w:szCs w:val="18"/>
          <w:color w:val="auto"/>
        </w:rPr>
        <w:t>. Holders of the Series D Preferred Stock shares shall have no right to exchange or convert such shares into any other securities.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98" w:lineRule="exact"/>
        <w:rPr>
          <w:sz w:val="20"/>
          <w:szCs w:val="20"/>
          <w:color w:val="auto"/>
        </w:rPr>
      </w:pPr>
    </w:p>
    <w:p>
      <w:pPr>
        <w:ind w:left="8" w:right="159" w:hanging="8"/>
        <w:spacing w:after="0" w:line="264" w:lineRule="auto"/>
        <w:tabs>
          <w:tab w:leader="none" w:pos="252"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holders of the Series D Preferred Stock shall not have any voting rights except as set forth below or as otherwise from time to time required by law. In exercising the voting rights set forth below, each holder shall be entitled to one vote for each share of the Series D Preferred Stock held by such holder.</w:t>
      </w:r>
    </w:p>
    <w:p>
      <w:pPr>
        <w:spacing w:after="0" w:line="140" w:lineRule="exact"/>
        <w:rPr>
          <w:rFonts w:ascii="Arial" w:cs="Arial" w:eastAsia="Arial" w:hAnsi="Arial"/>
          <w:sz w:val="18"/>
          <w:szCs w:val="18"/>
          <w:color w:val="auto"/>
        </w:rPr>
      </w:pPr>
    </w:p>
    <w:p>
      <w:pPr>
        <w:ind w:left="8" w:right="319" w:hanging="8"/>
        <w:spacing w:after="0" w:line="257" w:lineRule="auto"/>
        <w:tabs>
          <w:tab w:leader="none" w:pos="262"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Class Voting Rights as to Particular Matters</w:t>
      </w:r>
      <w:r>
        <w:rPr>
          <w:rFonts w:ascii="Arial" w:cs="Arial" w:eastAsia="Arial" w:hAnsi="Arial"/>
          <w:sz w:val="18"/>
          <w:szCs w:val="18"/>
          <w:color w:val="auto"/>
        </w:rPr>
        <w:t>. So long as any shares of the Series D Preferred Stock are outstanding, in addition to any other vote or consent of stockholders required by law or by the Articles of Incorporation, the vote or consent of the holders of at least a majority of the shares of the Series D Preferred Stock at the time outstanding, voting as a separate class, given in person or by proxy, either in writing without a meeting or by vote at any meeting called for the purpose, shall be necessary for effecting or validating:</w:t>
      </w:r>
    </w:p>
    <w:p>
      <w:pPr>
        <w:spacing w:after="0" w:line="148" w:lineRule="exact"/>
        <w:rPr>
          <w:sz w:val="20"/>
          <w:szCs w:val="20"/>
          <w:color w:val="auto"/>
        </w:rPr>
      </w:pPr>
    </w:p>
    <w:p>
      <w:pPr>
        <w:ind w:left="8" w:right="299" w:hanging="8"/>
        <w:spacing w:after="0" w:line="257" w:lineRule="auto"/>
        <w:tabs>
          <w:tab w:leader="none" w:pos="223"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Authorization of Senior Stock</w:t>
      </w:r>
      <w:r>
        <w:rPr>
          <w:rFonts w:ascii="Arial" w:cs="Arial" w:eastAsia="Arial" w:hAnsi="Arial"/>
          <w:sz w:val="18"/>
          <w:szCs w:val="18"/>
          <w:color w:val="auto"/>
        </w:rPr>
        <w:t>. Any amendment or alteration of the Certificate of Designation for the Series D Preferred Stock or the Articles of Incorporation to authorize or create or increase the authorized amount of, or any issuance of, any shares of, or any securities convertible into or exchangeable or exercisable for shares of, any class or series of capital stock of the Corporation ranking senior to the Series D Preferred Stock with respect to either or both the payment of dividends and/or the distribution of assets on any liquidation, dissolution or winding up of the Corporation;</w:t>
      </w:r>
    </w:p>
    <w:p>
      <w:pPr>
        <w:spacing w:after="0" w:line="161" w:lineRule="exact"/>
        <w:rPr>
          <w:rFonts w:ascii="Arial" w:cs="Arial" w:eastAsia="Arial" w:hAnsi="Arial"/>
          <w:sz w:val="18"/>
          <w:szCs w:val="18"/>
          <w:color w:val="auto"/>
        </w:rPr>
      </w:pPr>
    </w:p>
    <w:p>
      <w:pPr>
        <w:ind w:left="8" w:right="239" w:hanging="8"/>
        <w:spacing w:after="0" w:line="257" w:lineRule="auto"/>
        <w:tabs>
          <w:tab w:leader="none" w:pos="273"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Amendment of the Series D Preferred Stock</w:t>
      </w:r>
      <w:r>
        <w:rPr>
          <w:rFonts w:ascii="Arial" w:cs="Arial" w:eastAsia="Arial" w:hAnsi="Arial"/>
          <w:sz w:val="18"/>
          <w:szCs w:val="18"/>
          <w:color w:val="auto"/>
        </w:rPr>
        <w:t>. Any amendment, alteration or repeal of any provision of the Certificate of Designations for the Series D Preferred Stock or the Articles of Incorporation (including, unless no vote on such merger or consolidation is required by Section 7(b)(iii) below, any amendment, alteration or repeal by means of a merger, consolidation or otherwise) so as to materially and adversely affect the rights, preferences, privileges or voting powers of the Series D Preferred Stock;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624205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29" w:name="page130"/>
    <w:bookmarkEnd w:id="129"/>
    <w:p>
      <w:pPr>
        <w:ind w:left="8" w:right="199" w:hanging="8"/>
        <w:spacing w:after="0" w:line="287" w:lineRule="auto"/>
        <w:tabs>
          <w:tab w:leader="none" w:pos="323"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Share Exchanges, Reclassifications, Mergers and Consolidations</w:t>
      </w:r>
      <w:r>
        <w:rPr>
          <w:rFonts w:ascii="Arial" w:cs="Arial" w:eastAsia="Arial" w:hAnsi="Arial"/>
          <w:sz w:val="16"/>
          <w:szCs w:val="16"/>
          <w:color w:val="auto"/>
        </w:rPr>
        <w:t>. Any consummation of a binding share exchange or reclassification involving the Series D Preferred Stock, or of a merger or consolidation of the Corporation with another corporation or other entity, unless in each case (x) the shares of the Series D Preferred Stock remain outstanding (and there shall not have been any adverse effect to the rights, privileges, preferences or otherwise of such Series D Preferred Stock) or, in the case of any such merger or consolidation with respect to which the Corporation is not the surviving or resulting entity, are converted into or exchanged for preference securities of the surviving or resulting entity or its ultimate parent, and (y) such shares remaining outstanding or such preference securities, as the case may be, are securities in an issuer with a credit rating of at least as high a quality as the credit rating of the Corporation on the date immediately prior to the consummation of such transaction and further have such rights, preferences, privileges and voting powers, and limitations and restrictions thereof, taken as a whole, as are at least as favorable to the holders thereof than the rights, preferences, privileges and voting powers, and limitations and restrictions thereof, of the Series D Preferred Stock immediately prior to such consummation, taken as a whole;</w:t>
      </w:r>
    </w:p>
    <w:p>
      <w:pPr>
        <w:spacing w:after="0" w:line="146" w:lineRule="exact"/>
        <w:rPr>
          <w:sz w:val="20"/>
          <w:szCs w:val="20"/>
          <w:color w:val="auto"/>
        </w:rPr>
      </w:pPr>
    </w:p>
    <w:p>
      <w:pPr>
        <w:ind w:left="8" w:right="179"/>
        <w:spacing w:after="0" w:line="272"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for all purposes of this Section 7(b), any increase in the amount of the authorized Preferred Stock, or the</w:t>
      </w:r>
      <w:r>
        <w:rPr>
          <w:rFonts w:ascii="Arial" w:cs="Arial" w:eastAsia="Arial" w:hAnsi="Arial"/>
          <w:sz w:val="17"/>
          <w:szCs w:val="17"/>
          <w:i w:val="1"/>
          <w:iCs w:val="1"/>
          <w:color w:val="auto"/>
        </w:rPr>
        <w:t xml:space="preserve"> </w:t>
      </w:r>
      <w:r>
        <w:rPr>
          <w:rFonts w:ascii="Arial" w:cs="Arial" w:eastAsia="Arial" w:hAnsi="Arial"/>
          <w:sz w:val="17"/>
          <w:szCs w:val="17"/>
          <w:color w:val="auto"/>
        </w:rPr>
        <w:t>creation and issuance, or an increase in the authorized or issued amount, whether pursuant to preemptive or similar rights or otherwise, of any other series of Preferred Stock, or any securities convertible into or exchangeable or exercisable for any other series of Preferred Stock, ranking equally with and/or junior to the Series D Preferred Stock with respect to the payment of dividends (whether such dividends are cumulative or non-cumulative) and the distribution of assets upon liquidation, dissolution or winding up of the Corporation will not be deemed to adversely affect the rights, preferences, privileges or voting powers, and shall not require the affirmative vote or consent of, the holders of outstanding shares of the Series D Preferred Stock.</w:t>
      </w:r>
    </w:p>
    <w:p>
      <w:pPr>
        <w:spacing w:after="0" w:line="137" w:lineRule="exact"/>
        <w:rPr>
          <w:sz w:val="20"/>
          <w:szCs w:val="20"/>
          <w:color w:val="auto"/>
        </w:rPr>
      </w:pPr>
    </w:p>
    <w:p>
      <w:pPr>
        <w:ind w:left="8" w:right="319" w:hanging="8"/>
        <w:spacing w:after="0" w:line="257" w:lineRule="auto"/>
        <w:tabs>
          <w:tab w:leader="none" w:pos="252"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Changes after Provision for Redemption</w:t>
      </w:r>
      <w:r>
        <w:rPr>
          <w:rFonts w:ascii="Arial" w:cs="Arial" w:eastAsia="Arial" w:hAnsi="Arial"/>
          <w:sz w:val="18"/>
          <w:szCs w:val="18"/>
          <w:color w:val="auto"/>
        </w:rPr>
        <w:t>. No vote or consent of the holders of the Series D Preferred Stock shall be required pursuant to Section 7(b) above if, at or prior to the time when any such vote or consent would otherwise be required pursuant to such Section, all outstanding shares of the Series D Preferred Stock shall have been redeemed, or shall have been called for redemption upon proper notice and sufficient funds shall have been deposited in trust for such redemption, in each case pursuant to Section 5 above.</w:t>
      </w:r>
    </w:p>
    <w:p>
      <w:pPr>
        <w:spacing w:after="0" w:line="147" w:lineRule="exact"/>
        <w:rPr>
          <w:rFonts w:ascii="Arial" w:cs="Arial" w:eastAsia="Arial" w:hAnsi="Arial"/>
          <w:sz w:val="18"/>
          <w:szCs w:val="18"/>
          <w:color w:val="auto"/>
        </w:rPr>
      </w:pPr>
    </w:p>
    <w:p>
      <w:pPr>
        <w:ind w:left="248" w:hanging="248"/>
        <w:spacing w:after="0"/>
        <w:tabs>
          <w:tab w:leader="none" w:pos="248"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Procedures for Voting and Consents</w:t>
      </w:r>
      <w:r>
        <w:rPr>
          <w:rFonts w:ascii="Arial" w:cs="Arial" w:eastAsia="Arial" w:hAnsi="Arial"/>
          <w:sz w:val="17"/>
          <w:szCs w:val="17"/>
          <w:color w:val="auto"/>
        </w:rPr>
        <w:t>. The rules and procedures for calling and conducting any meeting of the holders of the</w:t>
      </w:r>
    </w:p>
    <w:p>
      <w:pPr>
        <w:spacing w:after="0" w:line="35" w:lineRule="exact"/>
        <w:rPr>
          <w:sz w:val="20"/>
          <w:szCs w:val="20"/>
          <w:color w:val="auto"/>
        </w:rPr>
      </w:pPr>
    </w:p>
    <w:p>
      <w:pPr>
        <w:ind w:left="8" w:right="239"/>
        <w:spacing w:after="0" w:line="252" w:lineRule="auto"/>
        <w:rPr>
          <w:sz w:val="20"/>
          <w:szCs w:val="20"/>
          <w:color w:val="auto"/>
        </w:rPr>
      </w:pPr>
      <w:r>
        <w:rPr>
          <w:rFonts w:ascii="Arial" w:cs="Arial" w:eastAsia="Arial" w:hAnsi="Arial"/>
          <w:sz w:val="18"/>
          <w:szCs w:val="18"/>
          <w:color w:val="auto"/>
        </w:rPr>
        <w:t>Series D Preferred Stock (including, without limitation, the fixing of a record date in connection therewith), the solicitation and use of proxies at such a meeting, the obtaining of written consents and any other aspect or matter with regard to such a meeting or such consents shall be governed by any rules of the Board of Directors or any duly authorized committee of the Board of Directors, in its discretion, may adopt from time to time, which rules and procedures shall conform to the requirements of the Articles of Incorporation, the Bylaws, and applicable law and the rules of any national securities exchange or other trading facility on which the Series D Preferred Stock is listed or traded at the time.</w:t>
      </w:r>
    </w:p>
    <w:p>
      <w:pPr>
        <w:spacing w:after="0" w:line="167" w:lineRule="exact"/>
        <w:rPr>
          <w:sz w:val="20"/>
          <w:szCs w:val="20"/>
          <w:color w:val="auto"/>
        </w:rPr>
      </w:pPr>
    </w:p>
    <w:p>
      <w:pPr>
        <w:ind w:left="8" w:right="179"/>
        <w:spacing w:after="0" w:line="312"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Record Holders</w:t>
      </w:r>
      <w:r>
        <w:rPr>
          <w:rFonts w:ascii="Arial" w:cs="Arial" w:eastAsia="Arial" w:hAnsi="Arial"/>
          <w:sz w:val="16"/>
          <w:szCs w:val="16"/>
          <w:color w:val="auto"/>
        </w:rPr>
        <w:t>. To the fullest extent permitted by applicable law, the Corporation and the transfer agent for the Series D Preferred Stock may deem and treat the record holder of any share of the Series D Preferred Stock as the true and lawful owner thereof for all purposes, and neither the Corporation nor such transfer agent shall be affected by any notice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597535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130" w:name="page131"/>
    <w:bookmarkEnd w:id="130"/>
    <w:p>
      <w:pPr>
        <w:ind w:right="379"/>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or communications in respect of the Series D Preferred Stock shall be sufficiently given if given in writing and delivered in person or by first class mail, postage prepaid, or recognized courier service, if given by electronic mail or if given in such other manner as may be permitted in this Certificate of Designations, in the Articles of Incorporation or Bylaws or by applicable law. Notwithstanding the foregoing, if shares of the Series D Preferred Stock are issued in book-entry form through The Depository Trust Corporation or any similar facility, such notices may be given to the holders of the Series D Preferred Stock in any manner permitted by such facility.</w:t>
      </w:r>
    </w:p>
    <w:p>
      <w:pPr>
        <w:spacing w:after="0" w:line="166" w:lineRule="exact"/>
        <w:rPr>
          <w:sz w:val="20"/>
          <w:szCs w:val="20"/>
          <w:color w:val="auto"/>
        </w:rPr>
      </w:pPr>
    </w:p>
    <w:p>
      <w:pPr>
        <w:ind w:right="279"/>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No Preemptive Rights</w:t>
      </w:r>
      <w:r>
        <w:rPr>
          <w:rFonts w:ascii="Arial" w:cs="Arial" w:eastAsia="Arial" w:hAnsi="Arial"/>
          <w:sz w:val="18"/>
          <w:szCs w:val="18"/>
          <w:color w:val="auto"/>
        </w:rPr>
        <w:t>. No share of the Series D Preferred Stock shall have any rights of preemption whatsoever as to any securities of the Corporation, or any warrants, rights or options issued or granted with respect thereto, regardless of how such securities, or such warrants, rights or options, may be designated, issued or granted.</w:t>
      </w:r>
    </w:p>
    <w:p>
      <w:pPr>
        <w:spacing w:after="0" w:line="141" w:lineRule="exact"/>
        <w:rPr>
          <w:sz w:val="20"/>
          <w:szCs w:val="20"/>
          <w:color w:val="auto"/>
        </w:rPr>
      </w:pPr>
    </w:p>
    <w:p>
      <w:pPr>
        <w:ind w:right="179"/>
        <w:spacing w:after="0" w:line="27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Replacement Certificates</w:t>
      </w:r>
      <w:r>
        <w:rPr>
          <w:rFonts w:ascii="Arial" w:cs="Arial" w:eastAsia="Arial" w:hAnsi="Arial"/>
          <w:sz w:val="17"/>
          <w:szCs w:val="17"/>
          <w:color w:val="auto"/>
        </w:rPr>
        <w:t>. The Corporation shall replace any mutilated certificate at the holder’s expense upon surrender of that certificate to the Corporation. The Corporation shall replace certificates that become destroyed, stolen or lost at the holder’s expense upon delivery to the Corporation of reasonably satisfactory evidence that the certificate has been destroyed, stolen or lost, together with any indemnity that may be reasonably required by the Corporation.</w:t>
      </w:r>
    </w:p>
    <w:p>
      <w:pPr>
        <w:spacing w:after="0" w:line="131" w:lineRule="exact"/>
        <w:rPr>
          <w:sz w:val="20"/>
          <w:szCs w:val="20"/>
          <w:color w:val="auto"/>
        </w:rPr>
      </w:pPr>
    </w:p>
    <w:p>
      <w:pPr>
        <w:ind w:right="159"/>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Rights</w:t>
      </w:r>
      <w:r>
        <w:rPr>
          <w:rFonts w:ascii="Arial" w:cs="Arial" w:eastAsia="Arial" w:hAnsi="Arial"/>
          <w:sz w:val="18"/>
          <w:szCs w:val="18"/>
          <w:color w:val="auto"/>
        </w:rPr>
        <w:t>. The shares of the Series D Preferred Stock shall not have any rights, preferences, privileges or voting powers or relative, participating, optional or other special rights, or qualifications, limitations or restrictions thereof, other than as set forth herein or in the Articles of Incorporation or as provided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628015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31" w:name="page132"/>
    <w:bookmarkEnd w:id="131"/>
    <w:p>
      <w:pPr>
        <w:jc w:val="center"/>
        <w:ind w:right="171"/>
        <w:spacing w:after="0"/>
        <w:rPr>
          <w:sz w:val="20"/>
          <w:szCs w:val="20"/>
          <w:color w:val="auto"/>
        </w:rPr>
      </w:pPr>
      <w:r>
        <w:rPr>
          <w:rFonts w:ascii="Arial" w:cs="Arial" w:eastAsia="Arial" w:hAnsi="Arial"/>
          <w:sz w:val="18"/>
          <w:szCs w:val="18"/>
          <w:b w:val="1"/>
          <w:bCs w:val="1"/>
          <w:color w:val="auto"/>
        </w:rPr>
        <w:t>CERTIFICATE OF RIGHTS AND PREFERENCES</w:t>
      </w:r>
    </w:p>
    <w:p>
      <w:pPr>
        <w:spacing w:after="0" w:line="198"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SERIES C CONVERTIBLE PREFERRED STOCK</w:t>
      </w:r>
    </w:p>
    <w:p>
      <w:pPr>
        <w:spacing w:after="0" w:line="185"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UNITED COMMUNITY BANKS, INC.</w:t>
      </w:r>
    </w:p>
    <w:p>
      <w:pPr>
        <w:spacing w:after="0" w:line="185"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April 1, 2010</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6"/>
          <w:szCs w:val="16"/>
          <w:color w:val="auto"/>
        </w:rPr>
        <w:t>Pursuant to Section 14-2-602 of the Georgia Business Corporation Code and Article V of the Restated Articles of Incorporation, as</w:t>
      </w:r>
    </w:p>
    <w:p>
      <w:pPr>
        <w:spacing w:after="0" w:line="46" w:lineRule="exact"/>
        <w:rPr>
          <w:sz w:val="20"/>
          <w:szCs w:val="20"/>
          <w:color w:val="auto"/>
        </w:rPr>
      </w:pPr>
    </w:p>
    <w:p>
      <w:pPr>
        <w:ind w:left="8"/>
        <w:spacing w:after="0"/>
        <w:rPr>
          <w:sz w:val="20"/>
          <w:szCs w:val="20"/>
          <w:color w:val="auto"/>
        </w:rPr>
      </w:pPr>
      <w:r>
        <w:rPr>
          <w:rFonts w:ascii="Arial" w:cs="Arial" w:eastAsia="Arial" w:hAnsi="Arial"/>
          <w:sz w:val="17"/>
          <w:szCs w:val="17"/>
          <w:color w:val="auto"/>
        </w:rPr>
        <w:t>amended, of United Community Banks, Inc., a corporation organized and existing under the laws of the State of Georgia (the</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hereby certifies that the following resolution was duly adopted by the Board of Directors of the Company effective as of</w:t>
      </w:r>
    </w:p>
    <w:p>
      <w:pPr>
        <w:spacing w:after="0" w:line="32" w:lineRule="exact"/>
        <w:rPr>
          <w:sz w:val="20"/>
          <w:szCs w:val="20"/>
          <w:color w:val="auto"/>
        </w:rPr>
      </w:pPr>
    </w:p>
    <w:p>
      <w:pPr>
        <w:ind w:left="8"/>
        <w:spacing w:after="0"/>
        <w:rPr>
          <w:sz w:val="20"/>
          <w:szCs w:val="20"/>
          <w:color w:val="auto"/>
        </w:rPr>
      </w:pPr>
      <w:r>
        <w:rPr>
          <w:rFonts w:ascii="Arial" w:cs="Arial" w:eastAsia="Arial" w:hAnsi="Arial"/>
          <w:sz w:val="16"/>
          <w:szCs w:val="16"/>
          <w:color w:val="auto"/>
        </w:rPr>
        <w:t>March 26, 2010 pursuant to authority conferred upon the Board of Directors by the Restated Articles of Incorporation of the Company,</w:t>
      </w:r>
    </w:p>
    <w:p>
      <w:pPr>
        <w:spacing w:after="0" w:line="32" w:lineRule="exact"/>
        <w:rPr>
          <w:sz w:val="20"/>
          <w:szCs w:val="20"/>
          <w:color w:val="auto"/>
        </w:rPr>
      </w:pPr>
    </w:p>
    <w:p>
      <w:pPr>
        <w:ind w:left="8"/>
        <w:spacing w:after="0"/>
        <w:rPr>
          <w:sz w:val="20"/>
          <w:szCs w:val="20"/>
          <w:color w:val="auto"/>
        </w:rPr>
      </w:pPr>
      <w:r>
        <w:rPr>
          <w:rFonts w:ascii="Arial" w:cs="Arial" w:eastAsia="Arial" w:hAnsi="Arial"/>
          <w:sz w:val="16"/>
          <w:szCs w:val="16"/>
          <w:color w:val="auto"/>
        </w:rPr>
        <w:t>as amended, which authorize the issuance of up to Ten Million (10,000,000) shares of preferred stock, par value $1.00 per share.</w:t>
      </w:r>
    </w:p>
    <w:p>
      <w:pPr>
        <w:spacing w:after="0" w:line="207" w:lineRule="exact"/>
        <w:rPr>
          <w:sz w:val="20"/>
          <w:szCs w:val="20"/>
          <w:color w:val="auto"/>
        </w:rPr>
      </w:pPr>
    </w:p>
    <w:p>
      <w:pPr>
        <w:ind w:left="8" w:right="179"/>
        <w:spacing w:after="0" w:line="273" w:lineRule="auto"/>
        <w:rPr>
          <w:sz w:val="20"/>
          <w:szCs w:val="20"/>
          <w:color w:val="auto"/>
        </w:rPr>
      </w:pPr>
      <w:r>
        <w:rPr>
          <w:rFonts w:ascii="Arial" w:cs="Arial" w:eastAsia="Arial" w:hAnsi="Arial"/>
          <w:sz w:val="17"/>
          <w:szCs w:val="17"/>
          <w:color w:val="auto"/>
        </w:rPr>
        <w:t>RESOLVED, that pursuant to authority expressly granted to and vested in the Board of Directors of the Company and pursuant to the provisions of the Articles of Incorporation, the Board of Directors hereby creates a series of preferred stock, herein designated and authorized as the Series C Convertible Preferred Stock, par value $1.00 per share, which shall consist of Sixty-Five Thousand (65,000) of the shares of preferred stock which the Company now has authority to issue, and the Board of Directors hereby fixes the powers, designations and preferences and the relative, participating, optional and other special rights of the shares of such series, and the qualifications, limitations and restrictions thereof as follows:</w:t>
      </w:r>
    </w:p>
    <w:p>
      <w:pPr>
        <w:spacing w:after="0" w:line="138" w:lineRule="exact"/>
        <w:rPr>
          <w:sz w:val="20"/>
          <w:szCs w:val="20"/>
          <w:color w:val="auto"/>
        </w:rPr>
      </w:pPr>
    </w:p>
    <w:p>
      <w:pPr>
        <w:ind w:left="8" w:right="299" w:hanging="8"/>
        <w:spacing w:after="0" w:line="277" w:lineRule="auto"/>
        <w:tabs>
          <w:tab w:leader="none" w:pos="188"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Number</w:t>
      </w:r>
      <w:r>
        <w:rPr>
          <w:rFonts w:ascii="Arial" w:cs="Arial" w:eastAsia="Arial" w:hAnsi="Arial"/>
          <w:sz w:val="18"/>
          <w:szCs w:val="18"/>
          <w:color w:val="auto"/>
        </w:rPr>
        <w:t>. The number of shares constituting the Series C Convertible Preferred Stock shall be Sixty-Five Thousand (65,000), all of which are issuable solely under the Agreement.</w:t>
      </w:r>
    </w:p>
    <w:p>
      <w:pPr>
        <w:spacing w:after="0" w:line="129" w:lineRule="exact"/>
        <w:rPr>
          <w:rFonts w:ascii="Arial" w:cs="Arial" w:eastAsia="Arial" w:hAnsi="Arial"/>
          <w:sz w:val="18"/>
          <w:szCs w:val="18"/>
          <w:color w:val="auto"/>
        </w:rPr>
      </w:pPr>
    </w:p>
    <w:p>
      <w:pPr>
        <w:ind w:left="188" w:hanging="188"/>
        <w:spacing w:after="0"/>
        <w:tabs>
          <w:tab w:leader="none" w:pos="188"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Unless the context otherwise requires, when used herein the following terms shall have the meaning indicated.</w:t>
      </w:r>
    </w:p>
    <w:p>
      <w:pPr>
        <w:spacing w:after="0" w:line="210" w:lineRule="exact"/>
        <w:rPr>
          <w:sz w:val="20"/>
          <w:szCs w:val="20"/>
          <w:color w:val="auto"/>
        </w:rPr>
      </w:pPr>
    </w:p>
    <w:p>
      <w:pPr>
        <w:ind w:left="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has the meaning set forth in the Agreement.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Consideration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6(f)(iii)(C)</w:t>
      </w:r>
      <w:r>
        <w:rPr>
          <w:rFonts w:ascii="Arial" w:cs="Arial" w:eastAsia="Arial" w:hAnsi="Arial"/>
          <w:sz w:val="18"/>
          <w:szCs w:val="18"/>
          <w:color w:val="auto"/>
        </w:rPr>
        <w:t>.</w:t>
      </w:r>
    </w:p>
    <w:p>
      <w:pPr>
        <w:spacing w:after="0" w:line="185" w:lineRule="exact"/>
        <w:rPr>
          <w:sz w:val="20"/>
          <w:szCs w:val="20"/>
          <w:color w:val="auto"/>
        </w:rPr>
      </w:pPr>
    </w:p>
    <w:p>
      <w:pPr>
        <w:ind w:left="8" w:right="199"/>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means the Securities Purchase Agreement dated as of April 1, 2010, by and between the Company and Fletcher pursuant to which Sixty-Five Thousand (65,000) shares of Series C Preferred Stock and a warrant are to be issued by the Company, including all schedules, annexes and exhibits thereto, and as such agreement may be amended from time to time.</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means the Restated Articles of Incorporation of the Company, as amended.</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655955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132" w:name="page133"/>
    <w:bookmarkEnd w:id="132"/>
    <w:p>
      <w:pPr>
        <w:ind w:right="199"/>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on which the Common Stock may be traded on the Nasdaq, or if not admitted for trading on the Nasdaq, on any day other than a Saturday, Sunday or holiday on which banks in New York City are required or permitted to be closed.</w:t>
      </w:r>
    </w:p>
    <w:p>
      <w:pPr>
        <w:spacing w:after="0" w:line="97" w:lineRule="exact"/>
        <w:rPr>
          <w:sz w:val="20"/>
          <w:szCs w:val="20"/>
          <w:color w:val="auto"/>
        </w:rPr>
      </w:pPr>
    </w:p>
    <w:p>
      <w:pPr>
        <w:ind w:right="179"/>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Stock</w:t>
      </w:r>
      <w:r>
        <w:rPr>
          <w:rFonts w:ascii="Arial" w:cs="Arial" w:eastAsia="Arial" w:hAnsi="Arial"/>
          <w:sz w:val="17"/>
          <w:szCs w:val="17"/>
          <w:color w:val="auto"/>
        </w:rPr>
        <w:t>” means (i) with respect to any Person that is a corporation, any and all shares, interests, participations or other equivalents (however designated) of capital or capital stock of such Person and (ii) with respect to any Person that is not a corporation, any and all partnership, limited partnership, limited liability company or other equity interests of such Person.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Rights and Preference</w:t>
      </w:r>
      <w:r>
        <w:rPr>
          <w:rFonts w:ascii="Arial" w:cs="Arial" w:eastAsia="Arial" w:hAnsi="Arial"/>
          <w:sz w:val="18"/>
          <w:szCs w:val="18"/>
          <w:color w:val="auto"/>
        </w:rPr>
        <w:t>s” means this Certificate of Rights and Preferences of the Series C Preferred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has the meaning set forth in the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6(f)(i)</w:t>
      </w:r>
      <w:r>
        <w:rPr>
          <w:rFonts w:ascii="Arial" w:cs="Arial" w:eastAsia="Arial" w:hAnsi="Arial"/>
          <w:sz w:val="18"/>
          <w:szCs w:val="18"/>
          <w:color w:val="auto"/>
        </w:rPr>
        <w:t>.</w:t>
      </w:r>
    </w:p>
    <w:p>
      <w:pPr>
        <w:spacing w:after="0" w:line="185" w:lineRule="exact"/>
        <w:rPr>
          <w:sz w:val="20"/>
          <w:szCs w:val="20"/>
          <w:color w:val="auto"/>
        </w:rPr>
      </w:pPr>
    </w:p>
    <w:p>
      <w:pPr>
        <w:ind w:right="29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Equivalent Junior Preferred Stock</w:t>
      </w:r>
      <w:r>
        <w:rPr>
          <w:rFonts w:ascii="Arial" w:cs="Arial" w:eastAsia="Arial" w:hAnsi="Arial"/>
          <w:sz w:val="18"/>
          <w:szCs w:val="18"/>
          <w:color w:val="auto"/>
        </w:rPr>
        <w:t>” means the Company’s Common Stock Equivalent Junior Preferred Stock, par value $1.00 per share, issuable pursuant to Section 6 of the Agreement, and any Capital Stock for or into which such Common Stock Equivalent Junior Preferred Stock hereafter is exchanged, converted, reclassified or recapitalized by the Company or pursuant to a Change of Control (or, at the election of the Holder, the Capital Stock of any Acquiring Person from and after the consummation of a Change of Control).</w:t>
      </w:r>
    </w:p>
    <w:p>
      <w:pPr>
        <w:spacing w:after="0" w:line="148" w:lineRule="exact"/>
        <w:rPr>
          <w:sz w:val="20"/>
          <w:szCs w:val="20"/>
          <w:color w:val="auto"/>
        </w:rPr>
      </w:pPr>
    </w:p>
    <w:p>
      <w:pPr>
        <w:ind w:right="219"/>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Company’s common stock, par value $1.00 per share, and any Capital Stock for or into which such common stock hereafter is exchanged, converted, reclassified or recapitalized by the Company or pursuant to a Change of Control (or, at the election of the Holder, the Capital Stock of any Acquiring Person from and after the consummation of a Change of Control).</w:t>
      </w:r>
    </w:p>
    <w:p>
      <w:pPr>
        <w:spacing w:after="0" w:line="120" w:lineRule="exact"/>
        <w:rPr>
          <w:sz w:val="20"/>
          <w:szCs w:val="20"/>
          <w:color w:val="auto"/>
        </w:rPr>
      </w:pPr>
    </w:p>
    <w:p>
      <w:pPr>
        <w:ind w:right="23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United Community Banks, Inc., a Georgia corporation (or any Acquiring Person from and after the consummation of a Change of Control).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6(f)(iii)</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Closing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6(a)(i)</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6(a)(i)</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Notice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6(a)(i)</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means Six Dollars and Two Cents ($6.02), subject to adjustment as set forth 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Stock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6(a)(ii)</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Market Price</w:t>
      </w:r>
      <w:r>
        <w:rPr>
          <w:rFonts w:ascii="Arial" w:cs="Arial" w:eastAsia="Arial" w:hAnsi="Arial"/>
          <w:sz w:val="18"/>
          <w:szCs w:val="18"/>
          <w:color w:val="auto"/>
        </w:rPr>
        <w:t>” has the meaning set forth in the Agreement.</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33" w:name="page134"/>
    <w:bookmarkEnd w:id="133"/>
    <w:p>
      <w:pPr>
        <w:ind w:left="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185" w:lineRule="exact"/>
        <w:rPr>
          <w:sz w:val="20"/>
          <w:szCs w:val="20"/>
          <w:color w:val="auto"/>
        </w:rPr>
      </w:pPr>
    </w:p>
    <w:p>
      <w:pPr>
        <w:ind w:left="8" w:right="39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Dividend Rate</w:t>
      </w:r>
      <w:r>
        <w:rPr>
          <w:rFonts w:ascii="Arial" w:cs="Arial" w:eastAsia="Arial" w:hAnsi="Arial"/>
          <w:sz w:val="16"/>
          <w:szCs w:val="16"/>
          <w:color w:val="auto"/>
        </w:rPr>
        <w:t xml:space="preserve">” means (i) prior to receipt of the Stockholder Consent, a rate equal to One Thousand Dollars ($1,000) per share multiplied by the lesser of (a) twelve percent (12%) per annum and (b) the sum of the three (3)-month London Interbank Offer Rate (LIBOR) determined as of the first day of the Dividend Period (or if the first day of the Dividend Period is not a Business Day, then the first Business Day after the first day of the Dividend Period) plus eight percent (8%) per annum, subject to </w:t>
      </w:r>
      <w:r>
        <w:rPr>
          <w:rFonts w:ascii="Arial" w:cs="Arial" w:eastAsia="Arial" w:hAnsi="Arial"/>
          <w:sz w:val="16"/>
          <w:szCs w:val="16"/>
          <w:u w:val="single" w:color="auto"/>
          <w:color w:val="auto"/>
        </w:rPr>
        <w:t>Section 3(c)</w:t>
      </w:r>
      <w:r>
        <w:rPr>
          <w:rFonts w:ascii="Arial" w:cs="Arial" w:eastAsia="Arial" w:hAnsi="Arial"/>
          <w:sz w:val="16"/>
          <w:szCs w:val="16"/>
          <w:color w:val="auto"/>
        </w:rPr>
        <w:t>; and (ii) after receipt of the Stockholder Consent, a rate equal to One Thousand Dollars ($1,000) per share multiplied by the lesser of</w:t>
      </w:r>
    </w:p>
    <w:p>
      <w:pPr>
        <w:spacing w:after="0" w:line="2" w:lineRule="exact"/>
        <w:rPr>
          <w:sz w:val="20"/>
          <w:szCs w:val="20"/>
          <w:color w:val="auto"/>
        </w:rPr>
      </w:pPr>
    </w:p>
    <w:p>
      <w:pPr>
        <w:jc w:val="both"/>
        <w:ind w:left="8" w:right="319" w:hanging="8"/>
        <w:spacing w:after="0" w:line="277" w:lineRule="auto"/>
        <w:tabs>
          <w:tab w:leader="none" w:pos="253"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eight percent (8%) per annum and (b) the sum of the three (3)-month London Interbank Offer Rate (LIBOR) determined as of the first day of the Dividend Period (or if the first day of the Dividend Period is not a Business Day, then the first Business Day after the first day of the Dividend Period) plus four percent (4%) per annum, subject to </w:t>
      </w:r>
      <w:r>
        <w:rPr>
          <w:rFonts w:ascii="Arial" w:cs="Arial" w:eastAsia="Arial" w:hAnsi="Arial"/>
          <w:sz w:val="17"/>
          <w:szCs w:val="17"/>
          <w:u w:val="single" w:color="auto"/>
          <w:color w:val="auto"/>
        </w:rPr>
        <w:t>Section 3(c)</w:t>
      </w:r>
      <w:r>
        <w:rPr>
          <w:rFonts w:ascii="Arial" w:cs="Arial" w:eastAsia="Arial" w:hAnsi="Arial"/>
          <w:sz w:val="17"/>
          <w:szCs w:val="17"/>
          <w:color w:val="auto"/>
        </w:rPr>
        <w:t>.</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Fletcher</w:t>
      </w:r>
      <w:r>
        <w:rPr>
          <w:rFonts w:ascii="Arial" w:cs="Arial" w:eastAsia="Arial" w:hAnsi="Arial"/>
          <w:sz w:val="18"/>
          <w:szCs w:val="18"/>
          <w:color w:val="auto"/>
        </w:rPr>
        <w:t>” means Fletcher International, Ltd. a company domiciled in Bermuda, together with its successors.</w:t>
      </w:r>
    </w:p>
    <w:p>
      <w:pPr>
        <w:spacing w:after="0" w:line="185" w:lineRule="exact"/>
        <w:rPr>
          <w:sz w:val="20"/>
          <w:szCs w:val="20"/>
          <w:color w:val="auto"/>
        </w:rPr>
      </w:pPr>
    </w:p>
    <w:p>
      <w:pPr>
        <w:ind w:left="8" w:right="41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shall mean Fletcher and any one or more Persons to whom Fletcher sells, exchanges, transfers, assigns, gives, pledges, encumbers, hypothecates, alienates or distributes, whether directly or indirectly, any or all the Series C Preferred Stock or all or any portion of the right to purchase the Series C Preferred Stock under the Agreement.</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Period</w:t>
      </w:r>
      <w:r>
        <w:rPr>
          <w:rFonts w:ascii="Arial" w:cs="Arial" w:eastAsia="Arial" w:hAnsi="Arial"/>
          <w:sz w:val="18"/>
          <w:szCs w:val="18"/>
          <w:color w:val="auto"/>
        </w:rPr>
        <w:t>” has the meaning set forth in the Agreement.</w:t>
      </w:r>
    </w:p>
    <w:p>
      <w:pPr>
        <w:spacing w:after="0" w:line="198" w:lineRule="exact"/>
        <w:rPr>
          <w:sz w:val="20"/>
          <w:szCs w:val="20"/>
          <w:color w:val="auto"/>
        </w:rPr>
      </w:pPr>
    </w:p>
    <w:p>
      <w:pPr>
        <w:ind w:left="8" w:right="57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with respect to any shares of Series C Preferred Stock the original date of issuance of such shares of Series C Preferred Stock.</w:t>
      </w:r>
    </w:p>
    <w:p>
      <w:pPr>
        <w:spacing w:after="0" w:line="130" w:lineRule="exact"/>
        <w:rPr>
          <w:sz w:val="20"/>
          <w:szCs w:val="20"/>
          <w:color w:val="auto"/>
        </w:rPr>
      </w:pPr>
    </w:p>
    <w:p>
      <w:pPr>
        <w:jc w:val="both"/>
        <w:ind w:left="8" w:right="17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Securities</w:t>
      </w:r>
      <w:r>
        <w:rPr>
          <w:rFonts w:ascii="Arial" w:cs="Arial" w:eastAsia="Arial" w:hAnsi="Arial"/>
          <w:sz w:val="17"/>
          <w:szCs w:val="17"/>
          <w:color w:val="auto"/>
        </w:rPr>
        <w:t>” means Capital Stock that, with respect to dividends and distributions upon Liquidation, ranks junior to the Series C Preferred Stock, including but not limited to Common Stock, Common Stock Equivalent Junior Preferred Stock and any other class or series of Capital Stock issued by the Company or any Subsidiary of the Company on or after the date of the Agreement, but excluding any Parity Securities and Senior Securities issued (i) to Fletcher or its authorized assignees under the Agreement, (ii) with the approval of the Holders of a Majority of the Series C Preferred Stock or (iii) upon the conversion, redemption or exercise of securities described in clause (i) or (ii) in accordance with the terms thereof.</w:t>
      </w:r>
    </w:p>
    <w:p>
      <w:pPr>
        <w:spacing w:after="0" w:line="138" w:lineRule="exact"/>
        <w:rPr>
          <w:sz w:val="20"/>
          <w:szCs w:val="20"/>
          <w:color w:val="auto"/>
        </w:rPr>
      </w:pPr>
    </w:p>
    <w:p>
      <w:pPr>
        <w:ind w:left="8" w:right="19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w:t>
      </w:r>
      <w:r>
        <w:rPr>
          <w:rFonts w:ascii="Arial" w:cs="Arial" w:eastAsia="Arial" w:hAnsi="Arial"/>
          <w:sz w:val="18"/>
          <w:szCs w:val="18"/>
          <w:color w:val="auto"/>
        </w:rPr>
        <w:t xml:space="preserve">” means the voluntary or involuntary liquidation, dissolution or winding up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consolidation, merger or share exchange shall not be deemed a Liquidation, nor shall a sale, assignment, conveyance, transfer, lease or other disposition by the Company of all or substantially all of its assets, which does not involve a distribution by the Company of cash or other property to the holders of Common Stock and Common Stock Equivalent Junior Preferred Stock, be deemed to be a Liquidation.</w:t>
      </w:r>
    </w:p>
    <w:p>
      <w:pPr>
        <w:spacing w:after="0" w:line="200" w:lineRule="exact"/>
        <w:rPr>
          <w:sz w:val="20"/>
          <w:szCs w:val="20"/>
          <w:color w:val="auto"/>
        </w:rPr>
      </w:pPr>
    </w:p>
    <w:p>
      <w:pPr>
        <w:spacing w:after="0" w:line="353"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198" w:lineRule="exact"/>
        <w:rPr>
          <w:sz w:val="20"/>
          <w:szCs w:val="20"/>
          <w:color w:val="auto"/>
        </w:rPr>
      </w:pPr>
    </w:p>
    <w:p>
      <w:pPr>
        <w:ind w:right="35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of the Series C Preferred Stock</w:t>
      </w:r>
      <w:r>
        <w:rPr>
          <w:rFonts w:ascii="Arial" w:cs="Arial" w:eastAsia="Arial" w:hAnsi="Arial"/>
          <w:sz w:val="18"/>
          <w:szCs w:val="18"/>
          <w:color w:val="auto"/>
        </w:rPr>
        <w:t>” means more than fifty percent (50%) of the then outstanding shares of Series C Preferred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Number</w:t>
      </w:r>
      <w:r>
        <w:rPr>
          <w:rFonts w:ascii="Arial" w:cs="Arial" w:eastAsia="Arial" w:hAnsi="Arial"/>
          <w:sz w:val="18"/>
          <w:szCs w:val="18"/>
          <w:color w:val="auto"/>
        </w:rPr>
        <w:t>” has the meaning set forth in the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has the meaning set forth in the Agreement.</w:t>
      </w:r>
    </w:p>
    <w:p>
      <w:pPr>
        <w:spacing w:after="0" w:line="198" w:lineRule="exact"/>
        <w:rPr>
          <w:sz w:val="20"/>
          <w:szCs w:val="20"/>
          <w:color w:val="auto"/>
        </w:rPr>
      </w:pPr>
    </w:p>
    <w:p>
      <w:pPr>
        <w:ind w:right="17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Cash Dividend</w:t>
      </w:r>
      <w:r>
        <w:rPr>
          <w:rFonts w:ascii="Arial" w:cs="Arial" w:eastAsia="Arial" w:hAnsi="Arial"/>
          <w:sz w:val="18"/>
          <w:szCs w:val="18"/>
          <w:color w:val="auto"/>
        </w:rPr>
        <w:t>” means all quarterly cash dividends out of capital surplus or retained earnings legally available therefore (determined in accordance with generally accepted accounting principles, consistently applied), in an amount and frequency consistent with past practice.</w:t>
      </w:r>
    </w:p>
    <w:p>
      <w:pPr>
        <w:spacing w:after="0" w:line="141" w:lineRule="exact"/>
        <w:rPr>
          <w:sz w:val="20"/>
          <w:szCs w:val="20"/>
          <w:color w:val="auto"/>
        </w:rPr>
      </w:pPr>
    </w:p>
    <w:p>
      <w:pPr>
        <w:ind w:right="179"/>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means, as to any Acquiring Person, any Person that (i) controls the Acquiring Person directly or indirectly through one or more intermediaries, (ii) is required to include the Acquiring Person in the consolidated financial statements contained in such Parent’s Annual Report on Form 10-K (if the Parent is required to file such a report) or would be required to so include the Acquiring Person in such Parent’s consolidated financial statements if they were prepared in accordance with U.S. generally accepted accounting principles and (iii) is not itself included in the consolidated financial statements of any other Person (other than its consolidated subsidiaries).</w:t>
      </w:r>
    </w:p>
    <w:p>
      <w:pPr>
        <w:spacing w:after="0" w:line="118" w:lineRule="exact"/>
        <w:rPr>
          <w:sz w:val="20"/>
          <w:szCs w:val="20"/>
          <w:color w:val="auto"/>
        </w:rPr>
      </w:pPr>
    </w:p>
    <w:p>
      <w:pPr>
        <w:ind w:right="27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Securities</w:t>
      </w:r>
      <w:r>
        <w:rPr>
          <w:rFonts w:ascii="Arial" w:cs="Arial" w:eastAsia="Arial" w:hAnsi="Arial"/>
          <w:sz w:val="18"/>
          <w:szCs w:val="18"/>
          <w:color w:val="auto"/>
        </w:rPr>
        <w:t xml:space="preserve">” means any class or series of Capital Stock that, with respect to dividends or distributions upon Liquidation, is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with the Series C Preferred Stock.</w:t>
      </w:r>
    </w:p>
    <w:p>
      <w:pPr>
        <w:spacing w:after="0" w:line="143" w:lineRule="exact"/>
        <w:rPr>
          <w:sz w:val="20"/>
          <w:szCs w:val="20"/>
          <w:color w:val="auto"/>
        </w:rPr>
      </w:pPr>
    </w:p>
    <w:p>
      <w:pPr>
        <w:ind w:right="419"/>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or a corporation, partnership, trust, incorporated or unincorporated association, limited liability company, joint venture, joint stock company, government (or an agency or political subdivision thereof) or other entity of any kind.</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Stock</w:t>
      </w:r>
      <w:r>
        <w:rPr>
          <w:rFonts w:ascii="Arial" w:cs="Arial" w:eastAsia="Arial" w:hAnsi="Arial"/>
          <w:sz w:val="17"/>
          <w:szCs w:val="17"/>
          <w:color w:val="auto"/>
        </w:rPr>
        <w:t>” means the Company’s preferred stock authorized pursuant to the provisions of the Articles of Incorporation.</w:t>
      </w:r>
    </w:p>
    <w:p>
      <w:pPr>
        <w:spacing w:after="0" w:line="196" w:lineRule="exact"/>
        <w:rPr>
          <w:sz w:val="20"/>
          <w:szCs w:val="20"/>
          <w:color w:val="auto"/>
        </w:rPr>
      </w:pPr>
    </w:p>
    <w:p>
      <w:pPr>
        <w:jc w:val="both"/>
        <w:ind w:right="19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Prevailing Market Price</w:t>
      </w:r>
      <w:r>
        <w:rPr>
          <w:rFonts w:ascii="Arial" w:cs="Arial" w:eastAsia="Arial" w:hAnsi="Arial"/>
          <w:sz w:val="18"/>
          <w:szCs w:val="18"/>
          <w:color w:val="auto"/>
        </w:rPr>
        <w:t xml:space="preserve">” means, with respect to any reference date, the average of the Daily Market Prices of the Common Stock (or, for purposes of determining the Prevailing Market Price of the common stock of an Acquiring Person or its Parent under </w:t>
      </w:r>
      <w:r>
        <w:rPr>
          <w:rFonts w:ascii="Arial" w:cs="Arial" w:eastAsia="Arial" w:hAnsi="Arial"/>
          <w:sz w:val="18"/>
          <w:szCs w:val="18"/>
          <w:u w:val="single" w:color="auto"/>
          <w:color w:val="auto"/>
        </w:rPr>
        <w:t>Section 6(f)</w:t>
      </w:r>
      <w:r>
        <w:rPr>
          <w:rFonts w:ascii="Arial" w:cs="Arial" w:eastAsia="Arial" w:hAnsi="Arial"/>
          <w:sz w:val="18"/>
          <w:szCs w:val="18"/>
          <w:color w:val="auto"/>
        </w:rPr>
        <w:t>, the common stock of such Acquiring Person or such Parent) for the twenty-five (25) Business Days ending on and including the third (3rd) Business Day before such reference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Closing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6(b)(i)</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6(b)(i)</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means Five Dollars and Twenty-Five Cents ($5.25), subject to adjustment as set forth 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Stock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6(b)(ii)</w:t>
      </w: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35" w:name="page136"/>
    <w:bookmarkEnd w:id="135"/>
    <w:p>
      <w:pPr>
        <w:ind w:left="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Restatement</w:t>
      </w:r>
      <w:r>
        <w:rPr>
          <w:rFonts w:ascii="Arial" w:cs="Arial" w:eastAsia="Arial" w:hAnsi="Arial"/>
          <w:sz w:val="18"/>
          <w:szCs w:val="18"/>
          <w:color w:val="auto"/>
        </w:rPr>
        <w:t>” has the meaning set forth in the Agreement.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185" w:lineRule="exact"/>
        <w:rPr>
          <w:sz w:val="20"/>
          <w:szCs w:val="20"/>
          <w:color w:val="auto"/>
        </w:rPr>
      </w:pPr>
    </w:p>
    <w:p>
      <w:pPr>
        <w:ind w:left="8" w:right="43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or any successor statute, and the rules and regulations promulgated thereunder.</w:t>
      </w:r>
    </w:p>
    <w:p>
      <w:pPr>
        <w:spacing w:after="0" w:line="130" w:lineRule="exact"/>
        <w:rPr>
          <w:sz w:val="20"/>
          <w:szCs w:val="20"/>
          <w:color w:val="auto"/>
        </w:rPr>
      </w:pPr>
    </w:p>
    <w:p>
      <w:pPr>
        <w:ind w:left="8" w:right="31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Securities</w:t>
      </w:r>
      <w:r>
        <w:rPr>
          <w:rFonts w:ascii="Arial" w:cs="Arial" w:eastAsia="Arial" w:hAnsi="Arial"/>
          <w:sz w:val="18"/>
          <w:szCs w:val="18"/>
          <w:color w:val="auto"/>
        </w:rPr>
        <w:t>” means any class or series of Capital Stock that, with respect to dividends or distributions upon Liquidation, ranks senior to the Series C Preferred Stock.</w:t>
      </w:r>
    </w:p>
    <w:p>
      <w:pPr>
        <w:spacing w:after="0" w:line="143" w:lineRule="exact"/>
        <w:rPr>
          <w:sz w:val="20"/>
          <w:szCs w:val="20"/>
          <w:color w:val="auto"/>
        </w:rPr>
      </w:pPr>
    </w:p>
    <w:p>
      <w:pPr>
        <w:ind w:left="8" w:right="89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Preferred Stock</w:t>
      </w:r>
      <w:r>
        <w:rPr>
          <w:rFonts w:ascii="Arial" w:cs="Arial" w:eastAsia="Arial" w:hAnsi="Arial"/>
          <w:sz w:val="18"/>
          <w:szCs w:val="18"/>
          <w:color w:val="auto"/>
        </w:rPr>
        <w:t xml:space="preserve">” means the Series C Convertible Preferred Stock of the Company or successor as contemplated by </w:t>
      </w:r>
      <w:r>
        <w:rPr>
          <w:rFonts w:ascii="Arial" w:cs="Arial" w:eastAsia="Arial" w:hAnsi="Arial"/>
          <w:sz w:val="18"/>
          <w:szCs w:val="18"/>
          <w:u w:val="single" w:color="auto"/>
          <w:color w:val="auto"/>
        </w:rPr>
        <w:t>Section 6(f)</w:t>
      </w:r>
      <w:r>
        <w:rPr>
          <w:rFonts w:ascii="Arial" w:cs="Arial" w:eastAsia="Arial" w:hAnsi="Arial"/>
          <w:sz w:val="18"/>
          <w:szCs w:val="18"/>
          <w:color w:val="auto"/>
        </w:rPr>
        <w:t>.</w:t>
      </w:r>
    </w:p>
    <w:p>
      <w:pPr>
        <w:spacing w:after="0" w:line="130" w:lineRule="exact"/>
        <w:rPr>
          <w:sz w:val="20"/>
          <w:szCs w:val="20"/>
          <w:color w:val="auto"/>
        </w:rPr>
      </w:pPr>
    </w:p>
    <w:p>
      <w:pPr>
        <w:ind w:left="8" w:right="179"/>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Stated Value</w:t>
      </w:r>
      <w:r>
        <w:rPr>
          <w:rFonts w:ascii="Arial" w:cs="Arial" w:eastAsia="Arial" w:hAnsi="Arial"/>
          <w:sz w:val="16"/>
          <w:szCs w:val="16"/>
          <w:color w:val="auto"/>
        </w:rPr>
        <w:t xml:space="preserve">” is an amount equal to One Thousand Dollars ($1,000) per share of Series C Preferred Stock plus (x) any unpaid dividends on the Series C Preferred Stock (as of the date of determination, which for purposes of </w:t>
      </w:r>
      <w:r>
        <w:rPr>
          <w:rFonts w:ascii="Arial" w:cs="Arial" w:eastAsia="Arial" w:hAnsi="Arial"/>
          <w:sz w:val="16"/>
          <w:szCs w:val="16"/>
          <w:u w:val="single" w:color="auto"/>
          <w:color w:val="auto"/>
        </w:rPr>
        <w:t>Sections 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6(b)</w:t>
      </w:r>
      <w:r>
        <w:rPr>
          <w:rFonts w:ascii="Arial" w:cs="Arial" w:eastAsia="Arial" w:hAnsi="Arial"/>
          <w:sz w:val="16"/>
          <w:szCs w:val="16"/>
          <w:color w:val="auto"/>
        </w:rPr>
        <w:t xml:space="preserve"> shall be the Conversion Closing Date and Redemption Closing Date, respectively), whether or not declared and whether or not earnings are available in respect of such dividends (i.e., the Stated Value shall increase in each Dividend Period by the Dividend Rate if and to the extent that dividends for such Dividend Period are not declared and paid by the respective Dividend Payment Date) and (y) any unpaid dividends declared on the Common Stock and Common Stock Equivalent Junior Preferred Stock in an amount equal to the product of</w:t>
      </w:r>
    </w:p>
    <w:p>
      <w:pPr>
        <w:spacing w:after="0" w:line="5" w:lineRule="exact"/>
        <w:rPr>
          <w:sz w:val="20"/>
          <w:szCs w:val="20"/>
          <w:color w:val="auto"/>
        </w:rPr>
      </w:pPr>
    </w:p>
    <w:p>
      <w:pPr>
        <w:ind w:left="8" w:right="179" w:hanging="8"/>
        <w:spacing w:after="0" w:line="281" w:lineRule="auto"/>
        <w:tabs>
          <w:tab w:leader="none" w:pos="30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per-share dividend other than the Ordinary Cash Dividend paid on Common Stock and Common Stock Equivalent Junior Preferred Stock multiplied by (B) the number of shares of Common Stock and/or the number of one-hundredths of a share of Common Stock Equivalent Junior Preferred Stock issuable upon redemption or conversion (whichever number of shares is greater) of a share of Series C Preferred Stock on the date such dividend is declared on the Common Stock and Common Stock Equivalent Junior Preferred Stock. In the event the Company shall declare a distribution on the Common Stock and Common Stock Equivalent Junior Preferred Stock payable in securities or property other than cash, the value of such securities or property will be the fair market value. Any securities shall be valued as follows: (i) if traded on a national securities exchange (as defined in the Exchange Act), the value shall be deemed to be the average of the closing prices of the securities on such exchange or system over the twenty-five (25) Business Day period ending three (3) calendar days prior to such declaration; (ii) if actively traded over-the-counter, the value shall be deemed to be the average of the closing bid or sale prices (whichever is applicable) over the twenty-five (25) Business Day period ending three</w:t>
      </w:r>
    </w:p>
    <w:p>
      <w:pPr>
        <w:spacing w:after="0" w:line="6" w:lineRule="exact"/>
        <w:rPr>
          <w:rFonts w:ascii="Arial" w:cs="Arial" w:eastAsia="Arial" w:hAnsi="Arial"/>
          <w:sz w:val="16"/>
          <w:szCs w:val="16"/>
          <w:color w:val="auto"/>
        </w:rPr>
      </w:pPr>
    </w:p>
    <w:p>
      <w:pPr>
        <w:ind w:left="8" w:right="239"/>
        <w:spacing w:after="0" w:line="261" w:lineRule="auto"/>
        <w:rPr>
          <w:rFonts w:ascii="Arial" w:cs="Arial" w:eastAsia="Arial" w:hAnsi="Arial"/>
          <w:sz w:val="16"/>
          <w:szCs w:val="16"/>
          <w:color w:val="auto"/>
        </w:rPr>
      </w:pPr>
      <w:r>
        <w:rPr>
          <w:rFonts w:ascii="Arial" w:cs="Arial" w:eastAsia="Arial" w:hAnsi="Arial"/>
          <w:sz w:val="18"/>
          <w:szCs w:val="18"/>
          <w:color w:val="auto"/>
        </w:rPr>
        <w:t>(3) calendar days prior to such declaration; and (iii) if there is no active public market, the value shall be the fair market value thereof, as determined in good faith by the Board.</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Consent</w:t>
      </w:r>
      <w:r>
        <w:rPr>
          <w:rFonts w:ascii="Arial" w:cs="Arial" w:eastAsia="Arial" w:hAnsi="Arial"/>
          <w:sz w:val="18"/>
          <w:szCs w:val="18"/>
          <w:color w:val="auto"/>
        </w:rPr>
        <w:t>” has the meaning set forth in the Agreement.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Consent Date</w:t>
      </w:r>
      <w:r>
        <w:rPr>
          <w:rFonts w:ascii="Arial" w:cs="Arial" w:eastAsia="Arial" w:hAnsi="Arial"/>
          <w:sz w:val="18"/>
          <w:szCs w:val="18"/>
          <w:color w:val="auto"/>
        </w:rPr>
        <w:t>” has the meaning set forth in the Agreement.</w:t>
      </w:r>
    </w:p>
    <w:p>
      <w:pPr>
        <w:spacing w:after="0" w:line="185" w:lineRule="exact"/>
        <w:rPr>
          <w:sz w:val="20"/>
          <w:szCs w:val="20"/>
          <w:color w:val="auto"/>
        </w:rPr>
      </w:pPr>
    </w:p>
    <w:p>
      <w:pPr>
        <w:ind w:left="8" w:right="179"/>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 Person means (i) a corporation, a majority of whose stock with voting power, under ordinary circumstances, to elect directors is at the time of determination, directly or indirectly, owned by such Person or by one or more Subsidiaries of such Person, or</w:t>
      </w:r>
    </w:p>
    <w:p>
      <w:pPr>
        <w:ind w:left="8" w:right="279" w:hanging="8"/>
        <w:spacing w:after="0" w:line="261" w:lineRule="auto"/>
        <w:tabs>
          <w:tab w:leader="none" w:pos="27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other entity (other than a corporation) in which such Person or one or more Subsidiaries of such Person, directly or indirectly, at the date of determination thereof has a least a majority ownership interest.</w:t>
      </w:r>
    </w:p>
    <w:p>
      <w:pPr>
        <w:spacing w:after="0" w:line="200" w:lineRule="exact"/>
        <w:rPr>
          <w:sz w:val="20"/>
          <w:szCs w:val="20"/>
          <w:color w:val="auto"/>
        </w:rPr>
      </w:pPr>
    </w:p>
    <w:p>
      <w:pPr>
        <w:spacing w:after="0" w:line="348"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36" w:name="page137"/>
    <w:bookmarkEnd w:id="136"/>
    <w:p>
      <w:pPr>
        <w:ind w:left="8"/>
        <w:spacing w:after="0"/>
        <w:rPr>
          <w:sz w:val="20"/>
          <w:szCs w:val="20"/>
          <w:color w:val="auto"/>
        </w:rPr>
      </w:pPr>
      <w:r>
        <w:rPr>
          <w:rFonts w:ascii="Arial" w:cs="Arial" w:eastAsia="Arial" w:hAnsi="Arial"/>
          <w:sz w:val="18"/>
          <w:szCs w:val="18"/>
          <w:color w:val="auto"/>
        </w:rPr>
        <w:t>The foregoing definitions will be equally applicable to both the singular and plural forms of the defined terms.</w:t>
      </w:r>
    </w:p>
    <w:p>
      <w:pPr>
        <w:spacing w:after="0" w:line="198" w:lineRule="exact"/>
        <w:rPr>
          <w:sz w:val="20"/>
          <w:szCs w:val="20"/>
          <w:color w:val="auto"/>
        </w:rPr>
      </w:pPr>
    </w:p>
    <w:p>
      <w:pPr>
        <w:ind w:left="188" w:hanging="188"/>
        <w:spacing w:after="0"/>
        <w:tabs>
          <w:tab w:leader="none" w:pos="188"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w:t>
      </w:r>
    </w:p>
    <w:p>
      <w:pPr>
        <w:spacing w:after="0" w:line="185" w:lineRule="exact"/>
        <w:rPr>
          <w:sz w:val="20"/>
          <w:szCs w:val="20"/>
          <w:color w:val="auto"/>
        </w:rPr>
      </w:pPr>
    </w:p>
    <w:p>
      <w:pPr>
        <w:ind w:left="8" w:right="159" w:hanging="8"/>
        <w:spacing w:after="0" w:line="284" w:lineRule="auto"/>
        <w:tabs>
          <w:tab w:leader="none" w:pos="25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Holders shall be entitled to receive out of the assets of the Company legally available for that purpose, cash dividends at the Dividend Rate to be paid in accordance with the terms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In addition, Holders for each share of Series C Preferred Stock then owned by such Holder shall be entitled to receive out of the assets of the Company legally available for that purpose, dividends or other distributions declared on the Common Stock and Common Stock Equivalent Junior Preferred Stock in the same form as such dividends or distributions in an amount equal to the product of (x) the amount of any per-share dividend or distribution other than the Ordinary Cash Dividends paid on the Common Stock and Common Stock Equivalent Junior Preferred Stock multiplied by (y) the number of shares of Common Stock and/or the number of one-hundredths of a share of Common Stock Equivalent Junior Preferred Stock issuable upon redemption or conversion (whichever number of shares is greater) of a share of the Series C Preferred Shares on the date such dividend is declared, to be paid in accordance with the terms of this </w:t>
      </w:r>
      <w:r>
        <w:rPr>
          <w:rFonts w:ascii="Arial" w:cs="Arial" w:eastAsia="Arial" w:hAnsi="Arial"/>
          <w:sz w:val="16"/>
          <w:szCs w:val="16"/>
          <w:u w:val="single" w:color="auto"/>
          <w:color w:val="auto"/>
        </w:rPr>
        <w:t>Section 3</w:t>
      </w:r>
      <w:r>
        <w:rPr>
          <w:rFonts w:ascii="Arial" w:cs="Arial" w:eastAsia="Arial" w:hAnsi="Arial"/>
          <w:sz w:val="16"/>
          <w:szCs w:val="16"/>
          <w:color w:val="auto"/>
        </w:rPr>
        <w:t>. Such dividends shall be payable quarterly in arrears, when and as declared by the Board (or a duly appointed committee of directors), on April 15, July 15, October 15 and January 15 of each year commencing on April 15, 2010 and, in the case of dividends resulting from dividends or distributions declared on Common Stock and Common Stock Equivalent Junior Preferred Stock, no later than the date on which such dividends or distributions are paid to holders of the Common Stock and Common Stock Equivalent Junior Preferred Stock (each such date being herein referred to as a “</w:t>
      </w:r>
      <w:r>
        <w:rPr>
          <w:rFonts w:ascii="Arial" w:cs="Arial" w:eastAsia="Arial" w:hAnsi="Arial"/>
          <w:sz w:val="16"/>
          <w:szCs w:val="16"/>
          <w:u w:val="single" w:color="auto"/>
          <w:color w:val="auto"/>
        </w:rPr>
        <w:t>Dividend Payment Date</w:t>
      </w:r>
      <w:r>
        <w:rPr>
          <w:rFonts w:ascii="Arial" w:cs="Arial" w:eastAsia="Arial" w:hAnsi="Arial"/>
          <w:sz w:val="16"/>
          <w:szCs w:val="16"/>
          <w:color w:val="auto"/>
        </w:rPr>
        <w:t>”). The period from the Issue Date to March 31, 2010, and each quarterly period between consecutive Dividend Payment Dates shall hereinafter be referred to as a “</w:t>
      </w:r>
      <w:r>
        <w:rPr>
          <w:rFonts w:ascii="Arial" w:cs="Arial" w:eastAsia="Arial" w:hAnsi="Arial"/>
          <w:sz w:val="16"/>
          <w:szCs w:val="16"/>
          <w:u w:val="single" w:color="auto"/>
          <w:color w:val="auto"/>
        </w:rPr>
        <w:t>Dividend Period</w:t>
      </w:r>
      <w:r>
        <w:rPr>
          <w:rFonts w:ascii="Arial" w:cs="Arial" w:eastAsia="Arial" w:hAnsi="Arial"/>
          <w:sz w:val="16"/>
          <w:szCs w:val="16"/>
          <w:color w:val="auto"/>
        </w:rPr>
        <w:t>.” The dividend for any Dividend Period for any share of Series C Preferred Stock that is not outstanding on every calendar day of the Dividend Period shall be prorated based on the number of calendar days such share was outstanding during the period. Each such dividend shall be paid to the Holders of record of the Series C Preferred Stock as their names appear on the share register of the Company on the Dividend Payment Date. Dividends on account of arrears for any past Dividend Periods may be declared and paid at any time, without reference to any Dividend Payment Date (including, without limitation, for purposes of computing the Stated Value of any shares of Series C Preferred Stock in connection with the conversion or redemption thereof or any Liquidation of the Company), to Holders of record on a date designated by the Board, not exceeding thirty (30) calendar days preceding the payment date thereof, as may be fixed by the Board. For purposes of determining the amount of dividends accrued as of the first Dividend Payment Date and as of any date that is not a Dividend Payment Date, such amount shall be calculated on the basis of the Dividend Rate for the actual number of calendar days elapsed from and including the Issue Date (in case of the first Dividend Payment Date and any date prior to the first Dividend Payment Date) or the last preceding Dividend Payment Date (in case of any other date) to the date as of which such determination is to be made, based on a three hundred sixty five (365) day year.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137" w:name="page138"/>
    <w:bookmarkEnd w:id="137"/>
    <w:p>
      <w:pPr>
        <w:ind w:left="248" w:hanging="248"/>
        <w:spacing w:after="0"/>
        <w:tabs>
          <w:tab w:leader="none" w:pos="24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So long as any shares of the Series C Preferred Stock shall be outstanding, (i) the Company shall not and shall not allow its</w:t>
      </w:r>
    </w:p>
    <w:p>
      <w:pPr>
        <w:spacing w:after="0" w:line="34" w:lineRule="exact"/>
        <w:rPr>
          <w:rFonts w:ascii="Arial" w:cs="Arial" w:eastAsia="Arial" w:hAnsi="Arial"/>
          <w:sz w:val="17"/>
          <w:szCs w:val="17"/>
          <w:color w:val="auto"/>
        </w:rPr>
      </w:pPr>
    </w:p>
    <w:p>
      <w:pPr>
        <w:ind w:left="8" w:right="179"/>
        <w:spacing w:after="0" w:line="269" w:lineRule="auto"/>
        <w:rPr>
          <w:rFonts w:ascii="Arial" w:cs="Arial" w:eastAsia="Arial" w:hAnsi="Arial"/>
          <w:sz w:val="17"/>
          <w:szCs w:val="17"/>
          <w:color w:val="auto"/>
        </w:rPr>
      </w:pPr>
      <w:r>
        <w:rPr>
          <w:rFonts w:ascii="Arial" w:cs="Arial" w:eastAsia="Arial" w:hAnsi="Arial"/>
          <w:sz w:val="17"/>
          <w:szCs w:val="17"/>
          <w:color w:val="auto"/>
        </w:rPr>
        <w:t>Subsidiaries (other than direct or indirect wholly-owned Subsidiaries) to declare or pay any dividend whatsoever, whether in cash, property or otherwise, set aside any cash or property for the payment of any dividends, or make any other distribution on any Junior Securities or Parity Securities and (ii) the Company shall not and shall not allow its Subsidiaries to repurchase, redeem or otherwise acquire for value or set aside any cash or property for the repurchase or redemption of any Junior Securities or Parity Securities, unless in each such case all dividends to which the Holders of the Series C Preferred Stock shall have been entitled to receive for all previous Dividend Periods shall have been paid and dividends on the Series C Preferred Stock for the subsequent four Dividend Periods shall have been designated and set aside in cash.</w:t>
      </w:r>
    </w:p>
    <w:p>
      <w:pPr>
        <w:spacing w:after="0" w:line="153" w:lineRule="exact"/>
        <w:rPr>
          <w:rFonts w:ascii="Arial" w:cs="Arial" w:eastAsia="Arial" w:hAnsi="Arial"/>
          <w:sz w:val="17"/>
          <w:szCs w:val="17"/>
          <w:color w:val="auto"/>
        </w:rPr>
      </w:pPr>
    </w:p>
    <w:p>
      <w:pPr>
        <w:ind w:left="248" w:hanging="248"/>
        <w:spacing w:after="0"/>
        <w:tabs>
          <w:tab w:leader="none" w:pos="24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Notwithstanding anything herein to the contrary, whenever, at any time or times after the Company has obtained the approval of</w:t>
      </w:r>
    </w:p>
    <w:p>
      <w:pPr>
        <w:spacing w:after="0" w:line="46" w:lineRule="exact"/>
        <w:rPr>
          <w:rFonts w:ascii="Arial" w:cs="Arial" w:eastAsia="Arial" w:hAnsi="Arial"/>
          <w:sz w:val="16"/>
          <w:szCs w:val="16"/>
          <w:color w:val="auto"/>
        </w:rPr>
      </w:pPr>
    </w:p>
    <w:p>
      <w:pPr>
        <w:ind w:left="8" w:right="179"/>
        <w:spacing w:after="0" w:line="273" w:lineRule="auto"/>
        <w:rPr>
          <w:rFonts w:ascii="Arial" w:cs="Arial" w:eastAsia="Arial" w:hAnsi="Arial"/>
          <w:sz w:val="16"/>
          <w:szCs w:val="16"/>
          <w:color w:val="auto"/>
        </w:rPr>
      </w:pPr>
      <w:r>
        <w:rPr>
          <w:rFonts w:ascii="Arial" w:cs="Arial" w:eastAsia="Arial" w:hAnsi="Arial"/>
          <w:sz w:val="17"/>
          <w:szCs w:val="17"/>
          <w:color w:val="auto"/>
        </w:rPr>
        <w:t xml:space="preserve">the stockholders of the Company to increase the authorized number of shares of Common Stock, the Company shall fail to redeem any Series C Preferred Stock by the date it is obligated to do so under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hereof and such failure is ongoing, then (x) the Dividend Rate with respect to such Series C Preferred Stock that is subject to such redemption shall mean a rate equal to twenty two percent (22%) per annum times the Stated Value until such date that the failure to redeem no longer exists.</w:t>
      </w:r>
    </w:p>
    <w:p>
      <w:pPr>
        <w:spacing w:after="0" w:line="136" w:lineRule="exact"/>
        <w:rPr>
          <w:rFonts w:ascii="Arial" w:cs="Arial" w:eastAsia="Arial" w:hAnsi="Arial"/>
          <w:sz w:val="16"/>
          <w:szCs w:val="16"/>
          <w:color w:val="auto"/>
        </w:rPr>
      </w:pPr>
    </w:p>
    <w:p>
      <w:pPr>
        <w:ind w:left="8" w:right="319" w:hanging="8"/>
        <w:spacing w:after="0" w:line="264" w:lineRule="auto"/>
        <w:tabs>
          <w:tab w:leader="none" w:pos="25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Company shall be entitled to deduct and withhold from any dividend on the Series C Preferred Stock such amounts as the Company is required to deduct and withhold with respect to such dividend under the Internal Revenue Code of 1986, as amended, or any other provision of state, local or foreign tax law.</w:t>
      </w:r>
    </w:p>
    <w:p>
      <w:pPr>
        <w:spacing w:after="0" w:line="141" w:lineRule="exact"/>
        <w:rPr>
          <w:sz w:val="20"/>
          <w:szCs w:val="20"/>
          <w:color w:val="auto"/>
        </w:rPr>
      </w:pPr>
    </w:p>
    <w:p>
      <w:pPr>
        <w:ind w:left="188" w:hanging="188"/>
        <w:spacing w:after="0"/>
        <w:tabs>
          <w:tab w:leader="none" w:pos="188"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Liquidation Preference</w:t>
      </w:r>
      <w:r>
        <w:rPr>
          <w:rFonts w:ascii="Arial" w:cs="Arial" w:eastAsia="Arial" w:hAnsi="Arial"/>
          <w:sz w:val="16"/>
          <w:szCs w:val="16"/>
          <w:color w:val="auto"/>
        </w:rPr>
        <w:t>. In the event of any Liquidation, after payment or provision for payment by the Company of the debts and</w:t>
      </w:r>
    </w:p>
    <w:p>
      <w:pPr>
        <w:spacing w:after="0" w:line="46" w:lineRule="exact"/>
        <w:rPr>
          <w:rFonts w:ascii="Arial" w:cs="Arial" w:eastAsia="Arial" w:hAnsi="Arial"/>
          <w:sz w:val="16"/>
          <w:szCs w:val="16"/>
          <w:color w:val="auto"/>
        </w:rPr>
      </w:pPr>
    </w:p>
    <w:p>
      <w:pPr>
        <w:ind w:left="8" w:right="199"/>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other liabilities of the Company and the liquidation preference of any Senior Securities that rank senior to the Series C Preferred Stock with respect to distributions upon Liquidation, each Holder shall be entitled to receive an amount in cash for each share of the then outstanding Series C Preferred Stock held by such Holder equal to the greater of (a) the Stated Value per share to and including the date full payment is tendered to the Holders with respect to such Liquidation and (b) the amount the Holders would have received if the Holders had converted all outstanding shares of Series C Preferred Stock into Common Stock and/or Common Stock Equivalent Junior Preferred Stock in accordance with the provisions of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hereof or redeemed all outstanding shares of Series C Preferred Stock into Common Stock and/or Common Stock Equivalent Junior Preferred Stock under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(whichever is</w:t>
      </w:r>
    </w:p>
    <w:p>
      <w:pPr>
        <w:spacing w:after="0" w:line="200" w:lineRule="exact"/>
        <w:rPr>
          <w:sz w:val="20"/>
          <w:szCs w:val="20"/>
          <w:color w:val="auto"/>
        </w:rPr>
      </w:pPr>
    </w:p>
    <w:p>
      <w:pPr>
        <w:spacing w:after="0" w:line="334"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38" w:name="page139"/>
    <w:bookmarkEnd w:id="138"/>
    <w:p>
      <w:pPr>
        <w:ind w:left="8" w:right="239"/>
        <w:spacing w:after="0" w:line="268" w:lineRule="auto"/>
        <w:rPr>
          <w:sz w:val="20"/>
          <w:szCs w:val="20"/>
          <w:color w:val="auto"/>
        </w:rPr>
      </w:pPr>
      <w:r>
        <w:rPr>
          <w:rFonts w:ascii="Arial" w:cs="Arial" w:eastAsia="Arial" w:hAnsi="Arial"/>
          <w:sz w:val="17"/>
          <w:szCs w:val="17"/>
          <w:color w:val="auto"/>
        </w:rPr>
        <w:t>greater), in each case as of the Business Day immediately preceding the date of such Liquidation (such greater amount being referred to herein as the “</w:t>
      </w:r>
      <w:r>
        <w:rPr>
          <w:rFonts w:ascii="Arial" w:cs="Arial" w:eastAsia="Arial" w:hAnsi="Arial"/>
          <w:sz w:val="17"/>
          <w:szCs w:val="17"/>
          <w:u w:val="single" w:color="auto"/>
          <w:color w:val="auto"/>
        </w:rPr>
        <w:t>Liquidation Preference</w:t>
      </w:r>
      <w:r>
        <w:rPr>
          <w:rFonts w:ascii="Arial" w:cs="Arial" w:eastAsia="Arial" w:hAnsi="Arial"/>
          <w:sz w:val="17"/>
          <w:szCs w:val="17"/>
          <w:color w:val="auto"/>
        </w:rPr>
        <w:t xml:space="preserve">”), before any distribution shall be made to the holders of any Junior Securities (and any Senior Securities or Parity Securities that, with respect to distributions upon Liquidation, rank junior to the Series C Preferred Stock) upon the Liquidation of the Company. In case the assets of the Company available for payment to the Holders are insufficient to pay the full Liquidation Preference on all outstanding shares of the Series C Preferred Stock and all outstanding shares of Parity Securities and Senior Securities that, with respect to distributions upon Liquidation,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Series C Preferred Stock in the amounts to which the holders of such shares are entitled, then the entire assets of the Company available for payment to the Holders and to the holders of such Parity Securities and Senior Securities shall be distributed ratably among the Holders of the Series C Preferred Stock and the holders of such Parity Securities and Senior Securities, based upon the aggregate amount due on such shares upon Liquidation. Written notice of any Liquidation of the Company, stating a payment date and the place where the distributable amounts shall be payable, shall be given by facsimile and overnight delivery not less than ten (10) calendar days prior to the payment date stated therein, to the Holders of record of the Series C Preferred Stock, if any, at their respective addresses as the same shall appear on the books of the Company.</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Voting Rights</w:t>
      </w:r>
      <w:r>
        <w:rPr>
          <w:rFonts w:ascii="Arial" w:cs="Arial" w:eastAsia="Arial" w:hAnsi="Arial"/>
          <w:sz w:val="18"/>
          <w:szCs w:val="18"/>
          <w:color w:val="auto"/>
        </w:rPr>
        <w:t>. The Holders shall have the following voting rights with respect to the Series C Preferred Stock:</w:t>
      </w:r>
    </w:p>
    <w:p>
      <w:pPr>
        <w:spacing w:after="0" w:line="185" w:lineRule="exact"/>
        <w:rPr>
          <w:sz w:val="20"/>
          <w:szCs w:val="20"/>
          <w:color w:val="auto"/>
        </w:rPr>
      </w:pPr>
    </w:p>
    <w:p>
      <w:pPr>
        <w:ind w:left="8" w:right="479" w:hanging="8"/>
        <w:spacing w:after="0" w:line="277" w:lineRule="auto"/>
        <w:tabs>
          <w:tab w:leader="none" w:pos="2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Each share of Series C Preferred Stock shall entitle the holder thereof to the voting rights specified in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and no other voting rights except as required by law.</w:t>
      </w:r>
    </w:p>
    <w:p>
      <w:pPr>
        <w:spacing w:after="0" w:line="129" w:lineRule="exact"/>
        <w:rPr>
          <w:rFonts w:ascii="Arial" w:cs="Arial" w:eastAsia="Arial" w:hAnsi="Arial"/>
          <w:sz w:val="18"/>
          <w:szCs w:val="18"/>
          <w:color w:val="auto"/>
        </w:rPr>
      </w:pPr>
    </w:p>
    <w:p>
      <w:pPr>
        <w:ind w:left="8" w:right="239" w:hanging="8"/>
        <w:spacing w:after="0" w:line="255" w:lineRule="auto"/>
        <w:tabs>
          <w:tab w:leader="none" w:pos="25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consent of the Holders of at least a Majority of the Series C Preferred Stock, voting separately as a single class with one vote per share, in person or by proxy, either in writing without a meeting or at an annual or a special meeting of such Holders called for the purpose, shall be necessary to amend, alter or repeal, by way of merger or otherwise, any of the provisions of the Articles of Incorporation, including the Certificate of Rights and Preferences, or Bylaws of the Company so as to significantly and adversely affect any of the rights or preferences of the Holders of the Series C Preferred Stock. Without limiting the generality of the preceding sentence, such change includes any action that would:</w:t>
      </w:r>
    </w:p>
    <w:p>
      <w:pPr>
        <w:spacing w:after="0" w:line="166" w:lineRule="exact"/>
        <w:rPr>
          <w:sz w:val="20"/>
          <w:szCs w:val="20"/>
          <w:color w:val="auto"/>
        </w:rPr>
      </w:pPr>
    </w:p>
    <w:p>
      <w:pPr>
        <w:ind w:left="8" w:right="279" w:hanging="8"/>
        <w:spacing w:after="0" w:line="264" w:lineRule="auto"/>
        <w:tabs>
          <w:tab w:leader="none" w:pos="22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Reduce the Dividend Rate on the Series C Preferred Stock or defer the date from which dividends will accrue, or cancel accrued and unpaid dividends, or change the relative seniority rights of the holders of Series C Preferred Stock as to the payment of dividends in relation to the holders of any other Capital Stock of the Company;</w:t>
      </w:r>
    </w:p>
    <w:p>
      <w:pPr>
        <w:spacing w:after="0" w:line="140" w:lineRule="exact"/>
        <w:rPr>
          <w:rFonts w:ascii="Arial" w:cs="Arial" w:eastAsia="Arial" w:hAnsi="Arial"/>
          <w:sz w:val="18"/>
          <w:szCs w:val="18"/>
          <w:color w:val="auto"/>
        </w:rPr>
      </w:pPr>
    </w:p>
    <w:p>
      <w:pPr>
        <w:ind w:left="8" w:right="179" w:hanging="8"/>
        <w:spacing w:after="0" w:line="286" w:lineRule="auto"/>
        <w:tabs>
          <w:tab w:leader="none" w:pos="273" w:val="left"/>
        </w:tabs>
        <w:numPr>
          <w:ilvl w:val="0"/>
          <w:numId w:val="136"/>
        </w:numPr>
        <w:rPr>
          <w:rFonts w:ascii="Arial" w:cs="Arial" w:eastAsia="Arial" w:hAnsi="Arial"/>
          <w:sz w:val="17"/>
          <w:szCs w:val="17"/>
          <w:color w:val="auto"/>
        </w:rPr>
      </w:pPr>
      <w:r>
        <w:rPr>
          <w:rFonts w:ascii="Arial" w:cs="Arial" w:eastAsia="Arial" w:hAnsi="Arial"/>
          <w:sz w:val="17"/>
          <w:szCs w:val="17"/>
          <w:color w:val="auto"/>
        </w:rPr>
        <w:t>Reduce the amount payable to the holders of the Series C Preferred Stock upon the voluntary or involuntary liquidation, dissolution, or winding up of the Company, or change the relative seniority of the liquidation preferences of the holders of the Series C Preferred Stock to the rights upon liquidation of the holders of any other Capital Stock of the Company;</w:t>
      </w:r>
    </w:p>
    <w:p>
      <w:pPr>
        <w:spacing w:after="0" w:line="200" w:lineRule="exact"/>
        <w:rPr>
          <w:sz w:val="20"/>
          <w:szCs w:val="20"/>
          <w:color w:val="auto"/>
        </w:rPr>
      </w:pPr>
    </w:p>
    <w:p>
      <w:pPr>
        <w:spacing w:after="0" w:line="330"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39" w:name="page140"/>
    <w:bookmarkEnd w:id="139"/>
    <w:p>
      <w:pPr>
        <w:ind w:left="308" w:hanging="308"/>
        <w:spacing w:after="0"/>
        <w:tabs>
          <w:tab w:leader="none" w:pos="30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Make the Series C Preferred Stock redeemable at the option of the Company;</w:t>
      </w:r>
    </w:p>
    <w:p>
      <w:pPr>
        <w:spacing w:after="0" w:line="198" w:lineRule="exact"/>
        <w:rPr>
          <w:rFonts w:ascii="Arial" w:cs="Arial" w:eastAsia="Arial" w:hAnsi="Arial"/>
          <w:sz w:val="18"/>
          <w:szCs w:val="18"/>
          <w:color w:val="auto"/>
        </w:rPr>
      </w:pPr>
    </w:p>
    <w:p>
      <w:pPr>
        <w:ind w:left="8" w:right="299" w:hanging="8"/>
        <w:spacing w:after="0" w:line="277" w:lineRule="auto"/>
        <w:tabs>
          <w:tab w:leader="none" w:pos="30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Authorize, create or issue any shares of Senior Securities (or amend the provisions of any existing class of Capital Stock to make such class of Capital Stock a class of Senior Securities); or</w:t>
      </w:r>
    </w:p>
    <w:p>
      <w:pPr>
        <w:spacing w:after="0" w:line="129" w:lineRule="exact"/>
        <w:rPr>
          <w:rFonts w:ascii="Arial" w:cs="Arial" w:eastAsia="Arial" w:hAnsi="Arial"/>
          <w:sz w:val="18"/>
          <w:szCs w:val="18"/>
          <w:color w:val="auto"/>
        </w:rPr>
      </w:pPr>
    </w:p>
    <w:p>
      <w:pPr>
        <w:ind w:left="248" w:hanging="248"/>
        <w:spacing w:after="0"/>
        <w:tabs>
          <w:tab w:leader="none" w:pos="24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Decrease (other than by redemption or conversion) the total number of authorized shares of Series C Preferred Stock.</w:t>
      </w:r>
    </w:p>
    <w:p>
      <w:pPr>
        <w:spacing w:after="0" w:line="185" w:lineRule="exact"/>
        <w:rPr>
          <w:sz w:val="20"/>
          <w:szCs w:val="20"/>
          <w:color w:val="auto"/>
        </w:rPr>
      </w:pPr>
    </w:p>
    <w:p>
      <w:pPr>
        <w:ind w:left="188" w:hanging="188"/>
        <w:spacing w:after="0"/>
        <w:tabs>
          <w:tab w:leader="none" w:pos="188"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Conversion and Redemption</w:t>
      </w:r>
      <w:r>
        <w:rPr>
          <w:rFonts w:ascii="Arial" w:cs="Arial" w:eastAsia="Arial" w:hAnsi="Arial"/>
          <w:sz w:val="18"/>
          <w:szCs w:val="18"/>
          <w:color w:val="auto"/>
        </w:rPr>
        <w:t>.</w:t>
      </w:r>
    </w:p>
    <w:p>
      <w:pPr>
        <w:spacing w:after="0" w:line="198" w:lineRule="exact"/>
        <w:rPr>
          <w:sz w:val="20"/>
          <w:szCs w:val="20"/>
          <w:color w:val="auto"/>
        </w:rPr>
      </w:pPr>
    </w:p>
    <w:p>
      <w:pPr>
        <w:ind w:left="248" w:hanging="248"/>
        <w:spacing w:after="0"/>
        <w:tabs>
          <w:tab w:leader="none" w:pos="248"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Procedure for Conversion at the Option of the Company</w:t>
      </w:r>
      <w:r>
        <w:rPr>
          <w:rFonts w:ascii="Arial" w:cs="Arial" w:eastAsia="Arial" w:hAnsi="Arial"/>
          <w:sz w:val="18"/>
          <w:szCs w:val="18"/>
          <w:color w:val="auto"/>
        </w:rPr>
        <w:t>.</w:t>
      </w:r>
    </w:p>
    <w:p>
      <w:pPr>
        <w:spacing w:after="0" w:line="185" w:lineRule="exact"/>
        <w:rPr>
          <w:sz w:val="20"/>
          <w:szCs w:val="20"/>
          <w:color w:val="auto"/>
        </w:rPr>
      </w:pPr>
    </w:p>
    <w:p>
      <w:pPr>
        <w:ind w:left="8" w:right="219" w:hanging="8"/>
        <w:spacing w:after="0" w:line="269" w:lineRule="auto"/>
        <w:tabs>
          <w:tab w:leader="none" w:pos="223"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hereof, on or after the three year anniversary of the Stockholder Consent Date, on any date on which the Prevailing Market Price exceeds the Conversion Price by one hundred and fifty percent (150%) or more, the Company shall have the option to convert all, but not less than all, of the then outstanding shares of Series C Preferred Stock by delivering a duly executed written Preferred Stock conversion notice, substantially in the form attached as Annex F to the Agreement (the “</w:t>
      </w:r>
      <w:r>
        <w:rPr>
          <w:rFonts w:ascii="Arial" w:cs="Arial" w:eastAsia="Arial" w:hAnsi="Arial"/>
          <w:sz w:val="17"/>
          <w:szCs w:val="17"/>
          <w:u w:val="single" w:color="auto"/>
          <w:color w:val="auto"/>
        </w:rPr>
        <w:t>Conversion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and the date such notice is deemed delivered hereunder, the “</w:t>
      </w:r>
      <w:r>
        <w:rPr>
          <w:rFonts w:ascii="Arial" w:cs="Arial" w:eastAsia="Arial" w:hAnsi="Arial"/>
          <w:sz w:val="17"/>
          <w:szCs w:val="17"/>
          <w:u w:val="single" w:color="auto"/>
          <w:color w:val="auto"/>
        </w:rPr>
        <w:t>Conversion Notice Date</w:t>
      </w:r>
      <w:r>
        <w:rPr>
          <w:rFonts w:ascii="Arial" w:cs="Arial" w:eastAsia="Arial" w:hAnsi="Arial"/>
          <w:sz w:val="17"/>
          <w:szCs w:val="17"/>
          <w:color w:val="auto"/>
        </w:rPr>
        <w:t xml:space="preserve">”), by facsimile, mail or overnight courier delivery, to the Holder. The closing of such conversion shall take place, subject to the satisfaction or waiver of the conditions set forth in </w:t>
      </w:r>
      <w:r>
        <w:rPr>
          <w:rFonts w:ascii="Arial" w:cs="Arial" w:eastAsia="Arial" w:hAnsi="Arial"/>
          <w:sz w:val="17"/>
          <w:szCs w:val="17"/>
          <w:u w:val="single" w:color="auto"/>
          <w:color w:val="auto"/>
        </w:rPr>
        <w:t>Section 6(a)(iii)</w:t>
      </w:r>
      <w:r>
        <w:rPr>
          <w:rFonts w:ascii="Arial" w:cs="Arial" w:eastAsia="Arial" w:hAnsi="Arial"/>
          <w:sz w:val="17"/>
          <w:szCs w:val="17"/>
          <w:color w:val="auto"/>
        </w:rPr>
        <w:t>, (a) on the twentieth (20th) Business Day following and excluding the Conversion Notice Date or (b) any other date upon which the exercising Holder and the Company mutually agree (the “</w:t>
      </w:r>
      <w:r>
        <w:rPr>
          <w:rFonts w:ascii="Arial" w:cs="Arial" w:eastAsia="Arial" w:hAnsi="Arial"/>
          <w:sz w:val="17"/>
          <w:szCs w:val="17"/>
          <w:u w:val="single" w:color="auto"/>
          <w:color w:val="auto"/>
        </w:rPr>
        <w:t>Conversion Closing Date</w:t>
      </w:r>
      <w:r>
        <w:rPr>
          <w:rFonts w:ascii="Arial" w:cs="Arial" w:eastAsia="Arial" w:hAnsi="Arial"/>
          <w:sz w:val="17"/>
          <w:szCs w:val="17"/>
          <w:color w:val="auto"/>
        </w:rPr>
        <w:t>”). The Conversion Notice shall apply only to shares of Series C Preferred Stock for which no Redemption Notice has been tendered to the Company before the twentieth (20th) Business Day after the Conversion Notice Date, regardless of when the applicable redemption is consummated.</w:t>
      </w:r>
    </w:p>
    <w:p>
      <w:pPr>
        <w:spacing w:after="0" w:line="142" w:lineRule="exact"/>
        <w:rPr>
          <w:rFonts w:ascii="Arial" w:cs="Arial" w:eastAsia="Arial" w:hAnsi="Arial"/>
          <w:sz w:val="17"/>
          <w:szCs w:val="17"/>
          <w:color w:val="auto"/>
        </w:rPr>
      </w:pPr>
    </w:p>
    <w:p>
      <w:pPr>
        <w:ind w:left="8" w:right="359" w:hanging="8"/>
        <w:spacing w:after="0" w:line="291" w:lineRule="auto"/>
        <w:tabs>
          <w:tab w:leader="none" w:pos="273"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Conversion for stock</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such shares of stock shall be converted into that number of shares of Common Stock and/or number of one-hundredths (1/100th) of a share of Common Stock Equivalent Junior Preferred Stock equal to</w:t>
      </w:r>
    </w:p>
    <w:p>
      <w:pPr>
        <w:ind w:left="8" w:right="219"/>
        <w:spacing w:after="0" w:line="271" w:lineRule="auto"/>
        <w:rPr>
          <w:rFonts w:ascii="Arial" w:cs="Arial" w:eastAsia="Arial" w:hAnsi="Arial"/>
          <w:sz w:val="16"/>
          <w:szCs w:val="16"/>
          <w:color w:val="auto"/>
        </w:rPr>
      </w:pPr>
      <w:r>
        <w:rPr>
          <w:rFonts w:ascii="Arial" w:cs="Arial" w:eastAsia="Arial" w:hAnsi="Arial"/>
          <w:sz w:val="17"/>
          <w:szCs w:val="17"/>
          <w:color w:val="auto"/>
        </w:rPr>
        <w:t>(a) the aggregate Stated Value of such shares divided by (b) the Conversion Price (the “</w:t>
      </w:r>
      <w:r>
        <w:rPr>
          <w:rFonts w:ascii="Arial" w:cs="Arial" w:eastAsia="Arial" w:hAnsi="Arial"/>
          <w:sz w:val="17"/>
          <w:szCs w:val="17"/>
          <w:u w:val="single" w:color="auto"/>
          <w:color w:val="auto"/>
        </w:rPr>
        <w:t>Conversion Stock Amount</w:t>
      </w:r>
      <w:r>
        <w:rPr>
          <w:rFonts w:ascii="Arial" w:cs="Arial" w:eastAsia="Arial" w:hAnsi="Arial"/>
          <w:sz w:val="17"/>
          <w:szCs w:val="17"/>
          <w:color w:val="auto"/>
        </w:rPr>
        <w:t>”). On the Conversion Closing Date, the Holder shall surrender the certificate representing the shares of Series C Preferred Stock to be converted to the Company at the address set forth for notices to the Company specified in Section 18 of the Agreement, and the Company shall deliver to such Holder as specified in the Conversion Notice the Conversion Stock Amount of duly authorized, validly issued, fully paid and nonassessable shares of Common Stock and/or Common Stock Equivalent Junior Preferred Stock.</w:t>
      </w:r>
    </w:p>
    <w:p>
      <w:pPr>
        <w:spacing w:after="0" w:line="200" w:lineRule="exact"/>
        <w:rPr>
          <w:sz w:val="20"/>
          <w:szCs w:val="20"/>
          <w:color w:val="auto"/>
        </w:rPr>
      </w:pPr>
    </w:p>
    <w:p>
      <w:pPr>
        <w:spacing w:after="0" w:line="343"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40" w:name="page141"/>
    <w:bookmarkEnd w:id="140"/>
    <w:p>
      <w:pPr>
        <w:ind w:left="8" w:right="499" w:hanging="8"/>
        <w:spacing w:after="0" w:line="308" w:lineRule="auto"/>
        <w:tabs>
          <w:tab w:leader="none" w:pos="323"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Closing conditions</w:t>
      </w:r>
      <w:r>
        <w:rPr>
          <w:rFonts w:ascii="Arial" w:cs="Arial" w:eastAsia="Arial" w:hAnsi="Arial"/>
          <w:sz w:val="17"/>
          <w:szCs w:val="17"/>
          <w:color w:val="auto"/>
        </w:rPr>
        <w:t>. It shall be a condition of the converting Holder’s obligation to close that each of the following is satisfied, unless expressly waived by such Holder in writing (which Holder may do or refrain from doing in its sole discretion):</w:t>
      </w:r>
    </w:p>
    <w:p>
      <w:pPr>
        <w:spacing w:after="0" w:line="120" w:lineRule="exact"/>
        <w:rPr>
          <w:sz w:val="20"/>
          <w:szCs w:val="20"/>
          <w:color w:val="auto"/>
        </w:rPr>
      </w:pPr>
    </w:p>
    <w:p>
      <w:pPr>
        <w:ind w:left="8" w:right="179" w:hanging="8"/>
        <w:spacing w:after="0" w:line="293" w:lineRule="auto"/>
        <w:tabs>
          <w:tab w:leader="none" w:pos="30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(w) the representations and warranties made by the Company in the Agreement shall be true and correct as of the Conversion Closing Date, except those representations and warranties that address matters only as of a particular date, which shall be true and correct as of such date; (x) the Company shall have complied fully with all of the covenants and agreements in the Agreement; (y) all shares of Common Stock to be issued upon such conversion shall be duly listed and admitted to trading on the Nasdaq Global Select Market, the Nasdaq Global Market or the New York Stock Exchange; and (z) such Holder shall have received a certificate of the Chief Executive Officer and the Chief Financial Officer of the Company dated such date and to the effect of clauses (x), (y) and (z).</w:t>
      </w:r>
    </w:p>
    <w:p>
      <w:pPr>
        <w:spacing w:after="0" w:line="124" w:lineRule="exact"/>
        <w:rPr>
          <w:rFonts w:ascii="Arial" w:cs="Arial" w:eastAsia="Arial" w:hAnsi="Arial"/>
          <w:sz w:val="16"/>
          <w:szCs w:val="16"/>
          <w:color w:val="auto"/>
        </w:rPr>
      </w:pPr>
    </w:p>
    <w:p>
      <w:pPr>
        <w:ind w:left="8" w:right="479" w:hanging="8"/>
        <w:spacing w:after="0" w:line="308" w:lineRule="auto"/>
        <w:tabs>
          <w:tab w:leader="none" w:pos="293" w:val="left"/>
        </w:tabs>
        <w:numPr>
          <w:ilvl w:val="0"/>
          <w:numId w:val="142"/>
        </w:numPr>
        <w:rPr>
          <w:rFonts w:ascii="Arial" w:cs="Arial" w:eastAsia="Arial" w:hAnsi="Arial"/>
          <w:sz w:val="17"/>
          <w:szCs w:val="17"/>
          <w:color w:val="auto"/>
        </w:rPr>
      </w:pPr>
      <w:r>
        <w:rPr>
          <w:rFonts w:ascii="Arial" w:cs="Arial" w:eastAsia="Arial" w:hAnsi="Arial"/>
          <w:sz w:val="17"/>
          <w:szCs w:val="17"/>
          <w:color w:val="auto"/>
        </w:rPr>
        <w:t>On the Conversion Closing Date, the Company shall have delivered to the Holder (x) a Conversion Notice, substantially in the form attached as Annex G to the Agreement and (y) the legal opinion described in Section 12(b) of the Agreement.</w:t>
      </w:r>
    </w:p>
    <w:p>
      <w:pPr>
        <w:spacing w:after="0" w:line="106" w:lineRule="exact"/>
        <w:rPr>
          <w:rFonts w:ascii="Arial" w:cs="Arial" w:eastAsia="Arial" w:hAnsi="Arial"/>
          <w:sz w:val="17"/>
          <w:szCs w:val="17"/>
          <w:color w:val="auto"/>
        </w:rPr>
      </w:pPr>
    </w:p>
    <w:p>
      <w:pPr>
        <w:ind w:left="8" w:right="319" w:hanging="8"/>
        <w:spacing w:after="0" w:line="271" w:lineRule="auto"/>
        <w:tabs>
          <w:tab w:leader="none" w:pos="293"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If the issuance of Common Stock or Common Stock Equivalent Junior Preferred Stock would cause the number of shares of Common Stock and Common Stock Equivalent Junior Preferred Stock held by any Holder to exceed the Maximum Number then delivery of such shares of Common Stock or Common Stock Equivalent Junior Preferred Stock shall be deferred pursuant to Section 6(d) of the Agreement. Notwithstanding anything herein to the contrary, in such event, the Company shall no longer be obligated to pay any dividend on the Series C Preferred Stock or provide or recognize any other preferences, limitations, powers or other rights provided by this Certificate of Rights and Preferences to the extent that, if the Series C Preferred Stock would have been converted, the Holder would beneficially own Common Stock and Common Stock Equivalent Junior Preferred Securities that would exceed the Maximum Number.</w:t>
      </w:r>
    </w:p>
    <w:p>
      <w:pPr>
        <w:spacing w:after="0" w:line="152" w:lineRule="exact"/>
        <w:rPr>
          <w:sz w:val="20"/>
          <w:szCs w:val="20"/>
          <w:color w:val="auto"/>
        </w:rPr>
      </w:pPr>
    </w:p>
    <w:p>
      <w:pPr>
        <w:ind w:left="8" w:right="319"/>
        <w:spacing w:after="0" w:line="272" w:lineRule="auto"/>
        <w:rPr>
          <w:sz w:val="20"/>
          <w:szCs w:val="20"/>
          <w:color w:val="auto"/>
        </w:rPr>
      </w:pPr>
      <w:r>
        <w:rPr>
          <w:rFonts w:ascii="Arial" w:cs="Arial" w:eastAsia="Arial" w:hAnsi="Arial"/>
          <w:sz w:val="17"/>
          <w:szCs w:val="17"/>
          <w:color w:val="auto"/>
        </w:rPr>
        <w:t xml:space="preserve">The Company shall use its best efforts to cause each of the foregoing conditions to be satisfied at the earliest practicable date after a Conversion Notice. If such conditions are not satisfied or waived prior to the twentieth (20th) Business Day following and excluding the date the Conversion Notice is delivered, then the Company may, at its sole option, and at any time, withdraw the Conversion Notice by written notice to the Holder regardless of whether such conditions have been satisfied or waived as of the withdrawal date and, after such withdrawal, shall have no further obligations with respect to such Conversion Notice and may submit a Conversion Notice with respect to the shares referenced in the withdrawn Conversion Notice pursuant to </w:t>
      </w:r>
      <w:r>
        <w:rPr>
          <w:rFonts w:ascii="Arial" w:cs="Arial" w:eastAsia="Arial" w:hAnsi="Arial"/>
          <w:sz w:val="17"/>
          <w:szCs w:val="17"/>
          <w:u w:val="single" w:color="auto"/>
          <w:color w:val="auto"/>
        </w:rPr>
        <w:t>Section 6(a)(i)</w:t>
      </w:r>
      <w:r>
        <w:rPr>
          <w:rFonts w:ascii="Arial" w:cs="Arial" w:eastAsia="Arial" w:hAnsi="Arial"/>
          <w:sz w:val="17"/>
          <w:szCs w:val="17"/>
          <w:color w:val="auto"/>
        </w:rPr>
        <w:t xml:space="preserve"> hereof, subject to the closing conditions in this </w:t>
      </w:r>
      <w:r>
        <w:rPr>
          <w:rFonts w:ascii="Arial" w:cs="Arial" w:eastAsia="Arial" w:hAnsi="Arial"/>
          <w:sz w:val="17"/>
          <w:szCs w:val="17"/>
          <w:u w:val="single" w:color="auto"/>
          <w:color w:val="auto"/>
        </w:rPr>
        <w:t>Section 6(a)(iii)</w:t>
      </w:r>
      <w:r>
        <w:rPr>
          <w:rFonts w:ascii="Arial" w:cs="Arial" w:eastAsia="Arial" w:hAnsi="Arial"/>
          <w:sz w:val="17"/>
          <w:szCs w:val="17"/>
          <w:color w:val="auto"/>
        </w:rPr>
        <w:t>.</w:t>
      </w:r>
    </w:p>
    <w:p>
      <w:pPr>
        <w:spacing w:after="0" w:line="200" w:lineRule="exact"/>
        <w:rPr>
          <w:sz w:val="20"/>
          <w:szCs w:val="20"/>
          <w:color w:val="auto"/>
        </w:rPr>
      </w:pPr>
    </w:p>
    <w:p>
      <w:pPr>
        <w:spacing w:after="0" w:line="329"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41" w:name="page142"/>
    <w:bookmarkEnd w:id="141"/>
    <w:p>
      <w:pPr>
        <w:ind w:left="8" w:right="179" w:hanging="8"/>
        <w:spacing w:after="0" w:line="297" w:lineRule="auto"/>
        <w:tabs>
          <w:tab w:leader="none" w:pos="312"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Holder of record</w:t>
      </w:r>
      <w:r>
        <w:rPr>
          <w:rFonts w:ascii="Arial" w:cs="Arial" w:eastAsia="Arial" w:hAnsi="Arial"/>
          <w:sz w:val="16"/>
          <w:szCs w:val="16"/>
          <w:color w:val="auto"/>
        </w:rPr>
        <w:t xml:space="preserve">. Each conversion of Series C Preferred Stock shall be deemed to have been effected immediately before the close of business on the Business Day on which the Conversion Notice is delivered (except, that, for purposes of calculation of the Stated Value, dividends shall accrue until and including the Conversion Closing Date), and at such time the Person or Persons in whose name or names any certificate or certificates for shares of Common Stock or Common Stock Equivalent Junior Preferred Securities shall be issuable upon such conversion as provided in </w:t>
      </w:r>
      <w:r>
        <w:rPr>
          <w:rFonts w:ascii="Arial" w:cs="Arial" w:eastAsia="Arial" w:hAnsi="Arial"/>
          <w:sz w:val="16"/>
          <w:szCs w:val="16"/>
          <w:u w:val="single" w:color="auto"/>
          <w:color w:val="auto"/>
        </w:rPr>
        <w:t>Section 6(a)(ii)</w:t>
      </w:r>
      <w:r>
        <w:rPr>
          <w:rFonts w:ascii="Arial" w:cs="Arial" w:eastAsia="Arial" w:hAnsi="Arial"/>
          <w:sz w:val="16"/>
          <w:szCs w:val="16"/>
          <w:color w:val="auto"/>
        </w:rPr>
        <w:t xml:space="preserve"> shall be deemed to have become the holder or holders of record thereof.</w:t>
      </w:r>
    </w:p>
    <w:p>
      <w:pPr>
        <w:spacing w:after="0" w:line="131" w:lineRule="exact"/>
        <w:rPr>
          <w:sz w:val="20"/>
          <w:szCs w:val="20"/>
          <w:color w:val="auto"/>
        </w:rPr>
      </w:pPr>
    </w:p>
    <w:p>
      <w:pPr>
        <w:ind w:left="248" w:hanging="248"/>
        <w:spacing w:after="0"/>
        <w:tabs>
          <w:tab w:leader="none" w:pos="248"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Procedure for Redemption at the Option of the Holder</w:t>
      </w:r>
      <w:r>
        <w:rPr>
          <w:rFonts w:ascii="Arial" w:cs="Arial" w:eastAsia="Arial" w:hAnsi="Arial"/>
          <w:sz w:val="18"/>
          <w:szCs w:val="18"/>
          <w:color w:val="auto"/>
        </w:rPr>
        <w:t>.</w:t>
      </w:r>
    </w:p>
    <w:p>
      <w:pPr>
        <w:spacing w:after="0" w:line="185" w:lineRule="exact"/>
        <w:rPr>
          <w:sz w:val="20"/>
          <w:szCs w:val="20"/>
          <w:color w:val="auto"/>
        </w:rPr>
      </w:pPr>
    </w:p>
    <w:p>
      <w:pPr>
        <w:ind w:left="8" w:right="259" w:hanging="8"/>
        <w:spacing w:after="0" w:line="287" w:lineRule="auto"/>
        <w:tabs>
          <w:tab w:leader="none" w:pos="223"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at any time after the Company has obtained the approval of the stockholders of the Company to increase the authorized number of shares of Common Stock, a Holder of Series C Preferred Stock may at the option of the Holder require the Company to redeem any or all shares of Series C Preferred Stock held by such Holder for Common Stock and/or Common Stock Equivalent Junior Preferred Stock on one or more occasions by delivering an optional redemption notice (a “</w:t>
      </w:r>
      <w:r>
        <w:rPr>
          <w:rFonts w:ascii="Arial" w:cs="Arial" w:eastAsia="Arial" w:hAnsi="Arial"/>
          <w:sz w:val="16"/>
          <w:szCs w:val="16"/>
          <w:u w:val="single" w:color="auto"/>
          <w:color w:val="auto"/>
        </w:rPr>
        <w:t>Redemption Notice</w:t>
      </w:r>
      <w:r>
        <w:rPr>
          <w:rFonts w:ascii="Arial" w:cs="Arial" w:eastAsia="Arial" w:hAnsi="Arial"/>
          <w:sz w:val="16"/>
          <w:szCs w:val="16"/>
          <w:color w:val="auto"/>
        </w:rPr>
        <w:t xml:space="preserve">”) to the Company substantially in the form attached as Annex H to the Agreement; provided, however, that until the Company has obtained the approval of the stockholders of the Company to increase the authorized number of shares of Common Stock, a Holder of Series C Preferred Stock may require the Company to redeem any or all of such shares of Series C Preferred Stock for Common Stock Equivalent Junior Preferred Stock. The closing of such redemption shall take place, subject to the satisfaction or waiver of the conditions set forth in </w:t>
      </w:r>
      <w:r>
        <w:rPr>
          <w:rFonts w:ascii="Arial" w:cs="Arial" w:eastAsia="Arial" w:hAnsi="Arial"/>
          <w:sz w:val="16"/>
          <w:szCs w:val="16"/>
          <w:u w:val="single" w:color="auto"/>
          <w:color w:val="auto"/>
        </w:rPr>
        <w:t>Section 6(b)(iii)</w:t>
      </w:r>
      <w:r>
        <w:rPr>
          <w:rFonts w:ascii="Arial" w:cs="Arial" w:eastAsia="Arial" w:hAnsi="Arial"/>
          <w:sz w:val="16"/>
          <w:szCs w:val="16"/>
          <w:color w:val="auto"/>
        </w:rPr>
        <w:t xml:space="preserve"> (a) on the second (2nd) Business Day, or if the Holder so elects, the third (3rd) Business Day, following and excluding the date the Redemption Notice is delivered or (b) any other date upon which the exercising Holder and the Company mutually agree (the “</w:t>
      </w:r>
      <w:r>
        <w:rPr>
          <w:rFonts w:ascii="Arial" w:cs="Arial" w:eastAsia="Arial" w:hAnsi="Arial"/>
          <w:sz w:val="16"/>
          <w:szCs w:val="16"/>
          <w:u w:val="single" w:color="auto"/>
          <w:color w:val="auto"/>
        </w:rPr>
        <w:t>Redemption Closing Date</w:t>
      </w:r>
      <w:r>
        <w:rPr>
          <w:rFonts w:ascii="Arial" w:cs="Arial" w:eastAsia="Arial" w:hAnsi="Arial"/>
          <w:sz w:val="16"/>
          <w:szCs w:val="16"/>
          <w:color w:val="auto"/>
        </w:rPr>
        <w:t>”).</w:t>
      </w:r>
    </w:p>
    <w:p>
      <w:pPr>
        <w:spacing w:after="0" w:line="132" w:lineRule="exact"/>
        <w:rPr>
          <w:rFonts w:ascii="Arial" w:cs="Arial" w:eastAsia="Arial" w:hAnsi="Arial"/>
          <w:sz w:val="16"/>
          <w:szCs w:val="16"/>
          <w:color w:val="auto"/>
        </w:rPr>
      </w:pPr>
    </w:p>
    <w:p>
      <w:pPr>
        <w:ind w:left="8" w:right="319" w:hanging="8"/>
        <w:spacing w:after="0" w:line="291" w:lineRule="auto"/>
        <w:tabs>
          <w:tab w:leader="none" w:pos="273"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Redemption for stock</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such shares of Series C Preferred Stock shall be redeemed into that number of shares of Common Stock and/or number of one-hundredths (1/100th) of a share of Common Stock Equivalent Junior Preferred Stock equal to (a) the aggregate Stated Value of such shares divided by (b) the Redemption Price (the “</w:t>
      </w:r>
      <w:r>
        <w:rPr>
          <w:rFonts w:ascii="Arial" w:cs="Arial" w:eastAsia="Arial" w:hAnsi="Arial"/>
          <w:sz w:val="16"/>
          <w:szCs w:val="16"/>
          <w:u w:val="single" w:color="auto"/>
          <w:color w:val="auto"/>
        </w:rPr>
        <w:t>Redemption Stock Amount</w:t>
      </w:r>
      <w:r>
        <w:rPr>
          <w:rFonts w:ascii="Arial" w:cs="Arial" w:eastAsia="Arial" w:hAnsi="Arial"/>
          <w:sz w:val="16"/>
          <w:szCs w:val="16"/>
          <w:color w:val="auto"/>
        </w:rPr>
        <w:t>”). On the Redemption Closing Date, the Holder shall surrender the certificate representing the shares of Series C Preferred Stock to be redeemed to the Company at the address set forth for notices to the Company specified in Section 18 of the Agreement and the Company shall deliver to such Holder as specified in the Redemption Notice the Redemption Stock Amount of duly authorized, validly issued, fully paid and nonassessable shares of Common Stock and/or Common Stock Equivalent Junior Preferred Stock.</w:t>
      </w:r>
    </w:p>
    <w:p>
      <w:pPr>
        <w:spacing w:after="0" w:line="200" w:lineRule="exact"/>
        <w:rPr>
          <w:sz w:val="20"/>
          <w:szCs w:val="20"/>
          <w:color w:val="auto"/>
        </w:rPr>
      </w:pPr>
    </w:p>
    <w:p>
      <w:pPr>
        <w:spacing w:after="0" w:line="332"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142" w:name="page143"/>
    <w:bookmarkEnd w:id="142"/>
    <w:p>
      <w:pPr>
        <w:ind w:left="8" w:right="499" w:hanging="8"/>
        <w:spacing w:after="0" w:line="277" w:lineRule="auto"/>
        <w:tabs>
          <w:tab w:leader="none" w:pos="323"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r>
        <w:rPr>
          <w:rFonts w:ascii="Arial" w:cs="Arial" w:eastAsia="Arial" w:hAnsi="Arial"/>
          <w:sz w:val="18"/>
          <w:szCs w:val="18"/>
          <w:color w:val="auto"/>
        </w:rPr>
        <w:t>. It shall be a condition of the redeeming Holder’s obligation to close that each of the following is satisfied, unless expressly waived by such Holder in writing:</w:t>
      </w:r>
    </w:p>
    <w:p>
      <w:pPr>
        <w:spacing w:after="0" w:line="143" w:lineRule="exact"/>
        <w:rPr>
          <w:sz w:val="20"/>
          <w:szCs w:val="20"/>
          <w:color w:val="auto"/>
        </w:rPr>
      </w:pPr>
    </w:p>
    <w:p>
      <w:pPr>
        <w:ind w:left="8" w:right="279" w:hanging="8"/>
        <w:spacing w:after="0" w:line="293" w:lineRule="auto"/>
        <w:tabs>
          <w:tab w:leader="none" w:pos="30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 the representations and warranties made by the Company in the Agreement shall be true and correct as of the Redemption Closing Date, except those representations and warranties that address matters only as of a particular date, which shall be true and correct as of such date; (x) the Company shall have complied fully with all of the covenants and agreements in the Agreement; (y) all shares of Common Stock to be issued upon such redemption shall be duly listed and admitted to trading on the Nasdaq Global Select Market, the Nasdaq Global Market or the New York Stock Exchange; and such Holder shall have received a certificate of the Chief Executive Officer and (z) the Chief Financial Officer of the Company dated such date and to the effect of clauses (w), (x) and (y).</w:t>
      </w:r>
    </w:p>
    <w:p>
      <w:pPr>
        <w:spacing w:after="0" w:line="124" w:lineRule="exact"/>
        <w:rPr>
          <w:rFonts w:ascii="Arial" w:cs="Arial" w:eastAsia="Arial" w:hAnsi="Arial"/>
          <w:sz w:val="16"/>
          <w:szCs w:val="16"/>
          <w:color w:val="auto"/>
        </w:rPr>
      </w:pPr>
    </w:p>
    <w:p>
      <w:pPr>
        <w:jc w:val="both"/>
        <w:ind w:left="8" w:right="619" w:hanging="8"/>
        <w:spacing w:after="0" w:line="264" w:lineRule="auto"/>
        <w:tabs>
          <w:tab w:leader="none" w:pos="29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On the Redemption Closing Date, the Company shall have delivered to the Holder (x) a Preferred Stock redemption delivery notice, substantially in the form attached as Annex I to the Agreement and (y) the legal opinion described in Section 12(b) of the Agreement.</w:t>
      </w:r>
    </w:p>
    <w:p>
      <w:pPr>
        <w:spacing w:after="0" w:line="140" w:lineRule="exact"/>
        <w:rPr>
          <w:rFonts w:ascii="Arial" w:cs="Arial" w:eastAsia="Arial" w:hAnsi="Arial"/>
          <w:sz w:val="18"/>
          <w:szCs w:val="18"/>
          <w:color w:val="auto"/>
        </w:rPr>
      </w:pPr>
    </w:p>
    <w:p>
      <w:pPr>
        <w:ind w:left="268" w:hanging="268"/>
        <w:spacing w:after="0"/>
        <w:tabs>
          <w:tab w:leader="none" w:pos="26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As of the Redemption Closing Date, the Company shall have notified the Holder of all Restatements.</w:t>
      </w:r>
    </w:p>
    <w:p>
      <w:pPr>
        <w:spacing w:after="0" w:line="198" w:lineRule="exact"/>
        <w:rPr>
          <w:rFonts w:ascii="Arial" w:cs="Arial" w:eastAsia="Arial" w:hAnsi="Arial"/>
          <w:sz w:val="18"/>
          <w:szCs w:val="18"/>
          <w:color w:val="auto"/>
        </w:rPr>
      </w:pPr>
    </w:p>
    <w:p>
      <w:pPr>
        <w:ind w:left="8" w:right="219" w:hanging="8"/>
        <w:spacing w:after="0" w:line="254" w:lineRule="auto"/>
        <w:tabs>
          <w:tab w:leader="none" w:pos="30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the issuance of Common Stock or Common Stock Equivalent Junior Preferred Stock would cause the number of shares of Common Stock and Common Stock Equivalent Junior Preferred Stock held by any Holder to exceed the Maximum Number then delivery of such shares of Common Stock or Common Stock Equivalent Junior Preferred Stock shall be deferred pursuant to Section 6(d) of the Agreement. Notwithstanding anything herein to the contrary, in such event, the Company shall no longer be obligated to pay any dividend on the Preferred Stock or provide or recognize any other preferences, limitations, powers or other rights provided by this Certificate of Rights and Preferences to the extent that, if the Series C Preferred Stock would have been redeemed, the Holder would beneficially own Common Stock and Common Stock Equivalent Junior Preferred Securities that would exceed the Maximum Number.</w:t>
      </w:r>
    </w:p>
    <w:p>
      <w:pPr>
        <w:spacing w:after="0" w:line="200" w:lineRule="exact"/>
        <w:rPr>
          <w:sz w:val="20"/>
          <w:szCs w:val="20"/>
          <w:color w:val="auto"/>
        </w:rPr>
      </w:pPr>
    </w:p>
    <w:p>
      <w:pPr>
        <w:spacing w:after="0" w:line="343"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43" w:name="page144"/>
    <w:bookmarkEnd w:id="143"/>
    <w:p>
      <w:pPr>
        <w:ind w:left="8" w:right="179" w:hanging="8"/>
        <w:spacing w:after="0" w:line="272" w:lineRule="auto"/>
        <w:tabs>
          <w:tab w:leader="none" w:pos="312"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Holder of record</w:t>
      </w:r>
      <w:r>
        <w:rPr>
          <w:rFonts w:ascii="Arial" w:cs="Arial" w:eastAsia="Arial" w:hAnsi="Arial"/>
          <w:sz w:val="17"/>
          <w:szCs w:val="17"/>
          <w:color w:val="auto"/>
        </w:rPr>
        <w:t xml:space="preserve">. Each redemption of Series C Preferred Stock shall be deemed to have been effected immediately before the close of business on the Business Day on which the Redemption Notice is delivered (except, that, for the purposes of calculation of the Stated Value, dividends shall accrue until and including the Redemption Closing Date), and at such time the Person or Persons in whose name or names any certificate or certificates for shares of Common Stock (or Other Securities) shall be issuable upon such redemption as provided in </w:t>
      </w:r>
      <w:r>
        <w:rPr>
          <w:rFonts w:ascii="Arial" w:cs="Arial" w:eastAsia="Arial" w:hAnsi="Arial"/>
          <w:sz w:val="17"/>
          <w:szCs w:val="17"/>
          <w:u w:val="single" w:color="auto"/>
          <w:color w:val="auto"/>
        </w:rPr>
        <w:t>Section 6(b)(ii)</w:t>
      </w:r>
      <w:r>
        <w:rPr>
          <w:rFonts w:ascii="Arial" w:cs="Arial" w:eastAsia="Arial" w:hAnsi="Arial"/>
          <w:sz w:val="17"/>
          <w:szCs w:val="17"/>
          <w:color w:val="auto"/>
        </w:rPr>
        <w:t xml:space="preserve"> shall be deemed to have become the holder or holders of record thereof. The foregoing notwithstanding, such redemption shall not be deemed effective if and as of the date that the Holder delivers written notice of withdrawal to the Company as set forth in </w:t>
      </w:r>
      <w:r>
        <w:rPr>
          <w:rFonts w:ascii="Arial" w:cs="Arial" w:eastAsia="Arial" w:hAnsi="Arial"/>
          <w:sz w:val="17"/>
          <w:szCs w:val="17"/>
          <w:u w:val="single" w:color="auto"/>
          <w:color w:val="auto"/>
        </w:rPr>
        <w:t>Section 6(b)(v)</w:t>
      </w:r>
      <w:r>
        <w:rPr>
          <w:rFonts w:ascii="Arial" w:cs="Arial" w:eastAsia="Arial" w:hAnsi="Arial"/>
          <w:sz w:val="17"/>
          <w:szCs w:val="17"/>
          <w:color w:val="auto"/>
        </w:rPr>
        <w:t xml:space="preserve"> below.</w:t>
      </w:r>
    </w:p>
    <w:p>
      <w:pPr>
        <w:spacing w:after="0" w:line="150" w:lineRule="exact"/>
        <w:rPr>
          <w:rFonts w:ascii="Arial" w:cs="Arial" w:eastAsia="Arial" w:hAnsi="Arial"/>
          <w:sz w:val="17"/>
          <w:szCs w:val="17"/>
          <w:color w:val="auto"/>
        </w:rPr>
      </w:pPr>
    </w:p>
    <w:p>
      <w:pPr>
        <w:ind w:left="8" w:right="179" w:hanging="8"/>
        <w:spacing w:after="0" w:line="268" w:lineRule="auto"/>
        <w:tabs>
          <w:tab w:leader="none" w:pos="262"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Withdrawal of Redemption Notice</w:t>
      </w:r>
      <w:r>
        <w:rPr>
          <w:rFonts w:ascii="Arial" w:cs="Arial" w:eastAsia="Arial" w:hAnsi="Arial"/>
          <w:sz w:val="17"/>
          <w:szCs w:val="17"/>
          <w:color w:val="auto"/>
        </w:rPr>
        <w:t xml:space="preserve">. If the conditions set forth in </w:t>
      </w:r>
      <w:r>
        <w:rPr>
          <w:rFonts w:ascii="Arial" w:cs="Arial" w:eastAsia="Arial" w:hAnsi="Arial"/>
          <w:sz w:val="17"/>
          <w:szCs w:val="17"/>
          <w:u w:val="single" w:color="auto"/>
          <w:color w:val="auto"/>
        </w:rPr>
        <w:t>Section 6(b)(iii)</w:t>
      </w:r>
      <w:r>
        <w:rPr>
          <w:rFonts w:ascii="Arial" w:cs="Arial" w:eastAsia="Arial" w:hAnsi="Arial"/>
          <w:sz w:val="17"/>
          <w:szCs w:val="17"/>
          <w:color w:val="auto"/>
        </w:rPr>
        <w:t xml:space="preserve"> are not satisfied or waived on or prior to the Redemption Closing Date or if the Company fails to perform its obligations on any Redemption Closing Date (including delivery of all shares of Series C Preferred Stock issuable on such date), then in addition to all remedies available to Holder at law or in equity, Holder may, at its sole option, and at any time, withdraw the Redemption Notice by written notice to the Company regardless of whether such conditions have been satisfied or waived as of the withdrawal date and, after such withdrawal, shall have no further obligations with respect to such Redemption Notice and may submit a Redemption Notice on any future date with respect to such Series C Preferred Stock and the Redemption Price for such subsequent Redemption Notice shall be the lesser of (x) the Redemption Price in the withdrawn Redemption Notice and (y) the Redemption Price in effect as of the date of the subsequent Redemption Notice. If the Company fails to deliver (A) shares of Common Stock as provided in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on or before the later of the twentieth (20th) Business Day following and excluding (1) the Redemption Closing Date or (2) three (3) Business Days after the Stockholder Consent Date (if and to the extent such approval is required to issue such shares of Common Stock) or (B) shares of Common Stock Equivalent Junior Preferred Stock on or before the twentieth (20th) Business Day following and excluding the Redemption Closing Date, then the Redemption Price shall equal the lesser of Four Dollars and Forty-One Cents ($4.41) and the Redemption Price in effect immediately before such date.</w:t>
      </w:r>
    </w:p>
    <w:p>
      <w:pPr>
        <w:spacing w:after="0" w:line="144" w:lineRule="exact"/>
        <w:rPr>
          <w:rFonts w:ascii="Arial" w:cs="Arial" w:eastAsia="Arial" w:hAnsi="Arial"/>
          <w:sz w:val="17"/>
          <w:szCs w:val="17"/>
          <w:color w:val="auto"/>
        </w:rPr>
      </w:pPr>
    </w:p>
    <w:p>
      <w:pPr>
        <w:ind w:left="8" w:right="199" w:hanging="8"/>
        <w:spacing w:after="0" w:line="312" w:lineRule="auto"/>
        <w:tabs>
          <w:tab w:leader="none" w:pos="312"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Partial redemption</w:t>
      </w:r>
      <w:r>
        <w:rPr>
          <w:rFonts w:ascii="Arial" w:cs="Arial" w:eastAsia="Arial" w:hAnsi="Arial"/>
          <w:sz w:val="16"/>
          <w:szCs w:val="16"/>
          <w:color w:val="auto"/>
        </w:rPr>
        <w:t>. If any redemption is for only part of the shares represented by the certificate surrendered, the Company shall deliver on the Redemption Closing Date a new Series C Preferred Stock certificate of like tenor, calling in the aggregate on the face or faces thereof for the number of shares of Series C Preferred Stock in the name and to an address specified by the Holder.</w:t>
      </w:r>
    </w:p>
    <w:p>
      <w:pPr>
        <w:spacing w:after="0" w:line="200" w:lineRule="exact"/>
        <w:rPr>
          <w:sz w:val="20"/>
          <w:szCs w:val="20"/>
          <w:color w:val="auto"/>
        </w:rPr>
      </w:pPr>
    </w:p>
    <w:p>
      <w:pPr>
        <w:spacing w:after="0" w:line="311"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144" w:name="page145"/>
    <w:bookmarkEnd w:id="144"/>
    <w:p>
      <w:pPr>
        <w:ind w:left="8" w:right="199" w:hanging="8"/>
        <w:spacing w:after="0" w:line="288" w:lineRule="auto"/>
        <w:tabs>
          <w:tab w:leader="none" w:pos="252"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Maximum Voting Stock Amount</w:t>
      </w:r>
      <w:r>
        <w:rPr>
          <w:rFonts w:ascii="Arial" w:cs="Arial" w:eastAsia="Arial" w:hAnsi="Arial"/>
          <w:sz w:val="16"/>
          <w:szCs w:val="16"/>
          <w:color w:val="auto"/>
        </w:rPr>
        <w:t>. The Company shall not effect any conversion or redemption of the Series C Preferred Stock, and the Holders shall not have the right to convert or redeem any portion of the Series C Preferred Stock, into Common Stock to the extent such conversion, redemption or exercise would result in aggregate issuances upon conversion or redemption of the Series C Preferred Stock in excess of nine and seventy-five one hundredths percent (9.75%)(the “</w:t>
      </w:r>
      <w:r>
        <w:rPr>
          <w:rFonts w:ascii="Arial" w:cs="Arial" w:eastAsia="Arial" w:hAnsi="Arial"/>
          <w:sz w:val="16"/>
          <w:szCs w:val="16"/>
          <w:u w:val="single" w:color="auto"/>
          <w:color w:val="auto"/>
        </w:rPr>
        <w:t>Maximum Voting Stock Amount</w:t>
      </w:r>
      <w:r>
        <w:rPr>
          <w:rFonts w:ascii="Arial" w:cs="Arial" w:eastAsia="Arial" w:hAnsi="Arial"/>
          <w:sz w:val="16"/>
          <w:szCs w:val="16"/>
          <w:color w:val="auto"/>
        </w:rPr>
        <w:t>”) of the number of shares of Common Stock that would be outstanding after giving effect to such conversion or redemption. Holders of a Majority of the Series C Preferred Stock shall have the right to permanently reduce the percentage used in the determination of the Maximum Voting Stock Amount to four and seventy-five one hundredths percent (4.75%) at any time, effective upon delivery of written notice of such election to the Company. In the event that the Company cannot effect a conversion or redemption of the Series C Preferred Stock into Common Stock pursuant to the terms of this Section 6(c), the conversion or redemption shall be effected into an equal number of shares of Common Stock Equivalent Junior Preferred Stock of the Company.</w:t>
      </w:r>
    </w:p>
    <w:p>
      <w:pPr>
        <w:spacing w:after="0" w:line="142" w:lineRule="exact"/>
        <w:rPr>
          <w:rFonts w:ascii="Arial" w:cs="Arial" w:eastAsia="Arial" w:hAnsi="Arial"/>
          <w:sz w:val="16"/>
          <w:szCs w:val="16"/>
          <w:color w:val="auto"/>
        </w:rPr>
      </w:pPr>
    </w:p>
    <w:p>
      <w:pPr>
        <w:ind w:left="8" w:right="179" w:hanging="8"/>
        <w:spacing w:after="0" w:line="286" w:lineRule="auto"/>
        <w:tabs>
          <w:tab w:leader="none" w:pos="25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Company shall at all times reserve for issuance such number of its shares of Common Stock and Common Stock Equivalent Junior Preferred Stock as shall be required under the Agreement. The Company will procure, at its sole expense, the listing of the Common Stock issuable upon conversion or redemption of the Series C Preferred Stock (including upon the conversion of Common Stock Equivalent Junior Preferred Stock issuable upon the conversion or redemption of the Series C Preferred Stock) and shares issuable as dividends hereunder, subject to issuance or notice of issuance, on all stock exchanges and quotation systems on which the Common Stock is then listed or quoted, no later than the date on which such Series C Preferred Stock is issued to the Holder and thereafter shall use its best efforts to prevent delisting or removal from quotation of such shares. The Company will pay any and all documentary stamp or similar issue or transfer taxes that may be payable in respect of the issuance or delivery of shares of Common Stock and/or Common Stock Equivalent Junior Preferred Stock on conversion or redemption of shares of the Series C Preferred Stock. The Company shall not, however, be required to pay any tax which may be payable in respect of any transfer involving the issue and delivery of shares of Common Stock and/or Common Stock Equivalent Junior Preferred Stock in a name other than that in which the shares of Series C Preferred Stock so converted or redeemed were registered, and no such issue and delivery shall be made unless and until the person requesting such issue has paid to the Company the amount of any such tax, or has established, to the reasonable satisfaction of the Company, that such tax has been paid.</w:t>
      </w:r>
    </w:p>
    <w:p>
      <w:pPr>
        <w:spacing w:after="0" w:line="131" w:lineRule="exact"/>
        <w:rPr>
          <w:rFonts w:ascii="Arial" w:cs="Arial" w:eastAsia="Arial" w:hAnsi="Arial"/>
          <w:sz w:val="16"/>
          <w:szCs w:val="16"/>
          <w:color w:val="auto"/>
        </w:rPr>
      </w:pPr>
    </w:p>
    <w:p>
      <w:pPr>
        <w:ind w:left="8" w:right="219" w:hanging="8"/>
        <w:spacing w:after="0" w:line="289" w:lineRule="auto"/>
        <w:tabs>
          <w:tab w:leader="none" w:pos="25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No fractional shares or scrip representing fractional shares of Common Stock or, other than fractional shares in increments of one-hundredth (1/100th) of a share, of Common Stock Equivalent Junior Preferred Stock shall be issued upon the conversion or redemption of the Series C Preferred Stock. If any such conversion or redemption would otherwise require the issuance of a fractional share of Common Stock or, other than fractional shares in increments of one-hundredth (1/100th) of a share, of Common Stock Equivalent Junior Preferred Stock, an amount equal to such fraction multiplied by the current Daily Market Price per share of Common Stock on the date of conversion or redemption shall be paid to the Holder in cash by the Company. If more than one share of Series C Preferred Stock shall be surrendered for conversion or redemption at one time by or for the same Holder, the number of shares of Common Stock and/or Common Stock Equivalent Junior Preferred Stock issuable upon conversion or redemption thereof shall be computed on the basis of the aggregate number of shares of Series C Preferred Stock so surrendered.</w:t>
      </w:r>
    </w:p>
    <w:p>
      <w:pPr>
        <w:spacing w:after="0" w:line="200" w:lineRule="exact"/>
        <w:rPr>
          <w:sz w:val="20"/>
          <w:szCs w:val="20"/>
          <w:color w:val="auto"/>
        </w:rPr>
      </w:pPr>
    </w:p>
    <w:p>
      <w:pPr>
        <w:spacing w:after="0" w:line="332"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45" w:name="page146"/>
    <w:bookmarkEnd w:id="145"/>
    <w:p>
      <w:pPr>
        <w:ind w:left="228" w:hanging="228"/>
        <w:spacing w:after="0"/>
        <w:tabs>
          <w:tab w:leader="none" w:pos="228"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198" w:lineRule="exact"/>
        <w:rPr>
          <w:sz w:val="20"/>
          <w:szCs w:val="20"/>
          <w:color w:val="auto"/>
        </w:rPr>
      </w:pPr>
    </w:p>
    <w:p>
      <w:pPr>
        <w:ind w:left="8" w:right="159" w:hanging="8"/>
        <w:spacing w:after="0" w:line="267" w:lineRule="auto"/>
        <w:tabs>
          <w:tab w:leader="none" w:pos="22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If the Company on or after the date of the Agreement is party to any Change of Control, proper provision shall be made so that, upon the basis and the terms and in the manner provided herein, the Holder of each unconverted and unredeemed share of Series C Preferred Stock, upon conversion or redemption thereof at any time after the consummation of such Change of Control, shall be entitled to, and appropriate adjustments will be made to ensure that the Holder will receive, equivalent rights as those provided in this Certificate of Rights and Preferences, including, without limitation, the voting, dividend, conversion, redemption and liquidation rights contained herein with respect to the Acquiring Person. The Company shall, prior to the consummation of any Change of Control, provide that each Person (other than the Company) that may be required to deliver any stock, securities, cash or property upon conversion of Series C Preferred Stock as provided herein shall assume, by written instrument delivered to, and reasonably satisfactory to, the Holders of a Majority of the Series C Preferred Stock, (a) the obligations of the Company under this Certificate of Rights and Preferences (and if the Company shall survive the consummation of such transaction, such assumption shall be in addition to, and shall not release the Company from, any continuing obligations of the Company under this Certificate of Rights and Preferences) and (b) the obligation to deliver to the Holders of Series C Preferred Stock such shares of stock, securities, cash or property as, in accordance with the provisions of this Certificate of Rights and Preferences, such Holders may be entitled to receive, and such Person shall have similarly delivered to such Holders an opinion of counsel for such Person, which counsel shall be reasonably satisfactory to Holders of a Majority of the Series C Preferred Stock, stating that the rights of such Holders under this Certificate of Rights and Preferences shall thereafter continue in full force and effect with respect to such Acquiring Person in accordance with the terms hereof.</w:t>
      </w:r>
    </w:p>
    <w:p>
      <w:pPr>
        <w:spacing w:after="0" w:line="152" w:lineRule="exact"/>
        <w:rPr>
          <w:rFonts w:ascii="Arial" w:cs="Arial" w:eastAsia="Arial" w:hAnsi="Arial"/>
          <w:sz w:val="17"/>
          <w:szCs w:val="17"/>
          <w:color w:val="auto"/>
        </w:rPr>
      </w:pPr>
    </w:p>
    <w:p>
      <w:pPr>
        <w:jc w:val="both"/>
        <w:ind w:left="8" w:right="379" w:hanging="8"/>
        <w:spacing w:after="0" w:line="264" w:lineRule="auto"/>
        <w:tabs>
          <w:tab w:leader="none" w:pos="27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the event of a Change of Control, all references to the Conversion Price or the Redemption Price herein shall be references to the Stock Adjustment Measuring Price. “</w:t>
      </w:r>
      <w:r>
        <w:rPr>
          <w:rFonts w:ascii="Arial" w:cs="Arial" w:eastAsia="Arial" w:hAnsi="Arial"/>
          <w:sz w:val="18"/>
          <w:szCs w:val="18"/>
          <w:u w:val="single" w:color="auto"/>
          <w:color w:val="auto"/>
        </w:rPr>
        <w:t>Stock Adjustment Measuring Price</w:t>
      </w:r>
      <w:r>
        <w:rPr>
          <w:rFonts w:ascii="Arial" w:cs="Arial" w:eastAsia="Arial" w:hAnsi="Arial"/>
          <w:sz w:val="18"/>
          <w:szCs w:val="18"/>
          <w:color w:val="auto"/>
        </w:rPr>
        <w:t>” means an amount equal to the Conversion Price or the Redemption Price, as applicable, multiplied by a fraction,</w:t>
      </w:r>
    </w:p>
    <w:p>
      <w:pPr>
        <w:spacing w:after="0" w:line="141" w:lineRule="exact"/>
        <w:rPr>
          <w:sz w:val="20"/>
          <w:szCs w:val="20"/>
          <w:color w:val="auto"/>
        </w:rPr>
      </w:pPr>
    </w:p>
    <w:p>
      <w:pPr>
        <w:ind w:left="8" w:right="219" w:hanging="8"/>
        <w:spacing w:after="0" w:line="264" w:lineRule="auto"/>
        <w:tabs>
          <w:tab w:leader="none" w:pos="30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numerator of which is the Daily Market Price of the securities for Common Stock is exchanged in the Change of Control (or if none, the most widely-held class of voting securities of the Acquiring Person) determined as of the Business Day immediately preceding and excluding the date on which the Change of Control is consummated; and</w:t>
      </w:r>
    </w:p>
    <w:p>
      <w:pPr>
        <w:spacing w:after="0" w:line="200" w:lineRule="exact"/>
        <w:rPr>
          <w:sz w:val="20"/>
          <w:szCs w:val="20"/>
          <w:color w:val="auto"/>
        </w:rPr>
      </w:pPr>
    </w:p>
    <w:p>
      <w:pPr>
        <w:spacing w:after="0" w:line="34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46" w:name="page147"/>
    <w:bookmarkEnd w:id="146"/>
    <w:p>
      <w:pPr>
        <w:ind w:left="8" w:right="519" w:hanging="8"/>
        <w:spacing w:after="0" w:line="277" w:lineRule="auto"/>
        <w:tabs>
          <w:tab w:leader="none" w:pos="29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denominator of which is the Daily Market Price of the Common Stock of the Company determined as of the Business Day immediately preceding and excluding the date on which the Change of Control is consummated.</w:t>
      </w:r>
    </w:p>
    <w:p>
      <w:pPr>
        <w:spacing w:after="0" w:line="143" w:lineRule="exact"/>
        <w:rPr>
          <w:sz w:val="20"/>
          <w:szCs w:val="20"/>
          <w:color w:val="auto"/>
        </w:rPr>
      </w:pPr>
    </w:p>
    <w:p>
      <w:pPr>
        <w:ind w:left="8" w:right="179" w:hanging="8"/>
        <w:spacing w:after="0" w:line="272" w:lineRule="auto"/>
        <w:tabs>
          <w:tab w:leader="none" w:pos="323" w:val="left"/>
        </w:tabs>
        <w:numPr>
          <w:ilvl w:val="0"/>
          <w:numId w:val="154"/>
        </w:numPr>
        <w:rPr>
          <w:rFonts w:ascii="Arial" w:cs="Arial" w:eastAsia="Arial" w:hAnsi="Arial"/>
          <w:sz w:val="17"/>
          <w:szCs w:val="17"/>
          <w:color w:val="auto"/>
        </w:rPr>
      </w:pPr>
      <w:r>
        <w:rPr>
          <w:rFonts w:ascii="Arial" w:cs="Arial" w:eastAsia="Arial" w:hAnsi="Arial"/>
          <w:sz w:val="17"/>
          <w:szCs w:val="17"/>
          <w:color w:val="auto"/>
        </w:rPr>
        <w:t>Prior to the effective date of a Change of Control, the Company shall continue to have the right to submit to each Holder Conversion Notices and each Holder shall continue to have the right to submit to the Company Redemption Notices and consummate closings of any such conversions or redemptions, in each party’s sole discretion, in accordance with the terms and conditions of this Certificate of Rights and Preferences. In addition, the Holder at its sole option may elect to submit to the Company a special notice (a “</w:t>
      </w:r>
      <w:r>
        <w:rPr>
          <w:rFonts w:ascii="Arial" w:cs="Arial" w:eastAsia="Arial" w:hAnsi="Arial"/>
          <w:sz w:val="17"/>
          <w:szCs w:val="17"/>
          <w:u w:val="single" w:color="auto"/>
          <w:color w:val="auto"/>
        </w:rPr>
        <w:t>Contingent Notice</w:t>
      </w:r>
      <w:r>
        <w:rPr>
          <w:rFonts w:ascii="Arial" w:cs="Arial" w:eastAsia="Arial" w:hAnsi="Arial"/>
          <w:sz w:val="17"/>
          <w:szCs w:val="17"/>
          <w:color w:val="auto"/>
        </w:rPr>
        <w:t>”) to redeem the Series C Preferred Stock (including any Series C Preferred Stock issued pursuant to a Contingent Investment Notice (as defined in the Agreement) under the Agreement) in whole or in part in connection with such Change of Control; in which case, notwithstanding anything to the contrary herein:</w:t>
      </w:r>
    </w:p>
    <w:p>
      <w:pPr>
        <w:spacing w:after="0" w:line="137" w:lineRule="exact"/>
        <w:rPr>
          <w:sz w:val="20"/>
          <w:szCs w:val="20"/>
          <w:color w:val="auto"/>
        </w:rPr>
      </w:pPr>
    </w:p>
    <w:p>
      <w:pPr>
        <w:ind w:left="288" w:hanging="288"/>
        <w:spacing w:after="0"/>
        <w:tabs>
          <w:tab w:leader="none" w:pos="28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effectiveness of such contingent redemption shall be conditional upon the effectiveness of the Change of Control;</w:t>
      </w:r>
    </w:p>
    <w:p>
      <w:pPr>
        <w:spacing w:after="0" w:line="184" w:lineRule="exact"/>
        <w:rPr>
          <w:rFonts w:ascii="Arial" w:cs="Arial" w:eastAsia="Arial" w:hAnsi="Arial"/>
          <w:sz w:val="18"/>
          <w:szCs w:val="18"/>
          <w:color w:val="auto"/>
        </w:rPr>
      </w:pPr>
    </w:p>
    <w:p>
      <w:pPr>
        <w:ind w:left="8" w:right="299" w:hanging="8"/>
        <w:spacing w:after="0" w:line="277" w:lineRule="auto"/>
        <w:tabs>
          <w:tab w:leader="none" w:pos="293" w:val="left"/>
        </w:tabs>
        <w:numPr>
          <w:ilvl w:val="0"/>
          <w:numId w:val="155"/>
        </w:numPr>
        <w:rPr>
          <w:rFonts w:ascii="Arial" w:cs="Arial" w:eastAsia="Arial" w:hAnsi="Arial"/>
          <w:sz w:val="18"/>
          <w:szCs w:val="18"/>
          <w:color w:val="auto"/>
        </w:rPr>
      </w:pPr>
      <w:r>
        <w:rPr>
          <w:rFonts w:ascii="Arial" w:cs="Arial" w:eastAsia="Arial" w:hAnsi="Arial"/>
          <w:sz w:val="18"/>
          <w:szCs w:val="18"/>
          <w:color w:val="auto"/>
        </w:rPr>
        <w:t>until the effective date of such Change of Control, the Holder shall have the right to deliver a notice to withdraw such Contingent Notice; and</w:t>
      </w:r>
    </w:p>
    <w:p>
      <w:pPr>
        <w:spacing w:after="0" w:line="143" w:lineRule="exact"/>
        <w:rPr>
          <w:rFonts w:ascii="Arial" w:cs="Arial" w:eastAsia="Arial" w:hAnsi="Arial"/>
          <w:sz w:val="18"/>
          <w:szCs w:val="18"/>
          <w:color w:val="auto"/>
        </w:rPr>
      </w:pPr>
    </w:p>
    <w:p>
      <w:pPr>
        <w:ind w:left="8" w:right="279" w:hanging="8"/>
        <w:spacing w:after="0" w:line="293" w:lineRule="auto"/>
        <w:tabs>
          <w:tab w:leader="none" w:pos="29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if such Contingent Notice shall not have been withdrawn, then on the effective date of such Change of Control, such Holder shall receive the same consideration, in the form of cash, securities or other assets (the “</w:t>
      </w:r>
      <w:r>
        <w:rPr>
          <w:rFonts w:ascii="Arial" w:cs="Arial" w:eastAsia="Arial" w:hAnsi="Arial"/>
          <w:sz w:val="16"/>
          <w:szCs w:val="16"/>
          <w:u w:val="single" w:color="auto"/>
          <w:color w:val="auto"/>
        </w:rPr>
        <w:t>Acquisition Consideration</w:t>
      </w:r>
      <w:r>
        <w:rPr>
          <w:rFonts w:ascii="Arial" w:cs="Arial" w:eastAsia="Arial" w:hAnsi="Arial"/>
          <w:sz w:val="16"/>
          <w:szCs w:val="16"/>
          <w:color w:val="auto"/>
        </w:rPr>
        <w:t>”) per share of Common Stock and Common Stock Equivalent Junior Preferred Stock issuable to any other holder of shares of Common Stock and Common Stock Equivalent Junior Preferred Stock in connection with such Change of Control based upon the number of shares of Common Stock and Common Stock Equivalent Junior Preferred Stock which the Holder would have held if the Holder had consummated such redemption on the Business Day immediately preceding the date on which such Change of Control occurs.</w:t>
      </w:r>
    </w:p>
    <w:p>
      <w:pPr>
        <w:spacing w:after="0" w:line="124" w:lineRule="exact"/>
        <w:rPr>
          <w:sz w:val="20"/>
          <w:szCs w:val="20"/>
          <w:color w:val="auto"/>
        </w:rPr>
      </w:pPr>
    </w:p>
    <w:p>
      <w:pPr>
        <w:ind w:left="8" w:right="339" w:hanging="8"/>
        <w:spacing w:after="0" w:line="293" w:lineRule="auto"/>
        <w:tabs>
          <w:tab w:leader="none" w:pos="188"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Status of Converted and Redeemed Shares; Limitations on Series C Preferred Stock</w:t>
      </w:r>
      <w:r>
        <w:rPr>
          <w:rFonts w:ascii="Arial" w:cs="Arial" w:eastAsia="Arial" w:hAnsi="Arial"/>
          <w:sz w:val="16"/>
          <w:szCs w:val="16"/>
          <w:color w:val="auto"/>
        </w:rPr>
        <w:t xml:space="preserve">. The Company shall return to the status of unauthorized and undesignated shares of Preferred Stock each share of Series C Preferred Stock which shall be converted, redeemed or for any other reason acquired by the Company, and such shares thereafter may have such characteristics and designations as the Board may determine (subject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share of Series C Preferred Stock which shall be converted, redeemed or otherwise acquired by the Company shall thereafter be reissued, sold or transferred by the Company as Series C Preferred Stock. The Company will not issue any further shares of Series C Preferred Stock.</w:t>
      </w:r>
    </w:p>
    <w:p>
      <w:pPr>
        <w:spacing w:after="0" w:line="200" w:lineRule="exact"/>
        <w:rPr>
          <w:sz w:val="20"/>
          <w:szCs w:val="20"/>
          <w:color w:val="auto"/>
        </w:rPr>
      </w:pPr>
    </w:p>
    <w:p>
      <w:pPr>
        <w:spacing w:after="0" w:line="330"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47" w:name="page148"/>
    <w:bookmarkEnd w:id="147"/>
    <w:p>
      <w:pPr>
        <w:ind w:left="8" w:right="179" w:hanging="8"/>
        <w:spacing w:after="0" w:line="276" w:lineRule="auto"/>
        <w:tabs>
          <w:tab w:leader="none" w:pos="188"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Subdivision of Common Stock</w:t>
      </w:r>
      <w:r>
        <w:rPr>
          <w:rFonts w:ascii="Arial" w:cs="Arial" w:eastAsia="Arial" w:hAnsi="Arial"/>
          <w:sz w:val="17"/>
          <w:szCs w:val="17"/>
          <w:color w:val="auto"/>
        </w:rPr>
        <w:t>. Notwithstanding anything herein to the contrary, if the Company at any time subdivides (by any stock split, stock dividend, recapitalization, reorganization, reclassification or otherwise) the shares of Common Stock and/or Common Stock Equivalent Junior Preferred Stock into a greater number of shares, then, after the date of record for effecting each such subdivision, all measurements and references herein related to share prices for such securities will be proportionately decreased and all references to share numbers for such securities herein will be proportionately increased.</w:t>
      </w:r>
    </w:p>
    <w:p>
      <w:pPr>
        <w:spacing w:after="0" w:line="145" w:lineRule="exact"/>
        <w:rPr>
          <w:rFonts w:ascii="Arial" w:cs="Arial" w:eastAsia="Arial" w:hAnsi="Arial"/>
          <w:sz w:val="17"/>
          <w:szCs w:val="17"/>
          <w:color w:val="auto"/>
        </w:rPr>
      </w:pPr>
    </w:p>
    <w:p>
      <w:pPr>
        <w:ind w:left="8" w:right="279" w:hanging="8"/>
        <w:spacing w:after="0" w:line="270" w:lineRule="auto"/>
        <w:tabs>
          <w:tab w:leader="none" w:pos="188"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Nonperformance</w:t>
      </w:r>
      <w:r>
        <w:rPr>
          <w:rFonts w:ascii="Arial" w:cs="Arial" w:eastAsia="Arial" w:hAnsi="Arial"/>
          <w:sz w:val="17"/>
          <w:szCs w:val="17"/>
          <w:color w:val="auto"/>
        </w:rPr>
        <w:t>. If the Company, shall (i) at any time fail to deliver the shares of Common Stock Equivalent Junior Preferred Stock required to be delivered to the Holder pursuant hereto or (ii) at any time after the Company has obtained the approval of the stockholders of the Company to increase the authorized number of shares of Common Stock, fail to deliver the shares of Common Stock or required to be delivered to the Holder pursuant hereto, for any reason other than the failure of any condition precedent to the Company’s obligations hereunder or the failure by the Holder to comply with its obligations hereunder, then the Company shall (without limitation to the Holder’s other remedies at law or in equity): (i) indemnify and hold the Holder harmless against any loss, claim or damage arising from or as a result of such failure by the Company (regardless of whether any of the foregoing results from a third-party claim or otherwise) and (ii) reimburse the Holder for all of its reasonable out-of-pocket expenses (which includes fees and expenses of its counsel) incurred by the Holder in connection herewith and the transactions contemplated herein (regardless of whether any of the foregoing results from a third-party claim or otherwise).</w:t>
      </w:r>
    </w:p>
    <w:p>
      <w:pPr>
        <w:spacing w:after="0" w:line="137" w:lineRule="exact"/>
        <w:rPr>
          <w:rFonts w:ascii="Arial" w:cs="Arial" w:eastAsia="Arial" w:hAnsi="Arial"/>
          <w:sz w:val="17"/>
          <w:szCs w:val="17"/>
          <w:color w:val="auto"/>
        </w:rPr>
      </w:pPr>
    </w:p>
    <w:p>
      <w:pPr>
        <w:ind w:left="8" w:right="359" w:hanging="8"/>
        <w:spacing w:after="0" w:line="277" w:lineRule="auto"/>
        <w:tabs>
          <w:tab w:leader="none" w:pos="278"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The Holder may, in its sole discretion, freely assign, pledge, hypothecate or transfer all shares of Series C Preferred Stock.</w:t>
      </w:r>
    </w:p>
    <w:p>
      <w:pPr>
        <w:spacing w:after="0" w:line="130"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[The rest of this page is intentionally left blank.]</w:t>
      </w:r>
    </w:p>
    <w:p>
      <w:pPr>
        <w:spacing w:after="0" w:line="200" w:lineRule="exact"/>
        <w:rPr>
          <w:sz w:val="20"/>
          <w:szCs w:val="20"/>
          <w:color w:val="auto"/>
        </w:rPr>
      </w:pPr>
    </w:p>
    <w:p>
      <w:pPr>
        <w:spacing w:after="0" w:line="390"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48" w:name="page149"/>
    <w:bookmarkEnd w:id="148"/>
    <w:p>
      <w:pPr>
        <w:ind w:right="199"/>
        <w:spacing w:after="0" w:line="277" w:lineRule="auto"/>
        <w:rPr>
          <w:sz w:val="20"/>
          <w:szCs w:val="20"/>
          <w:color w:val="auto"/>
        </w:rPr>
      </w:pPr>
      <w:r>
        <w:rPr>
          <w:rFonts w:ascii="Arial" w:cs="Arial" w:eastAsia="Arial" w:hAnsi="Arial"/>
          <w:sz w:val="18"/>
          <w:szCs w:val="18"/>
          <w:color w:val="auto"/>
        </w:rPr>
        <w:t>IN WITNESS WHEREOF, this Certificate of Rights and Preferences has been signed on behalf of the Company by its Chief Financial Officer and attested to by its Corporate Secretary, all as of the date first set forth above.</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UNITED COMMUNITY BANKS, INC.</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14605</wp:posOffset>
            </wp:positionV>
            <wp:extent cx="27527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Rex S. Schuette</w:t>
      </w:r>
    </w:p>
    <w:p>
      <w:pPr>
        <w:spacing w:after="0" w:line="23" w:lineRule="exact"/>
        <w:rPr>
          <w:sz w:val="20"/>
          <w:szCs w:val="20"/>
          <w:color w:val="auto"/>
        </w:rPr>
      </w:pPr>
    </w:p>
    <w:p>
      <w:pPr>
        <w:ind w:left="4540"/>
        <w:spacing w:after="0"/>
        <w:tabs>
          <w:tab w:leader="none" w:pos="510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Lori McKay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14605</wp:posOffset>
            </wp:positionV>
            <wp:extent cx="27527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Lori McKay</w:t>
      </w:r>
    </w:p>
    <w:p>
      <w:pPr>
        <w:spacing w:after="0" w:line="23" w:lineRule="exact"/>
        <w:rPr>
          <w:sz w:val="20"/>
          <w:szCs w:val="20"/>
          <w:color w:val="auto"/>
        </w:rPr>
      </w:pPr>
    </w:p>
    <w:p>
      <w:pPr>
        <w:ind w:left="4540"/>
        <w:spacing w:after="0"/>
        <w:tabs>
          <w:tab w:leader="none" w:pos="5100" w:val="left"/>
        </w:tabs>
        <w:rPr>
          <w:sz w:val="20"/>
          <w:szCs w:val="20"/>
          <w:color w:val="auto"/>
        </w:rPr>
      </w:pPr>
      <w:r>
        <w:rPr>
          <w:rFonts w:ascii="Arial" w:cs="Arial" w:eastAsia="Arial" w:hAnsi="Arial"/>
          <w:sz w:val="18"/>
          <w:szCs w:val="18"/>
          <w:color w:val="auto"/>
        </w:rPr>
        <w:t>Title:</w:t>
        <w:tab/>
        <w:t>Corporate Secretary</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Certificate of Rights and Preferences]</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49" w:name="page150"/>
    <w:bookmarkEnd w:id="149"/>
    <w:p>
      <w:pPr>
        <w:jc w:val="center"/>
        <w:ind w:right="171"/>
        <w:spacing w:after="0"/>
        <w:rPr>
          <w:sz w:val="20"/>
          <w:szCs w:val="20"/>
          <w:color w:val="auto"/>
        </w:rPr>
      </w:pPr>
      <w:r>
        <w:rPr>
          <w:rFonts w:ascii="Arial" w:cs="Arial" w:eastAsia="Arial" w:hAnsi="Arial"/>
          <w:sz w:val="18"/>
          <w:szCs w:val="18"/>
          <w:b w:val="1"/>
          <w:bCs w:val="1"/>
          <w:color w:val="auto"/>
        </w:rPr>
        <w:t>CERTIFICATE OF DESIGNATION</w:t>
      </w:r>
    </w:p>
    <w:p>
      <w:pPr>
        <w:spacing w:after="0" w:line="27"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COMMON STOCK EQUIVALENT JUNIOR PREFERRED STOCK</w:t>
      </w:r>
    </w:p>
    <w:p>
      <w:pPr>
        <w:spacing w:after="0" w:line="9"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UNITED COMMUNITY BANKS, INC.</w:t>
      </w:r>
    </w:p>
    <w:p>
      <w:pPr>
        <w:spacing w:after="0" w:line="184" w:lineRule="exact"/>
        <w:rPr>
          <w:sz w:val="20"/>
          <w:szCs w:val="20"/>
          <w:color w:val="auto"/>
        </w:rPr>
      </w:pPr>
    </w:p>
    <w:p>
      <w:pPr>
        <w:ind w:left="3588"/>
        <w:spacing w:after="0"/>
        <w:rPr>
          <w:sz w:val="20"/>
          <w:szCs w:val="20"/>
          <w:color w:val="auto"/>
        </w:rPr>
      </w:pPr>
      <w:r>
        <w:rPr>
          <w:rFonts w:ascii="Arial" w:cs="Arial" w:eastAsia="Arial" w:hAnsi="Arial"/>
          <w:sz w:val="18"/>
          <w:szCs w:val="18"/>
          <w:color w:val="auto"/>
        </w:rPr>
        <w:t>Pursuant to Section 14-2-602 of the</w:t>
      </w:r>
    </w:p>
    <w:p>
      <w:pPr>
        <w:spacing w:after="0" w:line="23" w:lineRule="exact"/>
        <w:rPr>
          <w:sz w:val="20"/>
          <w:szCs w:val="20"/>
          <w:color w:val="auto"/>
        </w:rPr>
      </w:pPr>
    </w:p>
    <w:p>
      <w:pPr>
        <w:ind w:left="3568"/>
        <w:spacing w:after="0"/>
        <w:rPr>
          <w:sz w:val="20"/>
          <w:szCs w:val="20"/>
          <w:color w:val="auto"/>
        </w:rPr>
      </w:pPr>
      <w:r>
        <w:rPr>
          <w:rFonts w:ascii="Arial" w:cs="Arial" w:eastAsia="Arial" w:hAnsi="Arial"/>
          <w:sz w:val="18"/>
          <w:szCs w:val="18"/>
          <w:color w:val="auto"/>
        </w:rPr>
        <w:t>Georgia Business Corporation Code</w:t>
      </w:r>
    </w:p>
    <w:p>
      <w:pPr>
        <w:spacing w:after="0" w:line="170" w:lineRule="exact"/>
        <w:rPr>
          <w:sz w:val="20"/>
          <w:szCs w:val="20"/>
          <w:color w:val="auto"/>
        </w:rPr>
      </w:pPr>
    </w:p>
    <w:p>
      <w:pPr>
        <w:ind w:left="8" w:right="259" w:firstLine="389"/>
        <w:spacing w:after="0" w:line="277" w:lineRule="auto"/>
        <w:rPr>
          <w:sz w:val="20"/>
          <w:szCs w:val="20"/>
          <w:color w:val="auto"/>
        </w:rPr>
      </w:pPr>
      <w:r>
        <w:rPr>
          <w:rFonts w:ascii="Arial" w:cs="Arial" w:eastAsia="Arial" w:hAnsi="Arial"/>
          <w:sz w:val="18"/>
          <w:szCs w:val="18"/>
          <w:color w:val="auto"/>
        </w:rPr>
        <w:t>United Community Banks, Inc., a corporation organized under the laws of the State of Georgia (the “</w:t>
      </w:r>
      <w:r>
        <w:rPr>
          <w:rFonts w:ascii="Arial" w:cs="Arial" w:eastAsia="Arial" w:hAnsi="Arial"/>
          <w:sz w:val="18"/>
          <w:szCs w:val="18"/>
          <w:u w:val="single" w:color="auto"/>
          <w:color w:val="auto"/>
        </w:rPr>
        <w:t>Corporation</w:t>
      </w:r>
      <w:r>
        <w:rPr>
          <w:rFonts w:ascii="Arial" w:cs="Arial" w:eastAsia="Arial" w:hAnsi="Arial"/>
          <w:sz w:val="18"/>
          <w:szCs w:val="18"/>
          <w:color w:val="auto"/>
        </w:rPr>
        <w:t>”), does hereby certify that:</w:t>
      </w:r>
    </w:p>
    <w:p>
      <w:pPr>
        <w:spacing w:after="0" w:line="130" w:lineRule="exact"/>
        <w:rPr>
          <w:sz w:val="20"/>
          <w:szCs w:val="20"/>
          <w:color w:val="auto"/>
        </w:rPr>
      </w:pPr>
    </w:p>
    <w:p>
      <w:pPr>
        <w:ind w:left="568" w:hanging="179"/>
        <w:spacing w:after="0"/>
        <w:tabs>
          <w:tab w:leader="none" w:pos="56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At a meeting duly convened and held on March 26, 2010, the Board of Directors of the Corporation (the “</w:t>
      </w:r>
      <w:r>
        <w:rPr>
          <w:rFonts w:ascii="Arial" w:cs="Arial" w:eastAsia="Arial" w:hAnsi="Arial"/>
          <w:sz w:val="17"/>
          <w:szCs w:val="17"/>
          <w:u w:val="single" w:color="auto"/>
          <w:color w:val="auto"/>
        </w:rPr>
        <w:t>Board</w:t>
      </w:r>
      <w:r>
        <w:rPr>
          <w:rFonts w:ascii="Arial" w:cs="Arial" w:eastAsia="Arial" w:hAnsi="Arial"/>
          <w:sz w:val="17"/>
          <w:szCs w:val="17"/>
          <w:color w:val="auto"/>
        </w:rPr>
        <w:t>”) duly</w:t>
      </w:r>
    </w:p>
    <w:p>
      <w:pPr>
        <w:spacing w:after="0" w:line="34" w:lineRule="exact"/>
        <w:rPr>
          <w:rFonts w:ascii="Arial" w:cs="Arial" w:eastAsia="Arial" w:hAnsi="Arial"/>
          <w:sz w:val="17"/>
          <w:szCs w:val="17"/>
          <w:color w:val="auto"/>
        </w:rPr>
      </w:pPr>
    </w:p>
    <w:p>
      <w:pPr>
        <w:ind w:left="8" w:right="219"/>
        <w:spacing w:after="0" w:line="261" w:lineRule="auto"/>
        <w:rPr>
          <w:rFonts w:ascii="Arial" w:cs="Arial" w:eastAsia="Arial" w:hAnsi="Arial"/>
          <w:sz w:val="17"/>
          <w:szCs w:val="17"/>
          <w:color w:val="auto"/>
        </w:rPr>
      </w:pPr>
      <w:r>
        <w:rPr>
          <w:rFonts w:ascii="Arial" w:cs="Arial" w:eastAsia="Arial" w:hAnsi="Arial"/>
          <w:sz w:val="18"/>
          <w:szCs w:val="18"/>
          <w:color w:val="auto"/>
        </w:rPr>
        <w:t>adopted the following resolutions authorizing the issuance and sale by the Corporation of a series of the Corporation’s preferred stock, $1.00 par value per share, to be known as the Common Stock Equivalent Junior Preferred Stock:</w:t>
      </w:r>
    </w:p>
    <w:p>
      <w:pPr>
        <w:spacing w:after="0" w:line="153" w:lineRule="exact"/>
        <w:rPr>
          <w:sz w:val="20"/>
          <w:szCs w:val="20"/>
          <w:color w:val="auto"/>
        </w:rPr>
      </w:pPr>
    </w:p>
    <w:p>
      <w:pPr>
        <w:ind w:left="8" w:right="239"/>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xml:space="preserve">, that the powers, preferences, participation and other special rights, qualifications, limitations, restrictions and other designations of the Corporation’s Common Stock Equivalent Junior Preferred Stock, including those established by the Board and the number of authorized shares thereof, are authorized and approved as set forth in the Certificate of Designation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which is incorporated herein and made a part of these resolutions by reference.”</w:t>
      </w:r>
    </w:p>
    <w:p>
      <w:pPr>
        <w:spacing w:after="0" w:line="128" w:lineRule="exact"/>
        <w:rPr>
          <w:sz w:val="20"/>
          <w:szCs w:val="20"/>
          <w:color w:val="auto"/>
        </w:rPr>
      </w:pPr>
    </w:p>
    <w:p>
      <w:pPr>
        <w:ind w:left="8" w:right="579" w:hanging="8"/>
        <w:spacing w:after="0" w:line="277" w:lineRule="auto"/>
        <w:tabs>
          <w:tab w:leader="none" w:pos="17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Attached hereto, and thereby made a part hereof, is such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from the Board’s resolution designating the Common Stock Equivalent Junior Preferred Stock.</w:t>
      </w:r>
    </w:p>
    <w:p>
      <w:pPr>
        <w:spacing w:after="0" w:line="126" w:lineRule="exact"/>
        <w:rPr>
          <w:sz w:val="20"/>
          <w:szCs w:val="20"/>
          <w:color w:val="auto"/>
        </w:rPr>
      </w:pPr>
    </w:p>
    <w:p>
      <w:pPr>
        <w:ind w:left="8" w:right="639" w:firstLine="389"/>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Certificate of Designation is executed on behalf of the Corporation by its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this 31st day of March, 2010.</w:t>
      </w:r>
    </w:p>
    <w:p>
      <w:pPr>
        <w:spacing w:after="0" w:line="162" w:lineRule="exact"/>
        <w:rPr>
          <w:sz w:val="20"/>
          <w:szCs w:val="20"/>
          <w:color w:val="auto"/>
        </w:rPr>
      </w:pPr>
    </w:p>
    <w:p>
      <w:pPr>
        <w:ind w:left="4428"/>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4428"/>
        <w:spacing w:after="0"/>
        <w:rPr>
          <w:sz w:val="20"/>
          <w:szCs w:val="20"/>
          <w:color w:val="auto"/>
        </w:rPr>
      </w:pPr>
      <w:r>
        <w:rPr>
          <w:rFonts w:ascii="Arial" w:cs="Arial" w:eastAsia="Arial" w:hAnsi="Arial"/>
          <w:sz w:val="18"/>
          <w:szCs w:val="18"/>
          <w:color w:val="auto"/>
        </w:rPr>
        <w:t>By: /s/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14605</wp:posOffset>
            </wp:positionV>
            <wp:extent cx="27101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4788"/>
        <w:spacing w:after="0"/>
        <w:rPr>
          <w:sz w:val="20"/>
          <w:szCs w:val="20"/>
          <w:color w:val="auto"/>
        </w:rPr>
      </w:pPr>
      <w:r>
        <w:rPr>
          <w:rFonts w:ascii="Arial" w:cs="Arial" w:eastAsia="Arial" w:hAnsi="Arial"/>
          <w:sz w:val="18"/>
          <w:szCs w:val="18"/>
          <w:color w:val="auto"/>
        </w:rPr>
        <w:t>Name: Rex S. Schuette</w:t>
      </w:r>
    </w:p>
    <w:p>
      <w:pPr>
        <w:spacing w:after="0" w:line="23" w:lineRule="exact"/>
        <w:rPr>
          <w:sz w:val="20"/>
          <w:szCs w:val="20"/>
          <w:color w:val="auto"/>
        </w:rPr>
      </w:pPr>
    </w:p>
    <w:p>
      <w:pPr>
        <w:ind w:left="4788"/>
        <w:spacing w:after="0"/>
        <w:tabs>
          <w:tab w:leader="none" w:pos="5347" w:val="left"/>
        </w:tabs>
        <w:rPr>
          <w:sz w:val="20"/>
          <w:szCs w:val="20"/>
          <w:color w:val="auto"/>
        </w:rPr>
      </w:pPr>
      <w:r>
        <w:rPr>
          <w:rFonts w:ascii="Arial" w:cs="Arial" w:eastAsia="Arial" w:hAnsi="Arial"/>
          <w:sz w:val="18"/>
          <w:szCs w:val="18"/>
          <w:color w:val="auto"/>
        </w:rPr>
        <w:t>Title:</w:t>
        <w:tab/>
        <w:t>Executive Vice President &amp; CFO</w:t>
      </w:r>
    </w:p>
    <w:p>
      <w:pPr>
        <w:spacing w:after="0" w:line="200" w:lineRule="exact"/>
        <w:rPr>
          <w:sz w:val="20"/>
          <w:szCs w:val="20"/>
          <w:color w:val="auto"/>
        </w:rPr>
      </w:pPr>
    </w:p>
    <w:p>
      <w:pPr>
        <w:spacing w:after="0" w:line="376"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150" w:name="page151"/>
    <w:bookmarkEnd w:id="150"/>
    <w:p>
      <w:pPr>
        <w:jc w:val="right"/>
        <w:ind w:right="159"/>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CERTIFICATE OF DESIGNATION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COMMON STOCK EQUIVALENT</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JUNIOR PREFERRED STOCK</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UNITED COMMUNITY BANKS, INC.</w:t>
      </w:r>
    </w:p>
    <w:p>
      <w:pPr>
        <w:spacing w:after="0" w:line="170" w:lineRule="exact"/>
        <w:rPr>
          <w:sz w:val="20"/>
          <w:szCs w:val="20"/>
          <w:color w:val="auto"/>
        </w:rPr>
      </w:pPr>
    </w:p>
    <w:p>
      <w:pPr>
        <w:ind w:right="279" w:firstLine="389"/>
        <w:spacing w:after="0" w:line="297" w:lineRule="auto"/>
        <w:rPr>
          <w:sz w:val="20"/>
          <w:szCs w:val="20"/>
          <w:color w:val="auto"/>
        </w:rPr>
      </w:pPr>
      <w:r>
        <w:rPr>
          <w:rFonts w:ascii="Arial" w:cs="Arial" w:eastAsia="Arial" w:hAnsi="Arial"/>
          <w:sz w:val="16"/>
          <w:szCs w:val="16"/>
          <w:color w:val="auto"/>
        </w:rPr>
        <w:t>Pursuant to the authority vested in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by the Restated Articles of Incorporation of United Community Banks,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as amended (the “</w:t>
      </w:r>
      <w:r>
        <w:rPr>
          <w:rFonts w:ascii="Arial" w:cs="Arial" w:eastAsia="Arial" w:hAnsi="Arial"/>
          <w:sz w:val="16"/>
          <w:szCs w:val="16"/>
          <w:u w:val="single" w:color="auto"/>
          <w:color w:val="auto"/>
        </w:rPr>
        <w:t>Articles of Incorporation</w:t>
      </w:r>
      <w:r>
        <w:rPr>
          <w:rFonts w:ascii="Arial" w:cs="Arial" w:eastAsia="Arial" w:hAnsi="Arial"/>
          <w:sz w:val="16"/>
          <w:szCs w:val="16"/>
          <w:color w:val="auto"/>
        </w:rPr>
        <w:t>”), the Board does hereby designate, create, authorize and provide for the issue of a series of preferred stock, $1.00 par value per share, which shall be designated as “Common Stock Equivalent Junior Preferred Stock” (the “</w:t>
      </w:r>
      <w:r>
        <w:rPr>
          <w:rFonts w:ascii="Arial" w:cs="Arial" w:eastAsia="Arial" w:hAnsi="Arial"/>
          <w:sz w:val="16"/>
          <w:szCs w:val="16"/>
          <w:u w:val="single" w:color="auto"/>
          <w:color w:val="auto"/>
        </w:rPr>
        <w:t>Junior Preferred Stock</w:t>
      </w:r>
      <w:r>
        <w:rPr>
          <w:rFonts w:ascii="Arial" w:cs="Arial" w:eastAsia="Arial" w:hAnsi="Arial"/>
          <w:sz w:val="16"/>
          <w:szCs w:val="16"/>
          <w:color w:val="auto"/>
        </w:rPr>
        <w:t>”), consisting of 1,000,000 shares having the following powers, preferences, participation and other special rights, qualifications, limitations, restrictions and other designations: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 Definitions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has the meaning specified in Section VI(c).</w:t>
      </w:r>
    </w:p>
    <w:p>
      <w:pPr>
        <w:spacing w:after="0" w:line="185" w:lineRule="exact"/>
        <w:rPr>
          <w:sz w:val="20"/>
          <w:szCs w:val="20"/>
          <w:color w:val="auto"/>
        </w:rPr>
      </w:pPr>
    </w:p>
    <w:p>
      <w:pPr>
        <w:ind w:right="43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Conversion Rate</w:t>
      </w:r>
      <w:r>
        <w:rPr>
          <w:rFonts w:ascii="Arial" w:cs="Arial" w:eastAsia="Arial" w:hAnsi="Arial"/>
          <w:sz w:val="18"/>
          <w:szCs w:val="18"/>
          <w:color w:val="auto"/>
        </w:rPr>
        <w:t>” means the Initial Conversion Rate, subject to adjustment pursuant to Section II(b), as applicable, for any such event occurring subsequent to the initial determination of such 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has the meaning specified in the preamble.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has the meaning specified in the preamble.</w:t>
      </w:r>
    </w:p>
    <w:p>
      <w:pPr>
        <w:spacing w:after="0" w:line="185" w:lineRule="exact"/>
        <w:rPr>
          <w:sz w:val="20"/>
          <w:szCs w:val="20"/>
          <w:color w:val="auto"/>
        </w:rPr>
      </w:pPr>
    </w:p>
    <w:p>
      <w:pPr>
        <w:ind w:right="25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Capacity Amendment</w:t>
      </w:r>
      <w:r>
        <w:rPr>
          <w:rFonts w:ascii="Arial" w:cs="Arial" w:eastAsia="Arial" w:hAnsi="Arial"/>
          <w:sz w:val="18"/>
          <w:szCs w:val="18"/>
          <w:color w:val="auto"/>
        </w:rPr>
        <w:t>” means an amendment to the Articles of Incorporation increasing the number of shares of Common Stock that the Corporation is authorized to issue to more than 100,000,000.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has the meaning specified in Section VI(b).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Dividend Equivalent Amount</w:t>
      </w:r>
      <w:r>
        <w:rPr>
          <w:rFonts w:ascii="Arial" w:cs="Arial" w:eastAsia="Arial" w:hAnsi="Arial"/>
          <w:sz w:val="18"/>
          <w:szCs w:val="18"/>
          <w:color w:val="auto"/>
        </w:rPr>
        <w:t>” has the meaning specified in Section III(a).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$1.00 par value per share, of the Corporation.</w:t>
      </w:r>
    </w:p>
    <w:p>
      <w:pPr>
        <w:spacing w:after="0" w:line="185"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means, with respect to a share of Junior Preferred Stock, the date on which such share is converted into Common Stock.</w:t>
      </w:r>
    </w:p>
    <w:p>
      <w:pPr>
        <w:spacing w:after="0" w:line="143" w:lineRule="exact"/>
        <w:rPr>
          <w:sz w:val="20"/>
          <w:szCs w:val="20"/>
          <w:color w:val="auto"/>
        </w:rPr>
      </w:pPr>
    </w:p>
    <w:p>
      <w:pPr>
        <w:ind w:right="35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Holder</w:t>
      </w:r>
      <w:r>
        <w:rPr>
          <w:rFonts w:ascii="Arial" w:cs="Arial" w:eastAsia="Arial" w:hAnsi="Arial"/>
          <w:sz w:val="18"/>
          <w:szCs w:val="18"/>
          <w:color w:val="auto"/>
        </w:rPr>
        <w:t>” means a Holder, other than the initial Holder or an affiliate thereof, who acquires one or more shares of Junior Preferred Stock following a Permitted Transfer.</w:t>
      </w:r>
    </w:p>
    <w:p>
      <w:pPr>
        <w:spacing w:after="0" w:line="130" w:lineRule="exact"/>
        <w:rPr>
          <w:sz w:val="20"/>
          <w:szCs w:val="20"/>
          <w:color w:val="auto"/>
        </w:rPr>
      </w:pPr>
    </w:p>
    <w:p>
      <w:pPr>
        <w:ind w:right="619"/>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Conversion Notice</w:t>
      </w:r>
      <w:r>
        <w:rPr>
          <w:rFonts w:ascii="Arial" w:cs="Arial" w:eastAsia="Arial" w:hAnsi="Arial"/>
          <w:sz w:val="16"/>
          <w:szCs w:val="16"/>
          <w:color w:val="auto"/>
        </w:rPr>
        <w:t>” shall mean the notice given by a Convertible Holder to the Corporation, specifying the number of shares of Junior Preferred Stock to be converted into Common Stock and certifying that such Person is a Convertible Holder.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has the meaning specified in the preamble.</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Property</w:t>
      </w:r>
      <w:r>
        <w:rPr>
          <w:rFonts w:ascii="Arial" w:cs="Arial" w:eastAsia="Arial" w:hAnsi="Arial"/>
          <w:sz w:val="18"/>
          <w:szCs w:val="18"/>
          <w:color w:val="auto"/>
        </w:rPr>
        <w:t>” has the meaning specified in Section VI(a).</w:t>
      </w:r>
    </w:p>
    <w:p>
      <w:pPr>
        <w:spacing w:after="0" w:line="198" w:lineRule="exact"/>
        <w:rPr>
          <w:sz w:val="20"/>
          <w:szCs w:val="20"/>
          <w:color w:val="auto"/>
        </w:rPr>
      </w:pPr>
    </w:p>
    <w:p>
      <w:pPr>
        <w:ind w:right="21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 Person in whose name any shares of Junior Preferred Stock are registered, which may be treated by the Corporation as the absolute owner of such shares for all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Conversion Rate</w:t>
      </w:r>
      <w:r>
        <w:rPr>
          <w:rFonts w:ascii="Arial" w:cs="Arial" w:eastAsia="Arial" w:hAnsi="Arial"/>
          <w:sz w:val="18"/>
          <w:szCs w:val="18"/>
          <w:color w:val="auto"/>
        </w:rPr>
        <w:t>” means, for each share of Junior Preferred Stock, one hundred (100) shares of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the date that the Junior Preferred Stock is first issued.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Preferred Stock</w:t>
      </w:r>
      <w:r>
        <w:rPr>
          <w:rFonts w:ascii="Arial" w:cs="Arial" w:eastAsia="Arial" w:hAnsi="Arial"/>
          <w:sz w:val="18"/>
          <w:szCs w:val="18"/>
          <w:color w:val="auto"/>
        </w:rPr>
        <w:t>” has the meaning specified in the preamble.</w:t>
      </w:r>
    </w:p>
    <w:p>
      <w:pPr>
        <w:spacing w:after="0" w:line="185" w:lineRule="exact"/>
        <w:rPr>
          <w:sz w:val="20"/>
          <w:szCs w:val="20"/>
          <w:color w:val="auto"/>
        </w:rPr>
      </w:pPr>
    </w:p>
    <w:p>
      <w:pPr>
        <w:jc w:val="both"/>
        <w:ind w:right="319"/>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Stock</w:t>
      </w:r>
      <w:r>
        <w:rPr>
          <w:rFonts w:ascii="Arial" w:cs="Arial" w:eastAsia="Arial" w:hAnsi="Arial"/>
          <w:sz w:val="17"/>
          <w:szCs w:val="17"/>
          <w:color w:val="auto"/>
        </w:rPr>
        <w:t>” shall mean any class of capital stock or series of Preferred Stock of the Corporation established by the Board after the Issue Date, the terms of which do not expressly provide that such class or series ranks senior to or on parity with the Junior Preferred Stock as to dividend rights or rights upon the liquidation, winding-up or dissolution of the Corporation.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Event</w:t>
      </w:r>
      <w:r>
        <w:rPr>
          <w:rFonts w:ascii="Arial" w:cs="Arial" w:eastAsia="Arial" w:hAnsi="Arial"/>
          <w:sz w:val="18"/>
          <w:szCs w:val="18"/>
          <w:color w:val="auto"/>
        </w:rPr>
        <w:t>” has the meaning specified in Section V(a).</w:t>
      </w:r>
    </w:p>
    <w:p>
      <w:pPr>
        <w:spacing w:after="0" w:line="198" w:lineRule="exact"/>
        <w:rPr>
          <w:sz w:val="20"/>
          <w:szCs w:val="20"/>
          <w:color w:val="auto"/>
        </w:rPr>
      </w:pPr>
    </w:p>
    <w:p>
      <w:pPr>
        <w:ind w:right="37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Stock</w:t>
      </w:r>
      <w:r>
        <w:rPr>
          <w:rFonts w:ascii="Arial" w:cs="Arial" w:eastAsia="Arial" w:hAnsi="Arial"/>
          <w:sz w:val="18"/>
          <w:szCs w:val="18"/>
          <w:color w:val="auto"/>
        </w:rPr>
        <w:t>” shall mean any class of capital stock or series of Preferred Stock established by the Board after the Issue Date, the terms of which expressly provide that such class or series will rank on parity with the Junior Preferred Stock as to dividend rights or rights upon the liquidation, winding-up or dissolution of the Corporation.</w:t>
      </w:r>
    </w:p>
    <w:p>
      <w:pPr>
        <w:spacing w:after="0" w:line="141" w:lineRule="exact"/>
        <w:rPr>
          <w:sz w:val="20"/>
          <w:szCs w:val="20"/>
          <w:color w:val="auto"/>
        </w:rPr>
      </w:pPr>
    </w:p>
    <w:p>
      <w:pPr>
        <w:ind w:right="29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w:t>
      </w:r>
      <w:r>
        <w:rPr>
          <w:rFonts w:ascii="Arial" w:cs="Arial" w:eastAsia="Arial" w:hAnsi="Arial"/>
          <w:sz w:val="18"/>
          <w:szCs w:val="18"/>
          <w:color w:val="auto"/>
        </w:rPr>
        <w:t>” means a sale or other transfer (i) to an affiliate of the initial Holder or to the Corporation; (ii) in a widespread public distribution; (iii) in transfer in which no transferee (or group of associated transferees) would receive 2 percent or more of any class of voting securities of the Corporation; or (iv) to a transferee that would control more than 50 percent of the voting securities of the Corporation without any transfer from the initial Holder.</w:t>
      </w:r>
    </w:p>
    <w:p>
      <w:pPr>
        <w:spacing w:after="0" w:line="146" w:lineRule="exact"/>
        <w:rPr>
          <w:sz w:val="20"/>
          <w:szCs w:val="20"/>
          <w:color w:val="auto"/>
        </w:rPr>
      </w:pPr>
    </w:p>
    <w:p>
      <w:pPr>
        <w:ind w:right="75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legal person, including any individual, corporation, estate, partnership, joint venture, association, joint-stock company, limited liability company or trust.</w:t>
      </w:r>
    </w:p>
    <w:p>
      <w:pPr>
        <w:spacing w:after="0" w:line="143" w:lineRule="exact"/>
        <w:rPr>
          <w:sz w:val="20"/>
          <w:szCs w:val="20"/>
          <w:color w:val="auto"/>
        </w:rPr>
      </w:pPr>
    </w:p>
    <w:p>
      <w:pPr>
        <w:ind w:right="259"/>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Record Date</w:t>
      </w:r>
      <w:r>
        <w:rPr>
          <w:rFonts w:ascii="Arial" w:cs="Arial" w:eastAsia="Arial" w:hAnsi="Arial"/>
          <w:sz w:val="16"/>
          <w:szCs w:val="16"/>
          <w:color w:val="auto"/>
        </w:rPr>
        <w:t>” means, with respect to any dividend, distribution or other transaction or event in which the holders of the Common Stock (or other applicable security) have the right to receive any cash, securities or other property or in which the Common Stock (or other applicable security) is exchanged for or converted into any combination of cash, securities or other property, the date fixed for determination of holders of the Common Stock (or other applicable security) entitled to receive such cash, securities or other property (whether such date is fixed by the Board or a duly authorized committee of the Board or by statute, contract or otherwise).</w:t>
      </w:r>
    </w:p>
    <w:p>
      <w:pPr>
        <w:spacing w:after="0" w:line="118" w:lineRule="exact"/>
        <w:rPr>
          <w:sz w:val="20"/>
          <w:szCs w:val="20"/>
          <w:color w:val="auto"/>
        </w:rPr>
      </w:pPr>
    </w:p>
    <w:p>
      <w:pPr>
        <w:ind w:right="29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Stock</w:t>
      </w:r>
      <w:r>
        <w:rPr>
          <w:rFonts w:ascii="Arial" w:cs="Arial" w:eastAsia="Arial" w:hAnsi="Arial"/>
          <w:sz w:val="18"/>
          <w:szCs w:val="18"/>
          <w:color w:val="auto"/>
        </w:rPr>
        <w:t>” shall mean each class of capital stock or series of Preferred Stock established by the Board after the Issue Date, the terms of which expressly provide that such class or series will rank senior to the Junior Preferred Stock as to dividend rights or rights upon the liquidation, winding-up or dissolution of the Corporation.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means the requisite approval by the stockholders of the Corporation of the Capacity Amendment.</w:t>
      </w:r>
    </w:p>
    <w:p>
      <w:pPr>
        <w:spacing w:after="0" w:line="198" w:lineRule="exact"/>
        <w:rPr>
          <w:sz w:val="20"/>
          <w:szCs w:val="20"/>
          <w:color w:val="auto"/>
        </w:rPr>
      </w:pPr>
    </w:p>
    <w:p>
      <w:pPr>
        <w:ind w:right="319"/>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shall mean the Corporation’s duly appointed transfer agent, registrar, redemption, conversion and dividend disbursing agent for the Junior Preferred Stock and transfer agent and registrar for any Common Stock issued upon conversion of the Junior Preferred Stock, or any successor duly appointed by the Corporation.</w:t>
      </w:r>
    </w:p>
    <w:p>
      <w:pPr>
        <w:spacing w:after="0" w:line="200" w:lineRule="exact"/>
        <w:rPr>
          <w:sz w:val="20"/>
          <w:szCs w:val="20"/>
          <w:color w:val="auto"/>
        </w:rPr>
      </w:pPr>
    </w:p>
    <w:p>
      <w:pPr>
        <w:spacing w:after="0" w:line="3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Section II. Conversion</w:t>
      </w:r>
    </w:p>
    <w:p>
      <w:pPr>
        <w:spacing w:after="0" w:line="202" w:lineRule="exact"/>
        <w:rPr>
          <w:sz w:val="20"/>
          <w:szCs w:val="20"/>
          <w:color w:val="auto"/>
        </w:rPr>
      </w:pPr>
    </w:p>
    <w:p>
      <w:pPr>
        <w:ind w:right="319" w:firstLine="381"/>
        <w:spacing w:after="0" w:line="271" w:lineRule="auto"/>
        <w:tabs>
          <w:tab w:leader="none" w:pos="63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No share of Junior Preferred Stock (or fraction thereof) may be converted into Common Stock unless held by a Convertible Holder. Each share of Junior Preferred Stock (or fraction thereof) held by a Convertible Holder shall be convertible at any time following the Stockholder Approval into a number of shares of Common Stock equal to the product of (i) the fraction of a share of Junior Preferred Stock converted and (ii) the Applicable Conversion Rate in effect on the Conversion Date, plus cash in lieu of any fractional shares of Common Stock pursuant to Section II(c)(iv). For all purposes with respect to the conversion of Junior Preferred Stock, references herein to “Common Stock” shall include and mean any cash, securities or other property (including payments of cash in lieu of fractional shares of Common Stock) that may be due upon such conversion and references to “Junior Preferred Stock” shall include and mean any fractional shares thereof.</w:t>
      </w:r>
    </w:p>
    <w:p>
      <w:pPr>
        <w:spacing w:after="0" w:line="138" w:lineRule="exact"/>
        <w:rPr>
          <w:rFonts w:ascii="Arial" w:cs="Arial" w:eastAsia="Arial" w:hAnsi="Arial"/>
          <w:sz w:val="17"/>
          <w:szCs w:val="17"/>
          <w:color w:val="auto"/>
        </w:rPr>
      </w:pPr>
    </w:p>
    <w:p>
      <w:pPr>
        <w:ind w:right="199" w:firstLine="381"/>
        <w:spacing w:after="0" w:line="287" w:lineRule="auto"/>
        <w:tabs>
          <w:tab w:leader="none" w:pos="634"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Adjustments to Conversion Rate. If, at any time while Junior Preferred Stock remains outstanding, (i) the Corporation issues to holders of the Common Stock as a class shares of Common Stock or other securities of the Corporation as a dividend or distribution on the Common Stock, or (ii) the Corporation effects a share split or share combination of the Common Stock, (each, an “</w:t>
      </w:r>
      <w:r>
        <w:rPr>
          <w:rFonts w:ascii="Arial" w:cs="Arial" w:eastAsia="Arial" w:hAnsi="Arial"/>
          <w:sz w:val="16"/>
          <w:szCs w:val="16"/>
          <w:u w:val="single" w:color="auto"/>
          <w:color w:val="auto"/>
        </w:rPr>
        <w:t>Adjustment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Event</w:t>
      </w:r>
      <w:r>
        <w:rPr>
          <w:rFonts w:ascii="Arial" w:cs="Arial" w:eastAsia="Arial" w:hAnsi="Arial"/>
          <w:sz w:val="16"/>
          <w:szCs w:val="16"/>
          <w:color w:val="auto"/>
        </w:rPr>
        <w:t>”), then the Corporation shall adjust the Initial Conversion Rate or Applicable Conversion Rate, as applicable, or other terms of the Junior Preferred Stock in effect immediately prior to such event so that each Holder of shares of Junior Preferred Stock thereafter surrendered for conversion shall be entitled to receive the number of shares of Common Stock that such Holder would have owned or would have been entitled to receive upon or by reason of any of the events described above, had such shares of the Junior Preferred Stock been converted into shares of Common Stock immediately prior to the occurrence of such event. An adjustment made pursuant to this Section II(b) shall become effective retroactively (x) in the case of any such dividend or distribution, to the day immediately following the close of business on the Record Date for the determination of holders of Common Stock entitled to receive such dividend or distribution or (y) in the case of any such subdivision, split, combination or reclassification, to the close of business on the day upon which such corporate action becomes effective.</w:t>
      </w:r>
    </w:p>
    <w:p>
      <w:pPr>
        <w:spacing w:after="0" w:line="128" w:lineRule="exact"/>
        <w:rPr>
          <w:rFonts w:ascii="Arial" w:cs="Arial" w:eastAsia="Arial" w:hAnsi="Arial"/>
          <w:sz w:val="16"/>
          <w:szCs w:val="16"/>
          <w:color w:val="auto"/>
        </w:rPr>
      </w:pPr>
    </w:p>
    <w:p>
      <w:pPr>
        <w:ind w:right="959" w:firstLine="381"/>
        <w:spacing w:after="0" w:line="277" w:lineRule="auto"/>
        <w:tabs>
          <w:tab w:leader="none" w:pos="63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Shares of Junior Preferred Stock shall be converted into shares of Common Stock in accordance with the following procedures:</w:t>
      </w:r>
    </w:p>
    <w:p>
      <w:pPr>
        <w:spacing w:after="0" w:line="143" w:lineRule="exact"/>
        <w:rPr>
          <w:sz w:val="20"/>
          <w:szCs w:val="20"/>
          <w:color w:val="auto"/>
        </w:rPr>
      </w:pPr>
    </w:p>
    <w:p>
      <w:pPr>
        <w:ind w:right="479" w:firstLine="381"/>
        <w:spacing w:after="0" w:line="276" w:lineRule="auto"/>
        <w:tabs>
          <w:tab w:leader="none" w:pos="59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At all times after the Stockholder Approval, a Convertible Holder may exercise a conversion right by the delivery of a Conversion Notice to the office of the Transfer Agent during normal business hours and (if so required by the Corporation or the Transfer Agent) an instrument of transfer, in form satisfactory to the Corporation and to the Transfer Agent, duly executed by such Convertible Holder or his duly authorized attorney, and funds in the amount of any applicable transfer tax (unless provision satisfactory to the Corporation is otherwise made therefor), if required pursuant to Section II(c)(iii).</w:t>
      </w:r>
    </w:p>
    <w:p>
      <w:pPr>
        <w:spacing w:after="0" w:line="200" w:lineRule="exact"/>
        <w:rPr>
          <w:sz w:val="20"/>
          <w:szCs w:val="20"/>
          <w:color w:val="auto"/>
        </w:rPr>
      </w:pP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53" w:name="page154"/>
    <w:bookmarkEnd w:id="153"/>
    <w:p>
      <w:pPr>
        <w:ind w:left="-20" w:right="179" w:firstLine="381"/>
        <w:spacing w:after="0" w:line="269" w:lineRule="auto"/>
        <w:tabs>
          <w:tab w:leader="none" w:pos="624"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As promptly as practicable after the delivery of a Conversion Notice and the payment in cash of any amount required by the provisions of Sections 2(c)(i) and 2(c)(iii), the Corporation will deliver or cause to be delivered at the office of the Transfer Agent to or upon the written order of the Convertible Holder, certificates or a confirmation of book-entry transfer of shares representing the number of fully paid and non-assessable shares of Common Stock issuable upon such conversion, issued in such name or names as the Convertible Holder may direct. Such conversion shall be deemed to have been made immediately prior to the close of business on the date of the delivery of the Conversion Notice, and all rights of the Convertible Holder shall cease with respect to such shares of Junior Preferred Stock at such time and the Person or Persons in whose name or names the shares of Common Stock issued upon conversion are to be issued shall be treated for all purposes as having become the record holder or holders of such shares of Common Stock at such time; provided, however, that any delivery of a Conversion Notice and payment on any date when the stock transfer books of the Corporation shall be closed shall constitute the Person or Persons in whose name or names the shares of Common Stock are to be issued as the record holder or holders thereof for all purposes immediately prior to the close of business on the next succeeding day on which such stock transfer books are open.</w:t>
      </w:r>
    </w:p>
    <w:p>
      <w:pPr>
        <w:spacing w:after="0" w:line="152" w:lineRule="exact"/>
        <w:rPr>
          <w:rFonts w:ascii="Arial" w:cs="Arial" w:eastAsia="Arial" w:hAnsi="Arial"/>
          <w:sz w:val="17"/>
          <w:szCs w:val="17"/>
          <w:color w:val="auto"/>
        </w:rPr>
      </w:pPr>
    </w:p>
    <w:p>
      <w:pPr>
        <w:ind w:left="-20" w:right="259" w:firstLine="381"/>
        <w:spacing w:after="0" w:line="297" w:lineRule="auto"/>
        <w:tabs>
          <w:tab w:leader="none" w:pos="681"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issuance of shares of Common Stock upon conversion of shares of Junior Preferred Stock shall be made without charge for any stamp or other similar tax in respect of such issuance. However, if any such shares to be issued upon conversion are to be issued in a name other than that of the Holder of the share or shares of Junior Preferred Stock converted, the person or persons requesting the issuance thereof shall pay to the Corporation the amount of any tax which may be payable in respect of any transfer involved in such issuance, or shall establish to the satisfaction of the Corporation that such tax has been paid.</w:t>
      </w:r>
    </w:p>
    <w:p>
      <w:pPr>
        <w:spacing w:after="0" w:line="117" w:lineRule="exact"/>
        <w:rPr>
          <w:rFonts w:ascii="Arial" w:cs="Arial" w:eastAsia="Arial" w:hAnsi="Arial"/>
          <w:sz w:val="16"/>
          <w:szCs w:val="16"/>
          <w:color w:val="auto"/>
        </w:rPr>
      </w:pPr>
    </w:p>
    <w:p>
      <w:pPr>
        <w:ind w:left="-20" w:right="199" w:firstLine="381"/>
        <w:spacing w:after="0" w:line="289" w:lineRule="auto"/>
        <w:tabs>
          <w:tab w:leader="none" w:pos="674" w:val="left"/>
        </w:tabs>
        <w:numPr>
          <w:ilvl w:val="0"/>
          <w:numId w:val="162"/>
        </w:numPr>
        <w:rPr>
          <w:rFonts w:ascii="Arial" w:cs="Arial" w:eastAsia="Arial" w:hAnsi="Arial"/>
          <w:sz w:val="16"/>
          <w:szCs w:val="16"/>
          <w:color w:val="auto"/>
        </w:rPr>
      </w:pPr>
      <w:r>
        <w:rPr>
          <w:rFonts w:ascii="Arial" w:cs="Arial" w:eastAsia="Arial" w:hAnsi="Arial"/>
          <w:sz w:val="16"/>
          <w:szCs w:val="16"/>
          <w:color w:val="auto"/>
        </w:rPr>
        <w:t>No fractional shares of Common Stock or scrip shall be issued upon conversion of shares of Junior Preferred Stock. If more than one share of Junior Preferred Stock shall be surrendered for conversion at any one time by the same Holder, the number of full shares of Common Stock issuable upon conversion thereof shall be computed on the basis of the aggregate number of shares of Junior Preferred Stock so surrendered. Instead of any fractional shares of Common Stock that would otherwise be issuable upon conversion of any shares of Junior Preferred Stock, the Corporation shall pay to the Holder an amount in cash in respect of such fractional interest equal to the value of such fractional interest based on the closing sales price of the Common Stock on such national securities exchange or automated quotation system on which the Common Stock is then listed or authorized for quotation or, if the Common Stock is not so listed or authorized for quotation, an amount determined in good faith by the Board to be the fair value of the Common Stock at the close of business on the business day immediately preceding the applicable Conversion Date.</w:t>
      </w:r>
    </w:p>
    <w:p>
      <w:pPr>
        <w:spacing w:after="0" w:line="126" w:lineRule="exact"/>
        <w:rPr>
          <w:rFonts w:ascii="Arial" w:cs="Arial" w:eastAsia="Arial" w:hAnsi="Arial"/>
          <w:sz w:val="16"/>
          <w:szCs w:val="16"/>
          <w:color w:val="auto"/>
        </w:rPr>
      </w:pPr>
    </w:p>
    <w:p>
      <w:pPr>
        <w:ind w:left="-20" w:right="419" w:firstLine="381"/>
        <w:spacing w:after="0" w:line="276" w:lineRule="auto"/>
        <w:tabs>
          <w:tab w:leader="none" w:pos="614"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At all times after the Stockholder Approval, the Corporation shall be required to reserve or keep available, out of its authorized but unissued Common Stock, or have sufficient authorized Common Stock to cover, the shares of Common Stock deliverable upon the conversion of the Junior Preferred Stock The Corporation shall take all action necessary so that all shares of Common Stock that may be issued upon conversion of shares of Junior Preferred Stock will upon issue be validly issued, fully paid and nonassessable, and free from all liens and charges in respect of the issuance or delivery thereof.</w:t>
      </w:r>
    </w:p>
    <w:p>
      <w:pPr>
        <w:spacing w:after="0" w:line="200" w:lineRule="exact"/>
        <w:rPr>
          <w:sz w:val="20"/>
          <w:szCs w:val="20"/>
          <w:color w:val="auto"/>
        </w:rPr>
      </w:pPr>
    </w:p>
    <w:p>
      <w:pPr>
        <w:spacing w:after="0" w:line="3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59"/>
          </w:cols>
          <w:pgMar w:left="600" w:top="936" w:right="1440" w:bottom="1440" w:gutter="0" w:footer="0" w:header="0"/>
        </w:sectPr>
      </w:pPr>
    </w:p>
    <w:bookmarkStart w:id="154" w:name="page155"/>
    <w:bookmarkEnd w:id="154"/>
    <w:p>
      <w:pPr>
        <w:ind w:right="339" w:firstLine="381"/>
        <w:spacing w:after="0" w:line="279" w:lineRule="auto"/>
        <w:tabs>
          <w:tab w:leader="none" w:pos="644" w:val="left"/>
        </w:tabs>
        <w:numPr>
          <w:ilvl w:val="0"/>
          <w:numId w:val="163"/>
        </w:numPr>
        <w:rPr>
          <w:rFonts w:ascii="Arial" w:cs="Arial" w:eastAsia="Arial" w:hAnsi="Arial"/>
          <w:sz w:val="17"/>
          <w:szCs w:val="17"/>
          <w:color w:val="auto"/>
        </w:rPr>
      </w:pPr>
      <w:r>
        <w:rPr>
          <w:rFonts w:ascii="Arial" w:cs="Arial" w:eastAsia="Arial" w:hAnsi="Arial"/>
          <w:sz w:val="17"/>
          <w:szCs w:val="17"/>
          <w:color w:val="auto"/>
        </w:rPr>
        <w:t>From and after a Conversion Date, dividends hereunder shall no longer accrue with respect to shares of Junior Preferred Stock converted on such date, and such converted shares of Junior Preferred Stock shall cease to be outstanding, subject to the rights of Holders of such Junior Preferred Stock to receive any previously accrued and unpaid dividends on such shares and any other payments to which they are otherwise entitled pursuant to Section III or Section VI.</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III. Dividend Rights</w:t>
      </w:r>
    </w:p>
    <w:p>
      <w:pPr>
        <w:spacing w:after="0" w:line="189" w:lineRule="exact"/>
        <w:rPr>
          <w:sz w:val="20"/>
          <w:szCs w:val="20"/>
          <w:color w:val="auto"/>
        </w:rPr>
      </w:pPr>
    </w:p>
    <w:p>
      <w:pPr>
        <w:ind w:right="199" w:firstLine="381"/>
        <w:spacing w:after="0" w:line="286" w:lineRule="auto"/>
        <w:tabs>
          <w:tab w:leader="none" w:pos="63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From and after the Issue Date, (i) Holders shall be entitled to receive, when, as and if declared by the Board or any duly authorized committee of the Board, but only out of assets legally available therefor, all dividends or other distributions in the form of cash or assets (other than shares of Common Stock) declared and paid or made in respect of the shares of Common Stock, at the same time and on the same terms as holders of Common Stock, in an amount per one-hundredth of a share of Junior Preferred Stock equal to the product of (A) the Applicable Conversion Rate then in effect and (B) any per share dividend or other distribution in the form of cash or assets (other than shares of Common Stock) declared and paid or made in respect of each share of Common Stock (the “</w:t>
      </w:r>
      <w:r>
        <w:rPr>
          <w:rFonts w:ascii="Arial" w:cs="Arial" w:eastAsia="Arial" w:hAnsi="Arial"/>
          <w:sz w:val="16"/>
          <w:szCs w:val="16"/>
          <w:u w:val="single" w:color="auto"/>
          <w:color w:val="auto"/>
        </w:rPr>
        <w:t>Common Equivalent Dividend Amount</w:t>
      </w:r>
      <w:r>
        <w:rPr>
          <w:rFonts w:ascii="Arial" w:cs="Arial" w:eastAsia="Arial" w:hAnsi="Arial"/>
          <w:sz w:val="16"/>
          <w:szCs w:val="16"/>
          <w:color w:val="auto"/>
        </w:rPr>
        <w:t>”), and (ii) no cash dividend or other cash distribution shall be declared and paid or made in respect of Common Stock unless the Board or any duly authorized committee of the Board declares and pays to Holders of the Junior Preferred Stock, at the same time and on the same terms as holders of Common Stock, the Common Equivalent Dividend Amount per one-hundredth of a share of Junior Preferred Stock. Notwithstanding any provision in this Section III(a) to the contrary, Holders of the Junior Preferred Stock shall not be entitled to receive any dividend or other distribution in the form of cash or assets (other than shares of Common Stock) paid or made with respect to the Common Stock after the Issue Date (x) if the Record Date for determination of holders of Common Stock entitled to receive such dividend or distribution occurs prior to the Issue Date, or (y) with respect to shares of Junior Preferred Stock converted on or prior to such Record Date.</w:t>
      </w:r>
    </w:p>
    <w:p>
      <w:pPr>
        <w:spacing w:after="0" w:line="131" w:lineRule="exact"/>
        <w:rPr>
          <w:rFonts w:ascii="Arial" w:cs="Arial" w:eastAsia="Arial" w:hAnsi="Arial"/>
          <w:sz w:val="16"/>
          <w:szCs w:val="16"/>
          <w:color w:val="auto"/>
        </w:rPr>
      </w:pPr>
    </w:p>
    <w:p>
      <w:pPr>
        <w:jc w:val="both"/>
        <w:ind w:right="339" w:firstLine="381"/>
        <w:spacing w:after="0" w:line="264" w:lineRule="auto"/>
        <w:tabs>
          <w:tab w:leader="none" w:pos="64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Each dividend or other distribution pursuant to Section III(a) above will be payable to Holders of record of Junior Preferred Stock as they appear in the records of the Corporation at the close of business on the Record Date for the corresponding dividend or distribution to the holders of shares of Common Stock.</w:t>
      </w:r>
    </w:p>
    <w:p>
      <w:pPr>
        <w:spacing w:after="0" w:line="154" w:lineRule="exact"/>
        <w:rPr>
          <w:rFonts w:ascii="Arial" w:cs="Arial" w:eastAsia="Arial" w:hAnsi="Arial"/>
          <w:sz w:val="18"/>
          <w:szCs w:val="18"/>
          <w:color w:val="auto"/>
        </w:rPr>
      </w:pPr>
    </w:p>
    <w:p>
      <w:pPr>
        <w:ind w:right="239" w:firstLine="381"/>
        <w:spacing w:after="0" w:line="273" w:lineRule="auto"/>
        <w:tabs>
          <w:tab w:leader="none" w:pos="63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To the extent the Corporation declares dividends on the Junior Preferred Stock and Common Stock but does not make full payment of such declared dividends, the Corporation will allocate the dividend payments on a pro rata basis among the holders of shares of Junior Preferred Stock and the holders of Common Stock so that the amount of dividends actually paid per share on the Junior Preferred Stock and Common Stock shall in all cases bear to each other the same ratio as the then Applicable Conversion Rate. The foregoing right shall not be cumulative and shall not in any way create any claim or right in favor of Holders in the event that dividends have not been declared or paid in respect of any prior calendar quarter.</w:t>
      </w:r>
    </w:p>
    <w:p>
      <w:pPr>
        <w:spacing w:after="0" w:line="137" w:lineRule="exact"/>
        <w:rPr>
          <w:rFonts w:ascii="Arial" w:cs="Arial" w:eastAsia="Arial" w:hAnsi="Arial"/>
          <w:sz w:val="17"/>
          <w:szCs w:val="17"/>
          <w:color w:val="auto"/>
        </w:rPr>
      </w:pPr>
    </w:p>
    <w:p>
      <w:pPr>
        <w:ind w:right="219" w:firstLine="381"/>
        <w:spacing w:after="0" w:line="286" w:lineRule="auto"/>
        <w:tabs>
          <w:tab w:leader="none" w:pos="644" w:val="left"/>
        </w:tabs>
        <w:numPr>
          <w:ilvl w:val="0"/>
          <w:numId w:val="164"/>
        </w:numPr>
        <w:rPr>
          <w:rFonts w:ascii="Arial" w:cs="Arial" w:eastAsia="Arial" w:hAnsi="Arial"/>
          <w:sz w:val="17"/>
          <w:szCs w:val="17"/>
          <w:color w:val="auto"/>
        </w:rPr>
      </w:pPr>
      <w:r>
        <w:rPr>
          <w:rFonts w:ascii="Arial" w:cs="Arial" w:eastAsia="Arial" w:hAnsi="Arial"/>
          <w:sz w:val="17"/>
          <w:szCs w:val="17"/>
          <w:color w:val="auto"/>
        </w:rPr>
        <w:t>Holders of Junior Preferred Stock shall not be entitled to any dividends, whether payable in cash, securities or other property, on the Junior Preferred Stock other than dividends (if any) declared and payable on Junior Preferred Stock as specified in this Section III and dividends of Common Stock or other securities of the Corporation pursuant to Section II(b).</w:t>
      </w:r>
    </w:p>
    <w:p>
      <w:pPr>
        <w:spacing w:after="0" w:line="200" w:lineRule="exact"/>
        <w:rPr>
          <w:sz w:val="20"/>
          <w:szCs w:val="20"/>
          <w:color w:val="auto"/>
        </w:rPr>
      </w:pPr>
    </w:p>
    <w:p>
      <w:pPr>
        <w:spacing w:after="0" w:line="3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55" w:name="page156"/>
    <w:bookmarkEnd w:id="155"/>
    <w:p>
      <w:pPr>
        <w:jc w:val="both"/>
        <w:ind w:right="319" w:firstLine="381"/>
        <w:spacing w:after="0" w:line="279" w:lineRule="auto"/>
        <w:tabs>
          <w:tab w:leader="none" w:pos="634" w:val="left"/>
        </w:tabs>
        <w:numPr>
          <w:ilvl w:val="0"/>
          <w:numId w:val="165"/>
        </w:numPr>
        <w:rPr>
          <w:rFonts w:ascii="Arial" w:cs="Arial" w:eastAsia="Arial" w:hAnsi="Arial"/>
          <w:sz w:val="17"/>
          <w:szCs w:val="17"/>
          <w:color w:val="auto"/>
        </w:rPr>
      </w:pPr>
      <w:r>
        <w:rPr>
          <w:rFonts w:ascii="Arial" w:cs="Arial" w:eastAsia="Arial" w:hAnsi="Arial"/>
          <w:sz w:val="17"/>
          <w:szCs w:val="17"/>
          <w:color w:val="auto"/>
        </w:rPr>
        <w:t>Notwithstanding any provision in this Certificate of Designation to the contrary, Holders of Junior Preferred Stock shall not be entitled to receive any dividends with respect to any such shares converted into Common Stock, except to the extent that any such dividends have been declared by the Board or any duly authorized committee of the Board (and the Record Date for such dividend occurs) after the Issue Date and prior to the applicable Conversion Date of such shares.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IV. Voting</w:t>
      </w:r>
    </w:p>
    <w:p>
      <w:pPr>
        <w:spacing w:after="0" w:line="189" w:lineRule="exact"/>
        <w:rPr>
          <w:sz w:val="20"/>
          <w:szCs w:val="20"/>
          <w:color w:val="auto"/>
        </w:rPr>
      </w:pPr>
    </w:p>
    <w:p>
      <w:pPr>
        <w:jc w:val="both"/>
        <w:ind w:right="339" w:firstLine="381"/>
        <w:spacing w:after="0" w:line="264" w:lineRule="auto"/>
        <w:tabs>
          <w:tab w:leader="none" w:pos="63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Shares of Junior Preferred Stock shall have no voting rights except as set forth in Section IV(b) or as otherwise required by Georgia law from time to time. In exercising the voting rights set forth in Section IV(b), each Holder shall be entitled to one vote for each share of Junior Preferred Stock held by such Holder.</w:t>
      </w:r>
    </w:p>
    <w:p>
      <w:pPr>
        <w:spacing w:after="0" w:line="140" w:lineRule="exact"/>
        <w:rPr>
          <w:rFonts w:ascii="Arial" w:cs="Arial" w:eastAsia="Arial" w:hAnsi="Arial"/>
          <w:sz w:val="18"/>
          <w:szCs w:val="18"/>
          <w:color w:val="auto"/>
        </w:rPr>
      </w:pPr>
    </w:p>
    <w:p>
      <w:pPr>
        <w:ind w:right="179" w:firstLine="381"/>
        <w:spacing w:after="0" w:line="290" w:lineRule="auto"/>
        <w:tabs>
          <w:tab w:leader="none" w:pos="64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So long as any shares of Junior Preferred Stock remain outstanding, unless a greater percentage shall then be required by law, the Corporation shall not, without the affirmative vote or written consent of the Holders (voting or consenting separately as one class) of at least a majority of the outstanding shares of Junior Preferred Stock, amend, alter or repeal or otherwise change (including in connection with any merger, consolidation or other similar transaction) any provision of the Articles of Incorporation, including this Certificate of Designation, if the amendment, authorization or repeal would significantly and adversely affect the rights or preferences of the Junior Preferred Stock. Notwithstanding the foregoing, except as otherwise required by law, the Corporation may, without the consent of any Holder, authorize, increase the authorized amount of, or issue shares of Senior Stock or Parity Stock, and in taking such actions, the Corporation shall not be deemed to have significantly adversely affected the existing terms of the Junior Preferred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 Liquidation</w:t>
      </w:r>
    </w:p>
    <w:p>
      <w:pPr>
        <w:spacing w:after="0" w:line="189" w:lineRule="exact"/>
        <w:rPr>
          <w:sz w:val="20"/>
          <w:szCs w:val="20"/>
          <w:color w:val="auto"/>
        </w:rPr>
      </w:pPr>
    </w:p>
    <w:p>
      <w:pPr>
        <w:ind w:right="299" w:firstLine="381"/>
        <w:spacing w:after="0" w:line="293" w:lineRule="auto"/>
        <w:tabs>
          <w:tab w:leader="none" w:pos="63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In the event of any liquidation, dissolution or winding up of the affairs of the Corporation, whether voluntary or involuntary, which occurs while any Junior Preferred Stock remains outstanding (each a “</w:t>
      </w:r>
      <w:r>
        <w:rPr>
          <w:rFonts w:ascii="Arial" w:cs="Arial" w:eastAsia="Arial" w:hAnsi="Arial"/>
          <w:sz w:val="16"/>
          <w:szCs w:val="16"/>
          <w:u w:val="single" w:color="auto"/>
          <w:color w:val="auto"/>
        </w:rPr>
        <w:t>Liquidation Event</w:t>
      </w:r>
      <w:r>
        <w:rPr>
          <w:rFonts w:ascii="Arial" w:cs="Arial" w:eastAsia="Arial" w:hAnsi="Arial"/>
          <w:sz w:val="16"/>
          <w:szCs w:val="16"/>
          <w:color w:val="auto"/>
        </w:rPr>
        <w:t>”), Holders of shares of Junior Preferred Stock shall, subject to the prior rights of any holders of Senior Stock, be entitled to receive and be paid out of the assets of the Corporation available for distribution to its stockholders, for each such share (or fraction thereof), a liquidating distribution in an amount equal to that received by holders of the Common Stock for each share of Common Stock into which such share of Junior Preferred Stock (or fraction thereof) was convertible at the Applicable Conversion Rate immediately prior to such Liquidation Event.</w:t>
      </w:r>
    </w:p>
    <w:p>
      <w:pPr>
        <w:spacing w:after="0" w:line="124" w:lineRule="exact"/>
        <w:rPr>
          <w:rFonts w:ascii="Arial" w:cs="Arial" w:eastAsia="Arial" w:hAnsi="Arial"/>
          <w:sz w:val="16"/>
          <w:szCs w:val="16"/>
          <w:color w:val="auto"/>
        </w:rPr>
      </w:pPr>
    </w:p>
    <w:p>
      <w:pPr>
        <w:ind w:right="219" w:firstLine="381"/>
        <w:spacing w:after="0" w:line="257" w:lineRule="auto"/>
        <w:tabs>
          <w:tab w:leader="none" w:pos="64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in any distribution described in Section V(a) above, the assets of the Corporation or proceeds thereof are not sufficient to pay in full the amounts payable with respect to all outstanding shares of Junior Preferred Stock and the corresponding amounts payable with respect to the Common Stock or any other Parity Stock as to such distribution, Holders of Junior Preferred Stock and the holders of Common Stock or any other Parity Stock shall share ratably in any such distribution in proportion to the full respective distributions to which they are entitled.</w:t>
      </w:r>
    </w:p>
    <w:p>
      <w:pPr>
        <w:spacing w:after="0" w:line="161" w:lineRule="exact"/>
        <w:rPr>
          <w:rFonts w:ascii="Arial" w:cs="Arial" w:eastAsia="Arial" w:hAnsi="Arial"/>
          <w:sz w:val="18"/>
          <w:szCs w:val="18"/>
          <w:color w:val="auto"/>
        </w:rPr>
      </w:pPr>
    </w:p>
    <w:p>
      <w:pPr>
        <w:ind w:right="179" w:firstLine="381"/>
        <w:spacing w:after="0" w:line="276" w:lineRule="auto"/>
        <w:tabs>
          <w:tab w:leader="none" w:pos="634" w:val="left"/>
        </w:tabs>
        <w:numPr>
          <w:ilvl w:val="0"/>
          <w:numId w:val="167"/>
        </w:numPr>
        <w:rPr>
          <w:rFonts w:ascii="Arial" w:cs="Arial" w:eastAsia="Arial" w:hAnsi="Arial"/>
          <w:sz w:val="17"/>
          <w:szCs w:val="17"/>
          <w:color w:val="auto"/>
        </w:rPr>
      </w:pPr>
      <w:r>
        <w:rPr>
          <w:rFonts w:ascii="Arial" w:cs="Arial" w:eastAsia="Arial" w:hAnsi="Arial"/>
          <w:sz w:val="17"/>
          <w:szCs w:val="17"/>
          <w:color w:val="auto"/>
        </w:rPr>
        <w:t>For purposes of this Section V, neither the sale, conveyance, exchange or transfer (for cash, shares of stock, securities or other consideration) of all or substantially all of the property and assets of the Corporation (other than in connection with the voluntary or involuntary liquidation, winding up or dissolution of the Corporation) nor the merger, consolidation or any other business combination transaction of the Corporation into or with any other corporation or Person shall be deemed to be a voluntary or involuntary dissolution, liquidation or winding up of the affairs of the Corporation.</w:t>
      </w:r>
    </w:p>
    <w:p>
      <w:pPr>
        <w:spacing w:after="0" w:line="200" w:lineRule="exact"/>
        <w:rPr>
          <w:sz w:val="20"/>
          <w:szCs w:val="20"/>
          <w:color w:val="auto"/>
        </w:rPr>
      </w:pP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56" w:name="page157"/>
    <w:bookmarkEnd w:id="156"/>
    <w:p>
      <w:pPr>
        <w:ind w:right="299" w:firstLine="381"/>
        <w:spacing w:after="0" w:line="257" w:lineRule="auto"/>
        <w:tabs>
          <w:tab w:leader="none" w:pos="64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the event of any voluntary or involuntary liquidation, dissolution or winding up of the Corporation, the Corporation shall, within ten (10) days after the date the Board approves such action, or at least twenty (20) days prior to any stockholder’s meeting called to approve such action, if applicable, or within twenty (20) days after the commencement of any involuntary proceeding, whichever is earlier, give each Holder initial written notice of the proposed action. Such initial written notice shall describe the material terms and conditions of such proposed action.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 Adjustments for Change of Control</w:t>
      </w:r>
    </w:p>
    <w:p>
      <w:pPr>
        <w:spacing w:after="0" w:line="189" w:lineRule="exact"/>
        <w:rPr>
          <w:sz w:val="20"/>
          <w:szCs w:val="20"/>
          <w:color w:val="auto"/>
        </w:rPr>
      </w:pPr>
    </w:p>
    <w:p>
      <w:pPr>
        <w:ind w:right="219" w:firstLine="381"/>
        <w:spacing w:after="0" w:line="287" w:lineRule="auto"/>
        <w:tabs>
          <w:tab w:leader="none" w:pos="634" w:val="left"/>
        </w:tabs>
        <w:numPr>
          <w:ilvl w:val="0"/>
          <w:numId w:val="169"/>
        </w:numPr>
        <w:rPr>
          <w:rFonts w:ascii="Arial" w:cs="Arial" w:eastAsia="Arial" w:hAnsi="Arial"/>
          <w:sz w:val="16"/>
          <w:szCs w:val="16"/>
          <w:color w:val="auto"/>
        </w:rPr>
      </w:pPr>
      <w:r>
        <w:rPr>
          <w:rFonts w:ascii="Arial" w:cs="Arial" w:eastAsia="Arial" w:hAnsi="Arial"/>
          <w:sz w:val="16"/>
          <w:szCs w:val="16"/>
          <w:color w:val="auto"/>
        </w:rPr>
        <w:t>Upon the occurrence of a Change of Control (as defined herein) while any shares of Junior Preferred Stock remain outstanding, each share of Junior Preferred Stock (or fraction thereof) outstanding immediately prior to such Change of Control shall, without the consent of Holders, become convertible into the types and amounts of securities, cash, and other property that is or was receivable in such Change of Control by a holder of the number of shares of Common Stock into which such share of Junior Preferred Stock (or fraction thereof) was convertible immediately prior to such Change of Control (such securities, cash, and other property, the “</w:t>
      </w:r>
      <w:r>
        <w:rPr>
          <w:rFonts w:ascii="Arial" w:cs="Arial" w:eastAsia="Arial" w:hAnsi="Arial"/>
          <w:sz w:val="16"/>
          <w:szCs w:val="16"/>
          <w:u w:val="single" w:color="auto"/>
          <w:color w:val="auto"/>
        </w:rPr>
        <w:t>Exchange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receipt of the Exchange Property would cause the Holder to the Holder to acquire control of a bank, as “control” is defined in Section 2(a)(2) of the Bank Holding Company Act of 1956, as amended, and the implementing regulations of the Board of Governors of the Federal Reserve System, require the Holder to file a Change in Bank Control Act notice or require the Holder to make any similar regulatory filing, proper provision shall be made for such Holder to receive shares of non-voting securities in lieu of any voting securities included in the Exchange Property, the terms of which non-voting securities shall be as nearly equivalent as practicable to those of the Junior Preferred Stock.</w:t>
      </w:r>
    </w:p>
    <w:p>
      <w:pPr>
        <w:spacing w:after="0" w:line="132" w:lineRule="exact"/>
        <w:rPr>
          <w:rFonts w:ascii="Arial" w:cs="Arial" w:eastAsia="Arial" w:hAnsi="Arial"/>
          <w:sz w:val="16"/>
          <w:szCs w:val="16"/>
          <w:color w:val="auto"/>
        </w:rPr>
      </w:pPr>
    </w:p>
    <w:p>
      <w:pPr>
        <w:ind w:left="620" w:hanging="239"/>
        <w:spacing w:after="0"/>
        <w:tabs>
          <w:tab w:leader="none" w:pos="6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mean:</w:t>
      </w:r>
    </w:p>
    <w:p>
      <w:pPr>
        <w:spacing w:after="0" w:line="198" w:lineRule="exact"/>
        <w:rPr>
          <w:rFonts w:ascii="Arial" w:cs="Arial" w:eastAsia="Arial" w:hAnsi="Arial"/>
          <w:sz w:val="18"/>
          <w:szCs w:val="18"/>
          <w:color w:val="auto"/>
        </w:rPr>
      </w:pPr>
    </w:p>
    <w:p>
      <w:pPr>
        <w:ind w:right="219" w:firstLine="770"/>
        <w:spacing w:after="0" w:line="259" w:lineRule="auto"/>
        <w:tabs>
          <w:tab w:leader="none" w:pos="99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an acquisition of more than fifty percent (50%) of the equity securities of the Corporation (measured by vote or value) by means of merger or other form of corporate reorganization in which outstanding shares of the Corporation are exchanged for securities or other consideration issued, or caused to be issued, by the Acquiring Person (as defined below) or its Parent, Subsidiary or Affiliate (each as defined in Rule 12b-2 of the Exchange Act);</w:t>
      </w:r>
    </w:p>
    <w:p>
      <w:pPr>
        <w:spacing w:after="0" w:line="146" w:lineRule="exact"/>
        <w:rPr>
          <w:rFonts w:ascii="Arial" w:cs="Arial" w:eastAsia="Arial" w:hAnsi="Arial"/>
          <w:sz w:val="18"/>
          <w:szCs w:val="18"/>
          <w:color w:val="auto"/>
        </w:rPr>
      </w:pPr>
    </w:p>
    <w:p>
      <w:pPr>
        <w:ind w:right="279" w:firstLine="770"/>
        <w:spacing w:after="0" w:line="277" w:lineRule="auto"/>
        <w:tabs>
          <w:tab w:leader="none" w:pos="104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 sale or other disposition of all or substantially all of the assets of the Corporation (on a consolidated basis) in a single transaction or series of related transactions;</w:t>
      </w:r>
    </w:p>
    <w:p>
      <w:pPr>
        <w:spacing w:after="0" w:line="129" w:lineRule="exact"/>
        <w:rPr>
          <w:rFonts w:ascii="Arial" w:cs="Arial" w:eastAsia="Arial" w:hAnsi="Arial"/>
          <w:sz w:val="18"/>
          <w:szCs w:val="18"/>
          <w:color w:val="auto"/>
        </w:rPr>
      </w:pPr>
    </w:p>
    <w:p>
      <w:pPr>
        <w:ind w:right="279" w:firstLine="770"/>
        <w:spacing w:after="0" w:line="264" w:lineRule="auto"/>
        <w:tabs>
          <w:tab w:leader="none" w:pos="109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any tender offer, exchange offer, stock purchase or other transaction or event or series of related transactions or events by or involving the Corporation in which a single entity or group becomes the direct or indirect owner of more than fifty percent (50%) of the equity securities of the Corporation (measured by vote or value);</w:t>
      </w:r>
    </w:p>
    <w:p>
      <w:pPr>
        <w:spacing w:after="0" w:line="154" w:lineRule="exact"/>
        <w:rPr>
          <w:rFonts w:ascii="Arial" w:cs="Arial" w:eastAsia="Arial" w:hAnsi="Arial"/>
          <w:sz w:val="18"/>
          <w:szCs w:val="18"/>
          <w:color w:val="auto"/>
        </w:rPr>
      </w:pPr>
    </w:p>
    <w:p>
      <w:pPr>
        <w:ind w:left="1080" w:hanging="310"/>
        <w:spacing w:after="0"/>
        <w:tabs>
          <w:tab w:leader="none" w:pos="10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 capital reorganization or reclassification of the Common Stock or other securities.</w:t>
      </w:r>
    </w:p>
    <w:p>
      <w:pPr>
        <w:spacing w:after="0" w:line="185" w:lineRule="exact"/>
        <w:rPr>
          <w:sz w:val="20"/>
          <w:szCs w:val="20"/>
          <w:color w:val="auto"/>
        </w:rPr>
      </w:pPr>
    </w:p>
    <w:p>
      <w:pPr>
        <w:ind w:right="219"/>
        <w:spacing w:after="0" w:line="277" w:lineRule="auto"/>
        <w:rPr>
          <w:sz w:val="20"/>
          <w:szCs w:val="20"/>
          <w:color w:val="auto"/>
        </w:rPr>
      </w:pPr>
      <w:r>
        <w:rPr>
          <w:rFonts w:ascii="Arial" w:cs="Arial" w:eastAsia="Arial" w:hAnsi="Arial"/>
          <w:sz w:val="18"/>
          <w:szCs w:val="18"/>
          <w:color w:val="auto"/>
        </w:rPr>
        <w:t>Notwithstanding anything contained herein to the contrary, a change in the state of incorporation of the Corporation shall not in and of itself constitute a Change of Control.</w:t>
      </w:r>
    </w:p>
    <w:p>
      <w:pPr>
        <w:spacing w:after="0" w:line="200" w:lineRule="exact"/>
        <w:rPr>
          <w:sz w:val="20"/>
          <w:szCs w:val="20"/>
          <w:color w:val="auto"/>
        </w:rPr>
      </w:pPr>
    </w:p>
    <w:p>
      <w:pPr>
        <w:spacing w:after="0" w:line="3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57" w:name="page158"/>
    <w:bookmarkEnd w:id="157"/>
    <w:p>
      <w:pPr>
        <w:ind w:right="159" w:firstLine="381"/>
        <w:spacing w:after="0" w:line="269" w:lineRule="auto"/>
        <w:tabs>
          <w:tab w:leader="none" w:pos="63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Acquiring Person</w:t>
      </w:r>
      <w:r>
        <w:rPr>
          <w:rFonts w:ascii="Arial" w:cs="Arial" w:eastAsia="Arial" w:hAnsi="Arial"/>
          <w:sz w:val="17"/>
          <w:szCs w:val="17"/>
          <w:color w:val="auto"/>
        </w:rPr>
        <w:t>” means, in connection with any Change of Control any of the following, at the Holder’s election, (i) the continuing or surviving Person of a consolidation or merger with the Corporation (if other than the Corporation), (ii) the transferee of all or substantially all of the properties or assets of the Corporation, (iii) the corporation consolidating with or merging into the Corporation in a consolidation or merger in connection with which the Common Stock is changed into or exchanged for stock or other securities of any other Person or cash or any other property, (iv) the entity or group acting in concert acquiring or possessing the power to cast the majority of the eligible votes at a meeting of the Corporation’s stockholders at which directors are elected, or, (v) in the case of a capital reorganization or reclassification, the Corporation, or (vi) at the Holder’s election, any Person that (x) controls the Acquiring Person directly or indirectly through one or more intermediaries, (y) is required to include the Acquiring Person in the consolidated financial statements contained in such Person’s Annual Report on Form 10 K (if such Person is required to file such a report) or would be required to so include the Acquiring Person in such Person’s consolidated financial statements if they were prepared in accordance with U.S. generally accepted accounting principles and (z) is not itself included in the consolidated financial statements of any other Person (other than its consolidated subsidiaries).</w:t>
      </w:r>
    </w:p>
    <w:p>
      <w:pPr>
        <w:spacing w:after="0" w:line="152" w:lineRule="exact"/>
        <w:rPr>
          <w:rFonts w:ascii="Arial" w:cs="Arial" w:eastAsia="Arial" w:hAnsi="Arial"/>
          <w:sz w:val="17"/>
          <w:szCs w:val="17"/>
          <w:color w:val="auto"/>
        </w:rPr>
      </w:pPr>
    </w:p>
    <w:p>
      <w:pPr>
        <w:ind w:right="359" w:firstLine="381"/>
        <w:spacing w:after="0" w:line="277" w:lineRule="auto"/>
        <w:tabs>
          <w:tab w:leader="none" w:pos="64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holders of shares of Common Stock have the opportunity to elect the form of consideration to be received in a Change of Control, the Holders of Junior Preferred Stock shall be entitled to receive the same election.</w:t>
      </w:r>
    </w:p>
    <w:p>
      <w:pPr>
        <w:spacing w:after="0" w:line="129" w:lineRule="exact"/>
        <w:rPr>
          <w:rFonts w:ascii="Arial" w:cs="Arial" w:eastAsia="Arial" w:hAnsi="Arial"/>
          <w:sz w:val="18"/>
          <w:szCs w:val="18"/>
          <w:color w:val="auto"/>
        </w:rPr>
      </w:pPr>
    </w:p>
    <w:p>
      <w:pPr>
        <w:ind w:right="219" w:firstLine="381"/>
        <w:spacing w:after="0" w:line="259" w:lineRule="auto"/>
        <w:tabs>
          <w:tab w:leader="none" w:pos="63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Corporation (or any successor) shall, within 20 days of the occurrence of any Change of Control or, if earlier, the date on which similar notice is given to holders of Common Stock, provide written notice to the Holders of such occurrence and of the type and amount of the cash, securities or other property that constitutes the Exchange Property. Failure to deliver such notice shall not affect the operation of this Section VI.</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VII. Reports as to Adjustments</w:t>
      </w:r>
    </w:p>
    <w:p>
      <w:pPr>
        <w:spacing w:after="0" w:line="202" w:lineRule="exact"/>
        <w:rPr>
          <w:sz w:val="20"/>
          <w:szCs w:val="20"/>
          <w:color w:val="auto"/>
        </w:rPr>
      </w:pPr>
    </w:p>
    <w:p>
      <w:pPr>
        <w:ind w:right="639"/>
        <w:spacing w:after="0" w:line="276" w:lineRule="auto"/>
        <w:rPr>
          <w:sz w:val="20"/>
          <w:szCs w:val="20"/>
          <w:color w:val="auto"/>
        </w:rPr>
      </w:pPr>
      <w:r>
        <w:rPr>
          <w:rFonts w:ascii="Arial" w:cs="Arial" w:eastAsia="Arial" w:hAnsi="Arial"/>
          <w:sz w:val="17"/>
          <w:szCs w:val="17"/>
          <w:color w:val="auto"/>
        </w:rPr>
        <w:t>Whenever the number of shares of Common Stock into which the shares of Junior Preferred Stock are convertible is adjusted as provided in Section II(b), the Corporation shall, as soon as is reasonable practicable, compute such adjustment and furnish to the Holders a certificate of the Corporation, setting forth the number of shares of Common Stock into which each share of Junior Preferred Stock (or fraction thereof) is convertible as a result of such adjustment, a brief statement of the facts requiring such adjustment, the computation thereof and when such adjustment will become effective.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VIII. Transfer Restrictions</w:t>
      </w:r>
    </w:p>
    <w:p>
      <w:pPr>
        <w:spacing w:after="0" w:line="189" w:lineRule="exact"/>
        <w:rPr>
          <w:sz w:val="20"/>
          <w:szCs w:val="20"/>
          <w:color w:val="auto"/>
        </w:rPr>
      </w:pPr>
    </w:p>
    <w:p>
      <w:pPr>
        <w:jc w:val="both"/>
        <w:ind w:right="219"/>
        <w:spacing w:after="0" w:line="264" w:lineRule="auto"/>
        <w:rPr>
          <w:sz w:val="20"/>
          <w:szCs w:val="20"/>
          <w:color w:val="auto"/>
        </w:rPr>
      </w:pPr>
      <w:r>
        <w:rPr>
          <w:rFonts w:ascii="Arial" w:cs="Arial" w:eastAsia="Arial" w:hAnsi="Arial"/>
          <w:sz w:val="18"/>
          <w:szCs w:val="18"/>
          <w:color w:val="auto"/>
        </w:rPr>
        <w:t>Shares of Junior Preferred Stock may not be transferred to any Person other than pursuant to a Permitted Transfer, and any attempt to transfer one or more shares of Junior Preferred Stock (or fraction thereof) to a Person other than pursuant to a Permitted Transfer shall be void and of no effect.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IX. Exclusion of Other Rights</w:t>
      </w:r>
    </w:p>
    <w:p>
      <w:pPr>
        <w:spacing w:after="0" w:line="189" w:lineRule="exact"/>
        <w:rPr>
          <w:sz w:val="20"/>
          <w:szCs w:val="20"/>
          <w:color w:val="auto"/>
        </w:rPr>
      </w:pPr>
    </w:p>
    <w:p>
      <w:pPr>
        <w:ind w:right="179"/>
        <w:spacing w:after="0" w:line="259" w:lineRule="auto"/>
        <w:rPr>
          <w:sz w:val="20"/>
          <w:szCs w:val="20"/>
          <w:color w:val="auto"/>
        </w:rPr>
      </w:pPr>
      <w:r>
        <w:rPr>
          <w:rFonts w:ascii="Arial" w:cs="Arial" w:eastAsia="Arial" w:hAnsi="Arial"/>
          <w:sz w:val="18"/>
          <w:szCs w:val="18"/>
          <w:color w:val="auto"/>
        </w:rPr>
        <w:t>Except as may otherwise be required by law, shares of Junior Preferred Stock shall not have any powers, preferences, participation and other special rights, qualifications, limitations, restrictions and other designations, other than those specifically set forth herein (as this Certificate of Designation may be amended from time to time) and in the Articles of Incorporation. The shares of Junior Preferred Stock shall have no preemptive or subscription rights.</w:t>
      </w: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Section X. Severability of Provisions</w:t>
      </w:r>
    </w:p>
    <w:p>
      <w:pPr>
        <w:spacing w:after="0" w:line="202" w:lineRule="exact"/>
        <w:rPr>
          <w:sz w:val="20"/>
          <w:szCs w:val="20"/>
          <w:color w:val="auto"/>
        </w:rPr>
      </w:pPr>
    </w:p>
    <w:p>
      <w:pPr>
        <w:ind w:right="239"/>
        <w:spacing w:after="0" w:line="270" w:lineRule="auto"/>
        <w:rPr>
          <w:sz w:val="20"/>
          <w:szCs w:val="20"/>
          <w:color w:val="auto"/>
        </w:rPr>
      </w:pPr>
      <w:r>
        <w:rPr>
          <w:rFonts w:ascii="Arial" w:cs="Arial" w:eastAsia="Arial" w:hAnsi="Arial"/>
          <w:sz w:val="17"/>
          <w:szCs w:val="17"/>
          <w:color w:val="auto"/>
        </w:rPr>
        <w:t>If any powers, preferences, participation and other special rights, qualifications, limitations, restrictions and other designations of the Junior Preferred Stock set forth in this Certificate of Designation (as this Certificate of Designation may be amended from time to time) is invalid, unlawful or incapable of being enforced by reason of any rule of law or public policy, all other powers, preferences, participation and other special rights, qualifications, limitations, restrictions and other designations of the Junior Preferred Stock set forth in this Certificate of Designation (as so amended) which can be given effect without the invalid, unlawful or unenforceable powers, preferences, participation and other special rights, qualifications, limitations, restrictions and other designations of the Junior Preferred Stock shall, nevertheless, remain in full force and effect, and no powers, preferences, participation and other special rights, qualifications, limitations, restrictions and other designations of the Junior Preferred Stock herein set forth shall be deemed dependent upon any other such powers, preferences, participation and other special rights, qualifications, limitations, restrictions and other designations of the Junior Preferred Stock unless so expressed herein.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XI. Rank</w:t>
      </w:r>
    </w:p>
    <w:p>
      <w:pPr>
        <w:spacing w:after="0" w:line="189" w:lineRule="exact"/>
        <w:rPr>
          <w:sz w:val="20"/>
          <w:szCs w:val="20"/>
          <w:color w:val="auto"/>
        </w:rPr>
      </w:pPr>
    </w:p>
    <w:p>
      <w:pPr>
        <w:ind w:right="299"/>
        <w:spacing w:after="0" w:line="297" w:lineRule="auto"/>
        <w:rPr>
          <w:sz w:val="20"/>
          <w:szCs w:val="20"/>
          <w:color w:val="auto"/>
        </w:rPr>
      </w:pPr>
      <w:r>
        <w:rPr>
          <w:rFonts w:ascii="Arial" w:cs="Arial" w:eastAsia="Arial" w:hAnsi="Arial"/>
          <w:sz w:val="16"/>
          <w:szCs w:val="16"/>
          <w:color w:val="auto"/>
        </w:rPr>
        <w:t>Notwithstanding anything set forth in the Articles of Incorporation or this Certificate of Designation to the contrary, the Board or any authorized committee of the Board, without the vote of Holders of the Junior Preferred Stock, may authorize and issue additional shares of stock ranking junior or senior to, or on parity with, the Junior Preferred Stock as to dividends and the distribution of assets upon any voluntary or involuntary liquidation, dissolution or winding up of the affairs of the Corporation or any other powers, preferences, participation and other special rights, qualifications, limitations, restrictions and other designations.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XII. No Redemption</w:t>
      </w:r>
    </w:p>
    <w:p>
      <w:pPr>
        <w:spacing w:after="0" w:line="189" w:lineRule="exact"/>
        <w:rPr>
          <w:sz w:val="20"/>
          <w:szCs w:val="20"/>
          <w:color w:val="auto"/>
        </w:rPr>
      </w:pPr>
    </w:p>
    <w:p>
      <w:pPr>
        <w:ind w:right="719"/>
        <w:spacing w:after="0" w:line="277" w:lineRule="auto"/>
        <w:rPr>
          <w:sz w:val="20"/>
          <w:szCs w:val="20"/>
          <w:color w:val="auto"/>
        </w:rPr>
      </w:pPr>
      <w:r>
        <w:rPr>
          <w:rFonts w:ascii="Arial" w:cs="Arial" w:eastAsia="Arial" w:hAnsi="Arial"/>
          <w:sz w:val="18"/>
          <w:szCs w:val="18"/>
          <w:color w:val="auto"/>
        </w:rPr>
        <w:t>The Corporation may not, at any time, redeem the outstanding shares of the Junior Preferred Stock, except upon the unanimous consent of the Holders of all outstanding shares of Junior Preferred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XIII. Repurchases</w:t>
      </w:r>
    </w:p>
    <w:p>
      <w:pPr>
        <w:spacing w:after="0" w:line="202" w:lineRule="exact"/>
        <w:rPr>
          <w:sz w:val="20"/>
          <w:szCs w:val="20"/>
          <w:color w:val="auto"/>
        </w:rPr>
      </w:pPr>
    </w:p>
    <w:p>
      <w:pPr>
        <w:ind w:right="239"/>
        <w:spacing w:after="0" w:line="264" w:lineRule="auto"/>
        <w:rPr>
          <w:sz w:val="20"/>
          <w:szCs w:val="20"/>
          <w:color w:val="auto"/>
        </w:rPr>
      </w:pPr>
      <w:r>
        <w:rPr>
          <w:rFonts w:ascii="Arial" w:cs="Arial" w:eastAsia="Arial" w:hAnsi="Arial"/>
          <w:sz w:val="18"/>
          <w:szCs w:val="18"/>
          <w:color w:val="auto"/>
        </w:rPr>
        <w:t>Subject to the limitations imposed herein, the Corporation may purchase and sell shares of Junior Preferred Stock (or fraction thereof) from time to time to such extent, in such manner, and upon such terms as the Board or any duly authorized committee of the Board may determine.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XIV. No Sinking Fund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Shares of Junior Preferred Stock are not subject to the operation of a sinking fund or any similar provisions.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XV. Notices</w:t>
      </w:r>
    </w:p>
    <w:p>
      <w:pPr>
        <w:spacing w:after="0" w:line="189" w:lineRule="exact"/>
        <w:rPr>
          <w:sz w:val="20"/>
          <w:szCs w:val="20"/>
          <w:color w:val="auto"/>
        </w:rPr>
      </w:pPr>
    </w:p>
    <w:p>
      <w:pPr>
        <w:ind w:right="199"/>
        <w:spacing w:after="0" w:line="257" w:lineRule="auto"/>
        <w:rPr>
          <w:sz w:val="20"/>
          <w:szCs w:val="20"/>
          <w:color w:val="auto"/>
        </w:rPr>
      </w:pPr>
      <w:r>
        <w:rPr>
          <w:rFonts w:ascii="Arial" w:cs="Arial" w:eastAsia="Arial" w:hAnsi="Arial"/>
          <w:sz w:val="18"/>
          <w:szCs w:val="18"/>
          <w:color w:val="auto"/>
        </w:rPr>
        <w:t>All notices, requests and other communications to a Holder of Junior Preferred Stock shall be in writing (including facsimile transmission) and shall be given at the address of such Holder as shown on the books of the Corporation. A Holder of Junior Preferred Stock may waive any notice required hereunder by a writing signed before or after the time required for notice or the action in question. Notice shall be deemed given on the earlier of the date received or three business days after the date such notice is mailed by first-class mail, postage prepaid.</w:t>
      </w: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159" w:name="page160"/>
    <w:bookmarkEnd w:id="159"/>
    <w:p>
      <w:pPr>
        <w:jc w:val="center"/>
        <w:ind w:right="179"/>
        <w:spacing w:after="0"/>
        <w:rPr>
          <w:sz w:val="20"/>
          <w:szCs w:val="20"/>
          <w:color w:val="auto"/>
        </w:rPr>
      </w:pPr>
      <w:r>
        <w:rPr>
          <w:rFonts w:ascii="Arial" w:cs="Arial" w:eastAsia="Arial" w:hAnsi="Arial"/>
          <w:sz w:val="18"/>
          <w:szCs w:val="18"/>
          <w:b w:val="1"/>
          <w:bCs w:val="1"/>
          <w:color w:val="auto"/>
        </w:rPr>
        <w:t>ARTICLES OF AMENDMENT</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UNITED COMMUNITY BANKS, INC.</w:t>
      </w:r>
    </w:p>
    <w:p>
      <w:pPr>
        <w:spacing w:after="0" w:line="1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185"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The Restated Articles of Incorporation of the corporation are amended by striking the first paragraph of Article V thereof and inserting the following:</w:t>
      </w:r>
    </w:p>
    <w:p>
      <w:pPr>
        <w:spacing w:after="0" w:line="143" w:lineRule="exact"/>
        <w:rPr>
          <w:sz w:val="20"/>
          <w:szCs w:val="20"/>
          <w:color w:val="auto"/>
        </w:rPr>
      </w:pPr>
    </w:p>
    <w:p>
      <w:pPr>
        <w:ind w:right="179"/>
        <w:spacing w:after="0" w:line="293" w:lineRule="auto"/>
        <w:rPr>
          <w:sz w:val="20"/>
          <w:szCs w:val="20"/>
          <w:color w:val="auto"/>
        </w:rPr>
      </w:pPr>
      <w:r>
        <w:rPr>
          <w:rFonts w:ascii="Arial" w:cs="Arial" w:eastAsia="Arial" w:hAnsi="Arial"/>
          <w:sz w:val="16"/>
          <w:szCs w:val="16"/>
          <w:color w:val="auto"/>
        </w:rPr>
        <w:t>“The corporation shall have authority to issue 200,000,000 shares of common stock, $1.00 par value (the “Common Stock”)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the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185"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The Restated Articles of Incorporation of the corporation are further amended by striking Article XI in its entirety and insert in lieu the following:</w:t>
      </w:r>
    </w:p>
    <w:p>
      <w:pPr>
        <w:spacing w:after="0" w:line="143" w:lineRule="exact"/>
        <w:rPr>
          <w:sz w:val="20"/>
          <w:szCs w:val="20"/>
          <w:color w:val="auto"/>
        </w:rPr>
      </w:pPr>
    </w:p>
    <w:p>
      <w:pPr>
        <w:ind w:right="559"/>
        <w:spacing w:after="0" w:line="312" w:lineRule="auto"/>
        <w:rPr>
          <w:sz w:val="20"/>
          <w:szCs w:val="20"/>
          <w:color w:val="auto"/>
        </w:rPr>
      </w:pPr>
      <w:r>
        <w:rPr>
          <w:rFonts w:ascii="Arial" w:cs="Arial" w:eastAsia="Arial" w:hAnsi="Arial"/>
          <w:sz w:val="16"/>
          <w:szCs w:val="16"/>
          <w:color w:val="auto"/>
        </w:rPr>
        <w:t>“Except as otherwise provided by law, any amendment or repeal of any provision of the Articles of Incorporation or Article II (Stockholders’ Meetings) or III (Board of Directors) of the Bylaws of the corporation requires the affirmative vote of holders of a majority of the shares of capital stock of the corporation then issued and outstanding and entitled to vote on such matters.”</w:t>
      </w:r>
    </w:p>
    <w:p>
      <w:pPr>
        <w:spacing w:after="0" w:line="1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185" w:lineRule="exact"/>
        <w:rPr>
          <w:sz w:val="20"/>
          <w:szCs w:val="20"/>
          <w:color w:val="auto"/>
        </w:rPr>
      </w:pPr>
    </w:p>
    <w:p>
      <w:pPr>
        <w:ind w:right="539"/>
        <w:spacing w:after="0" w:line="264" w:lineRule="auto"/>
        <w:rPr>
          <w:sz w:val="20"/>
          <w:szCs w:val="20"/>
          <w:color w:val="auto"/>
        </w:rPr>
      </w:pPr>
      <w:r>
        <w:rPr>
          <w:rFonts w:ascii="Arial" w:cs="Arial" w:eastAsia="Arial" w:hAnsi="Arial"/>
          <w:sz w:val="18"/>
          <w:szCs w:val="18"/>
          <w:color w:val="auto"/>
        </w:rPr>
        <w:t>This amendment to the Restated Articles of Incorporation was adopted on February 10, 2010, and was duly approved by the shareholders entitled to vote thereon in accordance with the provisions of Section 14-2-1003 of the Georgia Business Corporation Code.</w:t>
      </w:r>
    </w:p>
    <w:p>
      <w:pPr>
        <w:spacing w:after="0" w:line="150" w:lineRule="exact"/>
        <w:rPr>
          <w:sz w:val="20"/>
          <w:szCs w:val="20"/>
          <w:color w:val="auto"/>
        </w:rPr>
      </w:pPr>
    </w:p>
    <w:p>
      <w:pPr>
        <w:ind w:right="339"/>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these Articles of Amendment to the Restated Articles of Incorporation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United Community Banks, Inc. this 27th day of May, 2010.</w:t>
      </w:r>
    </w:p>
    <w:p>
      <w:pPr>
        <w:spacing w:after="0" w:line="162"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14605</wp:posOffset>
            </wp:positionV>
            <wp:extent cx="24352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638175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160" w:name="page161"/>
    <w:bookmarkEnd w:id="160"/>
    <w:p>
      <w:pPr>
        <w:jc w:val="center"/>
        <w:ind w:right="179"/>
        <w:spacing w:after="0"/>
        <w:rPr>
          <w:sz w:val="20"/>
          <w:szCs w:val="20"/>
          <w:color w:val="auto"/>
        </w:rPr>
      </w:pPr>
      <w:r>
        <w:rPr>
          <w:rFonts w:ascii="Arial" w:cs="Arial" w:eastAsia="Arial" w:hAnsi="Arial"/>
          <w:sz w:val="18"/>
          <w:szCs w:val="18"/>
          <w:b w:val="1"/>
          <w:bCs w:val="1"/>
          <w:color w:val="auto"/>
        </w:rPr>
        <w:t>ARTICLES OF AMENDMENT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UNITED COMMUNITY BANKS, INC.</w:t>
      </w:r>
    </w:p>
    <w:p>
      <w:pPr>
        <w:spacing w:after="0" w:line="184" w:lineRule="exact"/>
        <w:rPr>
          <w:sz w:val="20"/>
          <w:szCs w:val="20"/>
          <w:color w:val="auto"/>
        </w:rPr>
      </w:pPr>
    </w:p>
    <w:p>
      <w:pPr>
        <w:jc w:val="right"/>
        <w:ind w:right="4959"/>
        <w:spacing w:after="0"/>
        <w:rPr>
          <w:sz w:val="20"/>
          <w:szCs w:val="20"/>
          <w:color w:val="auto"/>
        </w:rPr>
      </w:pPr>
      <w:r>
        <w:rPr>
          <w:rFonts w:ascii="Arial" w:cs="Arial" w:eastAsia="Arial" w:hAnsi="Arial"/>
          <w:sz w:val="18"/>
          <w:szCs w:val="18"/>
          <w:color w:val="auto"/>
        </w:rPr>
        <w:t>1.</w:t>
      </w:r>
    </w:p>
    <w:p>
      <w:pPr>
        <w:spacing w:after="0" w:line="185" w:lineRule="exact"/>
        <w:rPr>
          <w:sz w:val="20"/>
          <w:szCs w:val="20"/>
          <w:color w:val="auto"/>
        </w:rPr>
      </w:pPr>
    </w:p>
    <w:p>
      <w:pPr>
        <w:jc w:val="right"/>
        <w:ind w:right="4979"/>
        <w:spacing w:after="0"/>
        <w:rPr>
          <w:sz w:val="20"/>
          <w:szCs w:val="20"/>
          <w:color w:val="auto"/>
        </w:rPr>
      </w:pPr>
      <w:r>
        <w:rPr>
          <w:rFonts w:ascii="Arial" w:cs="Arial" w:eastAsia="Arial" w:hAnsi="Arial"/>
          <w:sz w:val="17"/>
          <w:szCs w:val="17"/>
          <w:color w:val="auto"/>
        </w:rPr>
        <w:t>The name of the corporation is United Community Banks, Inc.</w:t>
      </w:r>
    </w:p>
    <w:p>
      <w:pPr>
        <w:spacing w:after="0" w:line="196" w:lineRule="exact"/>
        <w:rPr>
          <w:sz w:val="20"/>
          <w:szCs w:val="20"/>
          <w:color w:val="auto"/>
        </w:rPr>
      </w:pPr>
    </w:p>
    <w:p>
      <w:pPr>
        <w:jc w:val="right"/>
        <w:ind w:right="4959"/>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p>
      <w:pPr>
        <w:ind w:right="659" w:firstLine="389"/>
        <w:spacing w:after="0" w:line="264" w:lineRule="auto"/>
        <w:rPr>
          <w:sz w:val="20"/>
          <w:szCs w:val="20"/>
          <w:color w:val="auto"/>
        </w:rPr>
      </w:pPr>
      <w:r>
        <w:rPr>
          <w:rFonts w:ascii="Arial" w:cs="Arial" w:eastAsia="Arial" w:hAnsi="Arial"/>
          <w:sz w:val="18"/>
          <w:szCs w:val="18"/>
          <w:color w:val="auto"/>
        </w:rPr>
        <w:t xml:space="preserve">The Restated Articles of Incorporation, as amended, of the corporation are amended by adding the powers, rights, and preferences, and the qualifications, limitations, and restrictions thereof, of the Fixed Rate Cumulative Perpetual Preferred Stock, Series B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185" w:lineRule="exact"/>
        <w:rPr>
          <w:sz w:val="20"/>
          <w:szCs w:val="20"/>
          <w:color w:val="auto"/>
        </w:rPr>
      </w:pPr>
    </w:p>
    <w:p>
      <w:pPr>
        <w:ind w:right="219" w:firstLine="389"/>
        <w:spacing w:after="0" w:line="264" w:lineRule="auto"/>
        <w:rPr>
          <w:sz w:val="20"/>
          <w:szCs w:val="20"/>
          <w:color w:val="auto"/>
        </w:rPr>
      </w:pPr>
      <w:r>
        <w:rPr>
          <w:rFonts w:ascii="Arial" w:cs="Arial" w:eastAsia="Arial" w:hAnsi="Arial"/>
          <w:sz w:val="18"/>
          <w:szCs w:val="18"/>
          <w:color w:val="auto"/>
        </w:rPr>
        <w:t>The amendment was adopted by the board of directors of the corporation at a meeting held on October 23, 2008. Pursuant to O.C.G.A. § 14-2-602 and Article V of the Restated Articles of Incorporation, as amended, of the corporation, shareholder consent was not required.</w:t>
      </w:r>
    </w:p>
    <w:p>
      <w:pPr>
        <w:spacing w:after="0" w:line="154" w:lineRule="exact"/>
        <w:rPr>
          <w:sz w:val="20"/>
          <w:szCs w:val="20"/>
          <w:color w:val="auto"/>
        </w:rPr>
      </w:pPr>
    </w:p>
    <w:p>
      <w:pPr>
        <w:ind w:right="239" w:firstLine="389"/>
        <w:spacing w:after="0" w:line="277" w:lineRule="auto"/>
        <w:rPr>
          <w:sz w:val="20"/>
          <w:szCs w:val="20"/>
          <w:color w:val="auto"/>
        </w:rPr>
      </w:pPr>
      <w:r>
        <w:rPr>
          <w:rFonts w:ascii="Arial" w:cs="Arial" w:eastAsia="Arial" w:hAnsi="Arial"/>
          <w:sz w:val="18"/>
          <w:szCs w:val="18"/>
          <w:color w:val="auto"/>
        </w:rPr>
        <w:t>IN WITNESS WHEREOF, the undersigned has executed these Articles of Amendment to the Restated Articles of Incorporation, as amended, of United Community Bank, Inc. this 4th day of December, 2008.</w:t>
      </w:r>
    </w:p>
    <w:p>
      <w:pPr>
        <w:spacing w:after="0" w:line="17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UNITED COMMUNITY BANK, INC.</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14605</wp:posOffset>
            </wp:positionV>
            <wp:extent cx="24352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President and Chief</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638175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161" w:name="page162"/>
    <w:bookmarkEnd w:id="161"/>
    <w:p>
      <w:pPr>
        <w:jc w:val="right"/>
        <w:ind w:right="159"/>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DESIGNATIONS, POWERS, PREFERENCES,</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LIMITATIONS, RESTRICTIONS, AND RELATIVE RIGHTS</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FIXED RATE CUMULATIVE PERPETUAL PREFERRED STOCK, SERIES B</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UNITED COMMUNITY BANKS, INC.</w:t>
      </w:r>
    </w:p>
    <w:p>
      <w:pPr>
        <w:spacing w:after="0" w:line="202" w:lineRule="exact"/>
        <w:rPr>
          <w:sz w:val="20"/>
          <w:szCs w:val="20"/>
          <w:color w:val="auto"/>
        </w:rPr>
      </w:pPr>
    </w:p>
    <w:p>
      <w:pPr>
        <w:ind w:right="339" w:firstLine="389"/>
        <w:spacing w:after="0" w:line="312" w:lineRule="auto"/>
        <w:rPr>
          <w:sz w:val="20"/>
          <w:szCs w:val="20"/>
          <w:color w:val="auto"/>
        </w:rPr>
      </w:pPr>
      <w:r>
        <w:rPr>
          <w:rFonts w:ascii="Arial" w:cs="Arial" w:eastAsia="Arial" w:hAnsi="Arial"/>
          <w:sz w:val="16"/>
          <w:szCs w:val="16"/>
          <w:color w:val="auto"/>
        </w:rPr>
        <w:t xml:space="preserve">Part 1. </w:t>
      </w:r>
      <w:r>
        <w:rPr>
          <w:rFonts w:ascii="Arial" w:cs="Arial" w:eastAsia="Arial" w:hAnsi="Arial"/>
          <w:sz w:val="16"/>
          <w:szCs w:val="16"/>
          <w:u w:val="single" w:color="auto"/>
          <w:color w:val="auto"/>
        </w:rPr>
        <w:t>Designation and Number of Shares</w:t>
      </w:r>
      <w:r>
        <w:rPr>
          <w:rFonts w:ascii="Arial" w:cs="Arial" w:eastAsia="Arial" w:hAnsi="Arial"/>
          <w:sz w:val="16"/>
          <w:szCs w:val="16"/>
          <w:color w:val="auto"/>
        </w:rPr>
        <w:t>. There is hereby created out of the authorized and unissued shares of preferred stock of the Corporation a series of preferred stock designated as the “Fixed Rate Cumulative Perpetual Preferred Stock, Series B” (the “</w:t>
      </w:r>
      <w:r>
        <w:rPr>
          <w:rFonts w:ascii="Arial" w:cs="Arial" w:eastAsia="Arial" w:hAnsi="Arial"/>
          <w:sz w:val="16"/>
          <w:szCs w:val="16"/>
          <w:u w:val="single" w:color="auto"/>
          <w:color w:val="auto"/>
        </w:rPr>
        <w:t>Designated Preferred Stock”</w:t>
      </w:r>
      <w:r>
        <w:rPr>
          <w:rFonts w:ascii="Arial" w:cs="Arial" w:eastAsia="Arial" w:hAnsi="Arial"/>
          <w:sz w:val="16"/>
          <w:szCs w:val="16"/>
          <w:color w:val="auto"/>
        </w:rPr>
        <w:t>). The authorized number of shares of Designated Preferred Stock shall be 180,000.</w:t>
      </w:r>
    </w:p>
    <w:p>
      <w:pPr>
        <w:spacing w:after="0" w:line="106" w:lineRule="exact"/>
        <w:rPr>
          <w:sz w:val="20"/>
          <w:szCs w:val="20"/>
          <w:color w:val="auto"/>
        </w:rPr>
      </w:pPr>
    </w:p>
    <w:p>
      <w:pPr>
        <w:ind w:right="259" w:firstLine="389"/>
        <w:spacing w:after="0" w:line="264" w:lineRule="auto"/>
        <w:rPr>
          <w:sz w:val="20"/>
          <w:szCs w:val="20"/>
          <w:color w:val="auto"/>
        </w:rPr>
      </w:pPr>
      <w:r>
        <w:rPr>
          <w:rFonts w:ascii="Arial" w:cs="Arial" w:eastAsia="Arial" w:hAnsi="Arial"/>
          <w:sz w:val="18"/>
          <w:szCs w:val="18"/>
          <w:color w:val="auto"/>
        </w:rPr>
        <w:t xml:space="preserve">Part 2. </w:t>
      </w:r>
      <w:r>
        <w:rPr>
          <w:rFonts w:ascii="Arial" w:cs="Arial" w:eastAsia="Arial" w:hAnsi="Arial"/>
          <w:sz w:val="18"/>
          <w:szCs w:val="18"/>
          <w:u w:val="single" w:color="auto"/>
          <w:color w:val="auto"/>
        </w:rPr>
        <w:t>Standard Provisions</w:t>
      </w:r>
      <w:r>
        <w:rPr>
          <w:rFonts w:ascii="Arial" w:cs="Arial" w:eastAsia="Arial" w:hAnsi="Arial"/>
          <w:sz w:val="18"/>
          <w:szCs w:val="18"/>
          <w:color w:val="auto"/>
        </w:rPr>
        <w:t>. The Standard Provisions contained in Annex A attached hereto are incorporated herein by reference in their entirety and shall be deemed to be a part of this Certificate of Designations to the same extent as if such provisions had been set forth in full herein.</w:t>
      </w:r>
    </w:p>
    <w:p>
      <w:pPr>
        <w:spacing w:after="0" w:line="141" w:lineRule="exact"/>
        <w:rPr>
          <w:sz w:val="20"/>
          <w:szCs w:val="20"/>
          <w:color w:val="auto"/>
        </w:rPr>
      </w:pPr>
    </w:p>
    <w:p>
      <w:pPr>
        <w:ind w:right="259" w:firstLine="389"/>
        <w:spacing w:after="0" w:line="277" w:lineRule="auto"/>
        <w:rPr>
          <w:sz w:val="20"/>
          <w:szCs w:val="20"/>
          <w:color w:val="auto"/>
        </w:rPr>
      </w:pPr>
      <w:r>
        <w:rPr>
          <w:rFonts w:ascii="Arial" w:cs="Arial" w:eastAsia="Arial" w:hAnsi="Arial"/>
          <w:sz w:val="18"/>
          <w:szCs w:val="18"/>
          <w:color w:val="auto"/>
        </w:rPr>
        <w:t xml:space="preserve">Part 3.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are used in this Certificate of Designations (including the Standard Provisions in Annex A hereto) as defined below:</w:t>
      </w:r>
    </w:p>
    <w:p>
      <w:pPr>
        <w:spacing w:after="0" w:line="143" w:lineRule="exact"/>
        <w:rPr>
          <w:sz w:val="20"/>
          <w:szCs w:val="20"/>
          <w:color w:val="auto"/>
        </w:rPr>
      </w:pPr>
    </w:p>
    <w:p>
      <w:pPr>
        <w:ind w:left="620" w:hanging="239"/>
        <w:spacing w:after="0"/>
        <w:tabs>
          <w:tab w:leader="none" w:pos="6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$1.00 per share, of the Corporation.</w:t>
      </w:r>
    </w:p>
    <w:p>
      <w:pPr>
        <w:spacing w:after="0" w:line="184" w:lineRule="exact"/>
        <w:rPr>
          <w:rFonts w:ascii="Arial" w:cs="Arial" w:eastAsia="Arial" w:hAnsi="Arial"/>
          <w:sz w:val="18"/>
          <w:szCs w:val="18"/>
          <w:color w:val="auto"/>
        </w:rPr>
      </w:pPr>
    </w:p>
    <w:p>
      <w:pPr>
        <w:ind w:left="640" w:hanging="259"/>
        <w:spacing w:after="0"/>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means February 15, May 15, August 15 and November 15 of each year.</w:t>
      </w:r>
    </w:p>
    <w:p>
      <w:pPr>
        <w:spacing w:after="0" w:line="184" w:lineRule="exact"/>
        <w:rPr>
          <w:rFonts w:ascii="Arial" w:cs="Arial" w:eastAsia="Arial" w:hAnsi="Arial"/>
          <w:sz w:val="18"/>
          <w:szCs w:val="18"/>
          <w:color w:val="auto"/>
        </w:rPr>
      </w:pPr>
    </w:p>
    <w:p>
      <w:pPr>
        <w:ind w:right="259" w:firstLine="381"/>
        <w:spacing w:after="0" w:line="264" w:lineRule="auto"/>
        <w:tabs>
          <w:tab w:leader="none" w:pos="63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Stock</w:t>
      </w:r>
      <w:r>
        <w:rPr>
          <w:rFonts w:ascii="Arial" w:cs="Arial" w:eastAsia="Arial" w:hAnsi="Arial"/>
          <w:sz w:val="18"/>
          <w:szCs w:val="18"/>
          <w:color w:val="auto"/>
        </w:rPr>
        <w:t>” means the Common Stock and any other class or series of stock of the Corporation the terms of which expressly provide that it ranks junior to Designated Preferred Stock as to dividend rights and/or as to rights on liquidation, dissolution or winding up of the Corporation.</w:t>
      </w:r>
    </w:p>
    <w:p>
      <w:pPr>
        <w:spacing w:after="0" w:line="154" w:lineRule="exact"/>
        <w:rPr>
          <w:rFonts w:ascii="Arial" w:cs="Arial" w:eastAsia="Arial" w:hAnsi="Arial"/>
          <w:sz w:val="18"/>
          <w:szCs w:val="18"/>
          <w:color w:val="auto"/>
        </w:rPr>
      </w:pPr>
    </w:p>
    <w:p>
      <w:pPr>
        <w:ind w:left="640" w:hanging="259"/>
        <w:spacing w:after="0"/>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Amount</w:t>
      </w:r>
      <w:r>
        <w:rPr>
          <w:rFonts w:ascii="Arial" w:cs="Arial" w:eastAsia="Arial" w:hAnsi="Arial"/>
          <w:sz w:val="18"/>
          <w:szCs w:val="18"/>
          <w:color w:val="auto"/>
        </w:rPr>
        <w:t>” means $1,000.00 per share of Designated Preferred Stock.</w:t>
      </w:r>
    </w:p>
    <w:p>
      <w:pPr>
        <w:spacing w:after="0" w:line="184" w:lineRule="exact"/>
        <w:rPr>
          <w:rFonts w:ascii="Arial" w:cs="Arial" w:eastAsia="Arial" w:hAnsi="Arial"/>
          <w:sz w:val="18"/>
          <w:szCs w:val="18"/>
          <w:color w:val="auto"/>
        </w:rPr>
      </w:pPr>
    </w:p>
    <w:p>
      <w:pPr>
        <w:ind w:left="620" w:hanging="239"/>
        <w:spacing w:after="0"/>
        <w:tabs>
          <w:tab w:leader="none" w:pos="6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Amount</w:t>
      </w:r>
      <w:r>
        <w:rPr>
          <w:rFonts w:ascii="Arial" w:cs="Arial" w:eastAsia="Arial" w:hAnsi="Arial"/>
          <w:sz w:val="18"/>
          <w:szCs w:val="18"/>
          <w:color w:val="auto"/>
        </w:rPr>
        <w:t>” means $45,000,000.</w:t>
      </w:r>
    </w:p>
    <w:p>
      <w:pPr>
        <w:spacing w:after="0" w:line="184" w:lineRule="exact"/>
        <w:rPr>
          <w:rFonts w:ascii="Arial" w:cs="Arial" w:eastAsia="Arial" w:hAnsi="Arial"/>
          <w:sz w:val="18"/>
          <w:szCs w:val="18"/>
          <w:color w:val="auto"/>
        </w:rPr>
      </w:pPr>
    </w:p>
    <w:p>
      <w:pPr>
        <w:ind w:right="259" w:firstLine="381"/>
        <w:spacing w:after="0" w:line="257" w:lineRule="auto"/>
        <w:tabs>
          <w:tab w:leader="none" w:pos="61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Stock</w:t>
      </w:r>
      <w:r>
        <w:rPr>
          <w:rFonts w:ascii="Arial" w:cs="Arial" w:eastAsia="Arial" w:hAnsi="Arial"/>
          <w:sz w:val="18"/>
          <w:szCs w:val="18"/>
          <w:color w:val="auto"/>
        </w:rPr>
        <w:t>” means any class or series of stock of the Corporation (other than Designated Preferred Stock) the terms of which do not expressly provide that such class or series will rank senior or junior to Designated Preferred Stock as to dividend rights and/or as to rights on liquidation, dissolution or winding up of the Corporation (in each case without regard to whether dividends accrue cumulatively or non-cumulatively). Without limiting the foregoing, Parity Stock shall include the Corporation’s Series A Non-Cumulative Preferred Stock.</w:t>
      </w:r>
    </w:p>
    <w:p>
      <w:pPr>
        <w:spacing w:after="0" w:line="161" w:lineRule="exact"/>
        <w:rPr>
          <w:rFonts w:ascii="Arial" w:cs="Arial" w:eastAsia="Arial" w:hAnsi="Arial"/>
          <w:sz w:val="18"/>
          <w:szCs w:val="18"/>
          <w:color w:val="auto"/>
        </w:rPr>
      </w:pPr>
    </w:p>
    <w:p>
      <w:pPr>
        <w:ind w:left="640" w:hanging="259"/>
        <w:spacing w:after="0"/>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Date</w:t>
      </w:r>
      <w:r>
        <w:rPr>
          <w:rFonts w:ascii="Arial" w:cs="Arial" w:eastAsia="Arial" w:hAnsi="Arial"/>
          <w:sz w:val="18"/>
          <w:szCs w:val="18"/>
          <w:color w:val="auto"/>
        </w:rPr>
        <w:t>” means the Original Issue Date.</w:t>
      </w:r>
    </w:p>
    <w:p>
      <w:pPr>
        <w:spacing w:after="0" w:line="185" w:lineRule="exact"/>
        <w:rPr>
          <w:sz w:val="20"/>
          <w:szCs w:val="20"/>
          <w:color w:val="auto"/>
        </w:rPr>
      </w:pPr>
    </w:p>
    <w:p>
      <w:pPr>
        <w:ind w:right="359" w:firstLine="389"/>
        <w:spacing w:after="0" w:line="342" w:lineRule="auto"/>
        <w:rPr>
          <w:sz w:val="20"/>
          <w:szCs w:val="20"/>
          <w:color w:val="auto"/>
        </w:rPr>
      </w:pPr>
      <w:r>
        <w:rPr>
          <w:rFonts w:ascii="Arial" w:cs="Arial" w:eastAsia="Arial" w:hAnsi="Arial"/>
          <w:sz w:val="16"/>
          <w:szCs w:val="16"/>
          <w:color w:val="auto"/>
        </w:rPr>
        <w:t xml:space="preserve">Part 4. </w:t>
      </w:r>
      <w:r>
        <w:rPr>
          <w:rFonts w:ascii="Arial" w:cs="Arial" w:eastAsia="Arial" w:hAnsi="Arial"/>
          <w:sz w:val="16"/>
          <w:szCs w:val="16"/>
          <w:u w:val="single" w:color="auto"/>
          <w:color w:val="auto"/>
        </w:rPr>
        <w:t>Certain Voting Matters</w:t>
      </w:r>
      <w:r>
        <w:rPr>
          <w:rFonts w:ascii="Arial" w:cs="Arial" w:eastAsia="Arial" w:hAnsi="Arial"/>
          <w:sz w:val="16"/>
          <w:szCs w:val="16"/>
          <w:color w:val="auto"/>
        </w:rPr>
        <w:t>. Holders of shares of Designated Preferred Stock will be entitled to one vote for each such share on any matter on which holders of Designated Preferred Stock are entitled to vote, including any action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591820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162" w:name="page163"/>
    <w:bookmarkEnd w:id="162"/>
    <w:p>
      <w:pPr>
        <w:jc w:val="right"/>
        <w:ind w:right="159"/>
        <w:spacing w:after="0"/>
        <w:rPr>
          <w:sz w:val="20"/>
          <w:szCs w:val="20"/>
          <w:color w:val="auto"/>
        </w:rPr>
      </w:pPr>
      <w:r>
        <w:rPr>
          <w:rFonts w:ascii="Arial" w:cs="Arial" w:eastAsia="Arial" w:hAnsi="Arial"/>
          <w:sz w:val="18"/>
          <w:szCs w:val="18"/>
          <w:b w:val="1"/>
          <w:bCs w:val="1"/>
          <w:color w:val="auto"/>
        </w:rPr>
        <w:t>ANNEX A</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STANDARD PROVISIONS</w:t>
      </w:r>
    </w:p>
    <w:p>
      <w:pPr>
        <w:spacing w:after="0" w:line="189" w:lineRule="exact"/>
        <w:rPr>
          <w:sz w:val="20"/>
          <w:szCs w:val="20"/>
          <w:color w:val="auto"/>
        </w:rPr>
      </w:pPr>
    </w:p>
    <w:p>
      <w:pPr>
        <w:ind w:right="279" w:firstLine="389"/>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Matters</w:t>
      </w:r>
      <w:r>
        <w:rPr>
          <w:rFonts w:ascii="Arial" w:cs="Arial" w:eastAsia="Arial" w:hAnsi="Arial"/>
          <w:sz w:val="18"/>
          <w:szCs w:val="18"/>
          <w:color w:val="auto"/>
        </w:rPr>
        <w:t>. Each share of Designated Preferred Stock shall be identical in all respects to every other share of Designated Preferred Stock. The Designated Preferred Stock shall be perpetual, subject to the provisions of Section 5 of these Standard Provisions that form a part of the Certificate of Designations. The Designated Preferred Stock shall rank equally with Parity Stock and shall rank senior to Junior Stock with respect to the payment of dividends and the distribution of assets in the event of any dissolution, liquidation or winding up of the Corporation.</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Standard Definitions</w:t>
      </w:r>
      <w:r>
        <w:rPr>
          <w:rFonts w:ascii="Arial" w:cs="Arial" w:eastAsia="Arial" w:hAnsi="Arial"/>
          <w:sz w:val="18"/>
          <w:szCs w:val="18"/>
          <w:color w:val="auto"/>
        </w:rPr>
        <w:t>. As used herein with respect to Designated Preferred Stock:</w:t>
      </w:r>
    </w:p>
    <w:p>
      <w:pPr>
        <w:spacing w:after="0" w:line="198" w:lineRule="exact"/>
        <w:rPr>
          <w:sz w:val="20"/>
          <w:szCs w:val="20"/>
          <w:color w:val="auto"/>
        </w:rPr>
      </w:pPr>
    </w:p>
    <w:p>
      <w:pPr>
        <w:jc w:val="both"/>
        <w:ind w:right="399" w:firstLine="381"/>
        <w:spacing w:after="0" w:line="312" w:lineRule="auto"/>
        <w:tabs>
          <w:tab w:leader="none" w:pos="634" w:val="left"/>
        </w:tabs>
        <w:numPr>
          <w:ilvl w:val="0"/>
          <w:numId w:val="1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Dividend Rate</w:t>
      </w:r>
      <w:r>
        <w:rPr>
          <w:rFonts w:ascii="Arial" w:cs="Arial" w:eastAsia="Arial" w:hAnsi="Arial"/>
          <w:sz w:val="16"/>
          <w:szCs w:val="16"/>
          <w:color w:val="auto"/>
        </w:rPr>
        <w:t>” means (i) during the period from the Original Issue Date to, but excluding, the first day of the first Dividend Period commencing on or after the fifth anniversary of the Original Issue Date, 5% per annum and (ii) from and after the first day of the first Dividend Period commencing on or after the fifth anniversary of the Original Issue Date, 9% per annum.</w:t>
      </w:r>
    </w:p>
    <w:p>
      <w:pPr>
        <w:spacing w:after="0" w:line="106" w:lineRule="exact"/>
        <w:rPr>
          <w:rFonts w:ascii="Arial" w:cs="Arial" w:eastAsia="Arial" w:hAnsi="Arial"/>
          <w:sz w:val="16"/>
          <w:szCs w:val="16"/>
          <w:color w:val="auto"/>
        </w:rPr>
      </w:pPr>
    </w:p>
    <w:p>
      <w:pPr>
        <w:ind w:right="339" w:firstLine="381"/>
        <w:spacing w:after="0" w:line="342" w:lineRule="auto"/>
        <w:tabs>
          <w:tab w:leader="none" w:pos="644" w:val="left"/>
        </w:tabs>
        <w:numPr>
          <w:ilvl w:val="0"/>
          <w:numId w:val="1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Appropriate Federal Banking Agency</w:t>
      </w:r>
      <w:r>
        <w:rPr>
          <w:rFonts w:ascii="Arial" w:cs="Arial" w:eastAsia="Arial" w:hAnsi="Arial"/>
          <w:sz w:val="16"/>
          <w:szCs w:val="16"/>
          <w:color w:val="auto"/>
        </w:rPr>
        <w:t>” means the “appropriate Federal banking agency“ with respect to the Corporation as defined in Section 3(q) of the Federal Deposit Insurance Act (12 U.S.C. Section 1813(q)), or any successor provision.</w:t>
      </w:r>
    </w:p>
    <w:p>
      <w:pPr>
        <w:spacing w:after="0" w:line="83" w:lineRule="exact"/>
        <w:rPr>
          <w:rFonts w:ascii="Arial" w:cs="Arial" w:eastAsia="Arial" w:hAnsi="Arial"/>
          <w:sz w:val="16"/>
          <w:szCs w:val="16"/>
          <w:color w:val="auto"/>
        </w:rPr>
      </w:pPr>
    </w:p>
    <w:p>
      <w:pPr>
        <w:ind w:right="579" w:firstLine="381"/>
        <w:spacing w:after="0" w:line="277" w:lineRule="auto"/>
        <w:tabs>
          <w:tab w:leader="none" w:pos="63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means a merger, consolidation, statutory share exchange or similar transaction that requires the approval of the Corporation“s stockholders.</w:t>
      </w:r>
    </w:p>
    <w:p>
      <w:pPr>
        <w:spacing w:after="0" w:line="143" w:lineRule="exact"/>
        <w:rPr>
          <w:rFonts w:ascii="Arial" w:cs="Arial" w:eastAsia="Arial" w:hAnsi="Arial"/>
          <w:sz w:val="18"/>
          <w:szCs w:val="18"/>
          <w:color w:val="auto"/>
        </w:rPr>
      </w:pPr>
    </w:p>
    <w:p>
      <w:pPr>
        <w:ind w:right="239" w:firstLine="381"/>
        <w:spacing w:after="0" w:line="277" w:lineRule="auto"/>
        <w:tabs>
          <w:tab w:leader="none" w:pos="64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Saturday, Sunday and any day on which banking institutions in the State of New York generally are authorized or required by law or other governmental actions to close.</w:t>
      </w:r>
    </w:p>
    <w:p>
      <w:pPr>
        <w:spacing w:after="0" w:line="129" w:lineRule="exact"/>
        <w:rPr>
          <w:rFonts w:ascii="Arial" w:cs="Arial" w:eastAsia="Arial" w:hAnsi="Arial"/>
          <w:sz w:val="18"/>
          <w:szCs w:val="18"/>
          <w:color w:val="auto"/>
        </w:rPr>
      </w:pPr>
    </w:p>
    <w:p>
      <w:pPr>
        <w:ind w:left="620" w:hanging="239"/>
        <w:spacing w:after="0"/>
        <w:tabs>
          <w:tab w:leader="none" w:pos="6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”means the bylaws of the Corporation, as they may be amended from time to time.</w:t>
      </w:r>
    </w:p>
    <w:p>
      <w:pPr>
        <w:spacing w:after="0" w:line="184" w:lineRule="exact"/>
        <w:rPr>
          <w:rFonts w:ascii="Arial" w:cs="Arial" w:eastAsia="Arial" w:hAnsi="Arial"/>
          <w:sz w:val="18"/>
          <w:szCs w:val="18"/>
          <w:color w:val="auto"/>
        </w:rPr>
      </w:pPr>
    </w:p>
    <w:p>
      <w:pPr>
        <w:ind w:right="619" w:firstLine="381"/>
        <w:spacing w:after="0" w:line="308" w:lineRule="auto"/>
        <w:tabs>
          <w:tab w:leader="none" w:pos="614" w:val="left"/>
        </w:tabs>
        <w:numPr>
          <w:ilvl w:val="0"/>
          <w:numId w:val="1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Designations</w:t>
      </w:r>
      <w:r>
        <w:rPr>
          <w:rFonts w:ascii="Arial" w:cs="Arial" w:eastAsia="Arial" w:hAnsi="Arial"/>
          <w:sz w:val="17"/>
          <w:szCs w:val="17"/>
          <w:color w:val="auto"/>
        </w:rPr>
        <w:t>” means the Certificate of Designations or comparable instrument relating to the Designated Preferred Stock, of which these Standard Provisions form a part, as it may be amended from time to time.</w:t>
      </w:r>
    </w:p>
    <w:p>
      <w:pPr>
        <w:spacing w:after="0" w:line="119" w:lineRule="exact"/>
        <w:rPr>
          <w:rFonts w:ascii="Arial" w:cs="Arial" w:eastAsia="Arial" w:hAnsi="Arial"/>
          <w:sz w:val="17"/>
          <w:szCs w:val="17"/>
          <w:color w:val="auto"/>
        </w:rPr>
      </w:pPr>
    </w:p>
    <w:p>
      <w:pPr>
        <w:ind w:right="479" w:firstLine="381"/>
        <w:spacing w:after="0" w:line="277" w:lineRule="auto"/>
        <w:tabs>
          <w:tab w:leader="none" w:pos="64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xml:space="preserve"> means the Corporation“s certificate or articles of incorporation, articles of association, or similar organizational document.</w:t>
      </w:r>
    </w:p>
    <w:p>
      <w:pPr>
        <w:spacing w:after="0" w:line="129" w:lineRule="exact"/>
        <w:rPr>
          <w:rFonts w:ascii="Arial" w:cs="Arial" w:eastAsia="Arial" w:hAnsi="Arial"/>
          <w:sz w:val="18"/>
          <w:szCs w:val="18"/>
          <w:color w:val="auto"/>
        </w:rPr>
      </w:pPr>
    </w:p>
    <w:p>
      <w:pPr>
        <w:ind w:left="640" w:hanging="259"/>
        <w:spacing w:after="0"/>
        <w:tabs>
          <w:tab w:leader="none" w:pos="6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has the meaning set forth in Section 3(a).</w:t>
      </w:r>
    </w:p>
    <w:p>
      <w:pPr>
        <w:spacing w:after="0" w:line="184" w:lineRule="exact"/>
        <w:rPr>
          <w:rFonts w:ascii="Arial" w:cs="Arial" w:eastAsia="Arial" w:hAnsi="Arial"/>
          <w:sz w:val="18"/>
          <w:szCs w:val="18"/>
          <w:color w:val="auto"/>
        </w:rPr>
      </w:pPr>
    </w:p>
    <w:p>
      <w:pPr>
        <w:ind w:left="600" w:hanging="219"/>
        <w:spacing w:after="0"/>
        <w:tabs>
          <w:tab w:leader="none" w:pos="6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has the meaning set forth in Section 3(a).</w:t>
      </w:r>
    </w:p>
    <w:p>
      <w:pPr>
        <w:spacing w:after="0" w:line="198" w:lineRule="exact"/>
        <w:rPr>
          <w:rFonts w:ascii="Arial" w:cs="Arial" w:eastAsia="Arial" w:hAnsi="Arial"/>
          <w:sz w:val="18"/>
          <w:szCs w:val="18"/>
          <w:color w:val="auto"/>
        </w:rPr>
      </w:pPr>
    </w:p>
    <w:p>
      <w:pPr>
        <w:ind w:left="600" w:hanging="219"/>
        <w:spacing w:after="0"/>
        <w:tabs>
          <w:tab w:leader="none" w:pos="6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has the meaning set forth in Section 4(a).</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163" w:name="page164"/>
    <w:bookmarkEnd w:id="163"/>
    <w:p>
      <w:pPr>
        <w:ind w:left="640" w:hanging="259"/>
        <w:spacing w:after="0"/>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Date</w:t>
      </w:r>
      <w:r>
        <w:rPr>
          <w:rFonts w:ascii="Arial" w:cs="Arial" w:eastAsia="Arial" w:hAnsi="Arial"/>
          <w:sz w:val="18"/>
          <w:szCs w:val="18"/>
          <w:color w:val="auto"/>
        </w:rPr>
        <w:t>” means the date on which shares of Designated Preferred Stock are first issued.</w:t>
      </w:r>
    </w:p>
    <w:p>
      <w:pPr>
        <w:spacing w:after="0" w:line="198" w:lineRule="exact"/>
        <w:rPr>
          <w:rFonts w:ascii="Arial" w:cs="Arial" w:eastAsia="Arial" w:hAnsi="Arial"/>
          <w:sz w:val="18"/>
          <w:szCs w:val="18"/>
          <w:color w:val="auto"/>
        </w:rPr>
      </w:pPr>
    </w:p>
    <w:p>
      <w:pPr>
        <w:ind w:left="600" w:hanging="219"/>
        <w:spacing w:after="0"/>
        <w:tabs>
          <w:tab w:leader="none" w:pos="6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Director</w:t>
      </w:r>
      <w:r>
        <w:rPr>
          <w:rFonts w:ascii="Arial" w:cs="Arial" w:eastAsia="Arial" w:hAnsi="Arial"/>
          <w:sz w:val="18"/>
          <w:szCs w:val="18"/>
          <w:color w:val="auto"/>
        </w:rPr>
        <w:t>” has the meaning set forth in Section 7(b).</w:t>
      </w:r>
    </w:p>
    <w:p>
      <w:pPr>
        <w:spacing w:after="0" w:line="184" w:lineRule="exact"/>
        <w:rPr>
          <w:rFonts w:ascii="Arial" w:cs="Arial" w:eastAsia="Arial" w:hAnsi="Arial"/>
          <w:sz w:val="18"/>
          <w:szCs w:val="18"/>
          <w:color w:val="auto"/>
        </w:rPr>
      </w:pPr>
    </w:p>
    <w:p>
      <w:pPr>
        <w:ind w:left="680" w:hanging="299"/>
        <w:spacing w:after="0"/>
        <w:tabs>
          <w:tab w:leader="none" w:pos="68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Stock”</w:t>
      </w:r>
      <w:r>
        <w:rPr>
          <w:rFonts w:ascii="Arial" w:cs="Arial" w:eastAsia="Arial" w:hAnsi="Arial"/>
          <w:sz w:val="16"/>
          <w:szCs w:val="16"/>
          <w:color w:val="auto"/>
        </w:rPr>
        <w:t xml:space="preserve"> means any and all series of preferred stock of the Corporation, including the Designated Preferred Stock.</w:t>
      </w:r>
    </w:p>
    <w:p>
      <w:pPr>
        <w:spacing w:after="0" w:line="207" w:lineRule="exact"/>
        <w:rPr>
          <w:rFonts w:ascii="Arial" w:cs="Arial" w:eastAsia="Arial" w:hAnsi="Arial"/>
          <w:sz w:val="16"/>
          <w:szCs w:val="16"/>
          <w:color w:val="auto"/>
        </w:rPr>
      </w:pPr>
    </w:p>
    <w:p>
      <w:pPr>
        <w:ind w:right="219" w:firstLine="381"/>
        <w:spacing w:after="0" w:line="255" w:lineRule="auto"/>
        <w:tabs>
          <w:tab w:leader="none" w:pos="64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Offering</w:t>
      </w:r>
      <w:r>
        <w:rPr>
          <w:rFonts w:ascii="Arial" w:cs="Arial" w:eastAsia="Arial" w:hAnsi="Arial"/>
          <w:sz w:val="18"/>
          <w:szCs w:val="18"/>
          <w:color w:val="auto"/>
        </w:rPr>
        <w:t>” means the sale and issuance for cash by the Corporation to persons other than the Corporation or any of its subsidiaries after the Original Issue Date of shares of perpetual Preferred Stock, Common Stock or any combination of such stock, that, in each case, qualify as and may be included in Tier 1 capital of the Corporation at the time of issuance under the applicable risk-based capital guidelines of the Corporation’s Appropriate Federal Banking Agency (other than any such sales and issuances made pursuant to agreements or arrangements entered into, or pursuant to financing plans which were publicly announced, on or prior to October 13, 2008).</w:t>
      </w:r>
    </w:p>
    <w:p>
      <w:pPr>
        <w:spacing w:after="0" w:line="166" w:lineRule="exact"/>
        <w:rPr>
          <w:rFonts w:ascii="Arial" w:cs="Arial" w:eastAsia="Arial" w:hAnsi="Arial"/>
          <w:sz w:val="18"/>
          <w:szCs w:val="18"/>
          <w:color w:val="auto"/>
        </w:rPr>
      </w:pPr>
    </w:p>
    <w:p>
      <w:pPr>
        <w:ind w:left="640" w:hanging="259"/>
        <w:spacing w:after="0"/>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Dilution Amount</w:t>
      </w:r>
      <w:r>
        <w:rPr>
          <w:rFonts w:ascii="Arial" w:cs="Arial" w:eastAsia="Arial" w:hAnsi="Arial"/>
          <w:sz w:val="18"/>
          <w:szCs w:val="18"/>
          <w:color w:val="auto"/>
        </w:rPr>
        <w:t>” has the meaning set forth in Section 3(b).</w:t>
      </w:r>
    </w:p>
    <w:p>
      <w:pPr>
        <w:spacing w:after="0" w:line="184" w:lineRule="exact"/>
        <w:rPr>
          <w:rFonts w:ascii="Arial" w:cs="Arial" w:eastAsia="Arial" w:hAnsi="Arial"/>
          <w:sz w:val="18"/>
          <w:szCs w:val="18"/>
          <w:color w:val="auto"/>
        </w:rPr>
      </w:pPr>
    </w:p>
    <w:p>
      <w:pPr>
        <w:ind w:right="659" w:firstLine="381"/>
        <w:spacing w:after="0" w:line="277" w:lineRule="auto"/>
        <w:tabs>
          <w:tab w:leader="none" w:pos="64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Provisions</w:t>
      </w:r>
      <w:r>
        <w:rPr>
          <w:rFonts w:ascii="Arial" w:cs="Arial" w:eastAsia="Arial" w:hAnsi="Arial"/>
          <w:sz w:val="18"/>
          <w:szCs w:val="18"/>
          <w:color w:val="auto"/>
        </w:rPr>
        <w:t>” mean these Standard Provisions that form a part of the Certificate of Designations relating to the Designated Preferred Stock.</w:t>
      </w:r>
    </w:p>
    <w:p>
      <w:pPr>
        <w:spacing w:after="0" w:line="129" w:lineRule="exact"/>
        <w:rPr>
          <w:rFonts w:ascii="Arial" w:cs="Arial" w:eastAsia="Arial" w:hAnsi="Arial"/>
          <w:sz w:val="18"/>
          <w:szCs w:val="18"/>
          <w:color w:val="auto"/>
        </w:rPr>
      </w:pPr>
    </w:p>
    <w:p>
      <w:pPr>
        <w:ind w:left="640" w:hanging="259"/>
        <w:spacing w:after="0"/>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Preferred Stock”</w:t>
      </w:r>
      <w:r>
        <w:rPr>
          <w:rFonts w:ascii="Arial" w:cs="Arial" w:eastAsia="Arial" w:hAnsi="Arial"/>
          <w:sz w:val="18"/>
          <w:szCs w:val="18"/>
          <w:color w:val="auto"/>
        </w:rPr>
        <w:t xml:space="preserve"> has the meaning set forth in Section 5(a).</w:t>
      </w:r>
    </w:p>
    <w:p>
      <w:pPr>
        <w:spacing w:after="0" w:line="198" w:lineRule="exact"/>
        <w:rPr>
          <w:rFonts w:ascii="Arial" w:cs="Arial" w:eastAsia="Arial" w:hAnsi="Arial"/>
          <w:sz w:val="18"/>
          <w:szCs w:val="18"/>
          <w:color w:val="auto"/>
        </w:rPr>
      </w:pPr>
    </w:p>
    <w:p>
      <w:pPr>
        <w:jc w:val="both"/>
        <w:ind w:right="279" w:firstLine="381"/>
        <w:spacing w:after="0" w:line="312" w:lineRule="auto"/>
        <w:tabs>
          <w:tab w:leader="none" w:pos="61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Parity Stock</w:t>
      </w:r>
      <w:r>
        <w:rPr>
          <w:rFonts w:ascii="Arial" w:cs="Arial" w:eastAsia="Arial" w:hAnsi="Arial"/>
          <w:sz w:val="16"/>
          <w:szCs w:val="16"/>
          <w:color w:val="auto"/>
        </w:rPr>
        <w:t>” means, with regard to any matter as to which the holders of Designated Preferred Stock are entitled to vote as specified in Sections 7(a) and 7(b) of these Standard Provisions that form a part of the Certificate of Designations, any and all series of Parity Stock upon which like voting rights have been conferred and are exercisable with respect to such matter.</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Section 3. Dividends.</w:t>
      </w:r>
    </w:p>
    <w:p>
      <w:pPr>
        <w:spacing w:after="0" w:line="185" w:lineRule="exact"/>
        <w:rPr>
          <w:sz w:val="20"/>
          <w:szCs w:val="20"/>
          <w:color w:val="auto"/>
        </w:rPr>
      </w:pPr>
    </w:p>
    <w:p>
      <w:pPr>
        <w:ind w:right="179" w:firstLine="381"/>
        <w:spacing w:after="0" w:line="268" w:lineRule="auto"/>
        <w:tabs>
          <w:tab w:leader="none" w:pos="633"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Rate</w:t>
      </w:r>
      <w:r>
        <w:rPr>
          <w:rFonts w:ascii="Arial" w:cs="Arial" w:eastAsia="Arial" w:hAnsi="Arial"/>
          <w:sz w:val="17"/>
          <w:szCs w:val="17"/>
          <w:color w:val="auto"/>
        </w:rPr>
        <w:t>. Holders of Designated Preferred Stock shall be entitled to receive, on each share of Designated Preferred Stock if, as and when declared by the Board of Directors or any duly authorized committee of the Board of Directors, but only out of assets legally available therefor, cumulative cash dividends with respect to each Dividend Period (as defined below) at a rate per annum equal to the Applicable Dividend Rate on (i) the Liquidation Amount per share of Designated Preferred Stock and (ii) the amount of accrued and unpaid dividends for any prior Dividend Period on such share of Designated Preferred Stock, if any. Such dividends shall begin to accrue and be cumulative from the Original Issue Date, shall compound on each subsequent Dividend Payment Date (</w:t>
      </w:r>
      <w:r>
        <w:rPr>
          <w:rFonts w:ascii="Arial" w:cs="Arial" w:eastAsia="Arial" w:hAnsi="Arial"/>
          <w:sz w:val="17"/>
          <w:szCs w:val="17"/>
          <w:i w:val="1"/>
          <w:iCs w:val="1"/>
          <w:color w:val="auto"/>
        </w:rPr>
        <w:t>i.e.</w:t>
      </w:r>
      <w:r>
        <w:rPr>
          <w:rFonts w:ascii="Arial" w:cs="Arial" w:eastAsia="Arial" w:hAnsi="Arial"/>
          <w:sz w:val="17"/>
          <w:szCs w:val="17"/>
          <w:color w:val="auto"/>
        </w:rPr>
        <w:t>, no dividends shall accrue on other dividends unless and until the first Dividend Payment Date for such other dividends has passed without such other dividends having been paid on such date) and shall be payable quarterly in arrears on each Dividend Payment Date, commencing with the first such Dividend Payment Date to occur at least 20 calendar days after the Original Issue Date. In the event that any Dividend Payment Date would otherwise fall on a day that is not a Business Day, the dividend payment due on that date will be postponed to the next day that is a Business Day and no additional dividends will accrue as a result of that postponement. The period from and including any Dividend Payment Date to, but excluding, the next Dividend Payment Date is a “</w:t>
      </w:r>
      <w:r>
        <w:rPr>
          <w:rFonts w:ascii="Arial" w:cs="Arial" w:eastAsia="Arial" w:hAnsi="Arial"/>
          <w:sz w:val="17"/>
          <w:szCs w:val="17"/>
          <w:u w:val="single" w:color="auto"/>
          <w:color w:val="auto"/>
        </w:rPr>
        <w:t>Dividend Period</w:t>
      </w:r>
      <w:r>
        <w:rPr>
          <w:rFonts w:ascii="Arial" w:cs="Arial" w:eastAsia="Arial" w:hAnsi="Arial"/>
          <w:sz w:val="17"/>
          <w:szCs w:val="17"/>
          <w:color w:val="auto"/>
        </w:rPr>
        <w:t>,” provided that the initial Dividend Period shall be the period from and including the Original Issue Date to, but excluding, the next Dividend Payment Date.</w:t>
      </w:r>
    </w:p>
    <w:p>
      <w:pPr>
        <w:spacing w:after="0" w:line="200" w:lineRule="exact"/>
        <w:rPr>
          <w:sz w:val="20"/>
          <w:szCs w:val="20"/>
          <w:color w:val="auto"/>
        </w:rPr>
      </w:pPr>
    </w:p>
    <w:p>
      <w:pPr>
        <w:spacing w:after="0" w:line="35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64" w:name="page165"/>
    <w:bookmarkEnd w:id="164"/>
    <w:p>
      <w:pPr>
        <w:ind w:left="8" w:right="279" w:firstLine="389"/>
        <w:spacing w:after="0" w:line="259" w:lineRule="auto"/>
        <w:rPr>
          <w:sz w:val="20"/>
          <w:szCs w:val="20"/>
          <w:color w:val="auto"/>
        </w:rPr>
      </w:pPr>
      <w:r>
        <w:rPr>
          <w:rFonts w:ascii="Arial" w:cs="Arial" w:eastAsia="Arial" w:hAnsi="Arial"/>
          <w:sz w:val="18"/>
          <w:szCs w:val="18"/>
          <w:color w:val="auto"/>
        </w:rPr>
        <w:t>Dividends that are payable on Designated Preferred Stock in respect of any Dividend Period shall be computed on the basis of a 360-day year consisting of twelve 30-day months. The amount of dividends payable on Designated Preferred Stock on any date prior to the end of a Dividend Period, and for the initial Dividend Period, shall be computed on the basis of a 360-day year consisting of twelve 30-day months, and actual days elapsed over a 30-day month.</w:t>
      </w:r>
    </w:p>
    <w:p>
      <w:pPr>
        <w:spacing w:after="0" w:line="160" w:lineRule="exact"/>
        <w:rPr>
          <w:sz w:val="20"/>
          <w:szCs w:val="20"/>
          <w:color w:val="auto"/>
        </w:rPr>
      </w:pPr>
    </w:p>
    <w:p>
      <w:pPr>
        <w:ind w:left="8" w:right="219" w:firstLine="389"/>
        <w:spacing w:after="0" w:line="255" w:lineRule="auto"/>
        <w:rPr>
          <w:sz w:val="20"/>
          <w:szCs w:val="20"/>
          <w:color w:val="auto"/>
        </w:rPr>
      </w:pPr>
      <w:r>
        <w:rPr>
          <w:rFonts w:ascii="Arial" w:cs="Arial" w:eastAsia="Arial" w:hAnsi="Arial"/>
          <w:sz w:val="18"/>
          <w:szCs w:val="18"/>
          <w:color w:val="auto"/>
        </w:rPr>
        <w:t>Dividends that are payable on Designated Preferred Stock on any Dividend Payment Date will be payable to holders of record of Designated Preferred Stock as they appear on the stock register of the Corporation on the applicable record date, which shall be the 15th calendar day immediately preceding such Dividend Payment Date or such other record date fixed by the Board of Directors or any duly authorized committee of the Board of Directors that is not more than 60 nor less than 10 days prior to such Dividend Payment Date (each, a “</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Any such day that is a Dividend Record Date shall be a Dividend Record Date whether or not such day is a Business Day.</w:t>
      </w:r>
    </w:p>
    <w:p>
      <w:pPr>
        <w:spacing w:after="0" w:line="153" w:lineRule="exact"/>
        <w:rPr>
          <w:sz w:val="20"/>
          <w:szCs w:val="20"/>
          <w:color w:val="auto"/>
        </w:rPr>
      </w:pPr>
    </w:p>
    <w:p>
      <w:pPr>
        <w:ind w:left="8" w:right="179" w:firstLine="389"/>
        <w:spacing w:after="0" w:line="264" w:lineRule="auto"/>
        <w:rPr>
          <w:sz w:val="20"/>
          <w:szCs w:val="20"/>
          <w:color w:val="auto"/>
        </w:rPr>
      </w:pPr>
      <w:r>
        <w:rPr>
          <w:rFonts w:ascii="Arial" w:cs="Arial" w:eastAsia="Arial" w:hAnsi="Arial"/>
          <w:sz w:val="18"/>
          <w:szCs w:val="18"/>
          <w:color w:val="auto"/>
        </w:rPr>
        <w:t>Holders of Designated Preferred Stock shall not be entitled to any dividends, whether payable in cash, securities or other property, other than dividends (if any) declared and payable on Designated Preferred Stock as specified in this Section 3 (subject to the other provisions of the Certificate of Designations).</w:t>
      </w:r>
    </w:p>
    <w:p>
      <w:pPr>
        <w:spacing w:after="0" w:line="141" w:lineRule="exact"/>
        <w:rPr>
          <w:sz w:val="20"/>
          <w:szCs w:val="20"/>
          <w:color w:val="auto"/>
        </w:rPr>
      </w:pPr>
    </w:p>
    <w:p>
      <w:pPr>
        <w:ind w:left="8" w:right="199" w:firstLine="381"/>
        <w:spacing w:after="0" w:line="283" w:lineRule="auto"/>
        <w:tabs>
          <w:tab w:leader="none" w:pos="651" w:val="left"/>
        </w:tabs>
        <w:numPr>
          <w:ilvl w:val="1"/>
          <w:numId w:val="175"/>
        </w:numPr>
        <w:rPr>
          <w:rFonts w:ascii="Arial" w:cs="Arial" w:eastAsia="Arial" w:hAnsi="Arial"/>
          <w:sz w:val="16"/>
          <w:szCs w:val="16"/>
          <w:color w:val="auto"/>
        </w:rPr>
      </w:pPr>
      <w:r>
        <w:rPr>
          <w:rFonts w:ascii="Arial" w:cs="Arial" w:eastAsia="Arial" w:hAnsi="Arial"/>
          <w:sz w:val="16"/>
          <w:szCs w:val="16"/>
          <w:u w:val="single" w:color="auto"/>
          <w:color w:val="auto"/>
        </w:rPr>
        <w:t>Priority of Dividends</w:t>
      </w:r>
      <w:r>
        <w:rPr>
          <w:rFonts w:ascii="Arial" w:cs="Arial" w:eastAsia="Arial" w:hAnsi="Arial"/>
          <w:sz w:val="16"/>
          <w:szCs w:val="16"/>
          <w:color w:val="auto"/>
        </w:rPr>
        <w:t xml:space="preserve">. So long as any share of Designated Preferred Stock remains outstanding, no dividend or distribution shall be declared or paid on the Common Stock or any other shares of Junior Stock (other than dividends payable solely in shares of Common Stock) or Parity Stock, subject to the immediately following paragraph in the case of Parity Stock, and no Common Stock, Junior Stock or Parity Stock shall be, directly or indirectly, purchased, redeemed or otherwise acquired for consideration by the Corporation or any of its subsidiaries unless all accrued and unpaid dividends for all past Dividend Periods, including the latest completed Dividend Period (including, if applicable as provided in Section 3(a) above, dividends on such amount), on all outstanding shares of Designated Preferred Stock have been or are contemporaneously declared and paid in full (or have been declared and a sum sufficient for the payment thereof has been set aside for the benefit of the holders of shares of Designated Preferred Stock on the applicable record date). The foregoing limitation shall not apply to (i) redemptions, purchases or other acquisitions of shares of Common Stock or other Junior Stock in connection with the administration of any employee benefit plan in the ordinary course of business (including purchases to offset the Share Dilution Amount (as defined below) pursuant to a publicly announced repurchase plan) and consistent with past practice,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purchases to offset the Share Dilution Amount shall in no event exceed the Share Dilution Amount; (ii) purchases or other acquisitions by a broker-dealer subsidiary of the Corporation solely for the purpose of market-making, stabilization or customer facilitation transactions in Junior Stock or Parity Stock in the ordinary course of its business;</w:t>
      </w:r>
    </w:p>
    <w:p>
      <w:pPr>
        <w:spacing w:after="0" w:line="2" w:lineRule="exact"/>
        <w:rPr>
          <w:rFonts w:ascii="Arial" w:cs="Arial" w:eastAsia="Arial" w:hAnsi="Arial"/>
          <w:sz w:val="16"/>
          <w:szCs w:val="16"/>
          <w:color w:val="auto"/>
        </w:rPr>
      </w:pPr>
    </w:p>
    <w:p>
      <w:pPr>
        <w:ind w:left="8" w:right="179" w:hanging="8"/>
        <w:spacing w:after="0" w:line="285" w:lineRule="auto"/>
        <w:tabs>
          <w:tab w:leader="none" w:pos="323" w:val="left"/>
        </w:tabs>
        <w:numPr>
          <w:ilvl w:val="0"/>
          <w:numId w:val="176"/>
        </w:numPr>
        <w:rPr>
          <w:rFonts w:ascii="Arial" w:cs="Arial" w:eastAsia="Arial" w:hAnsi="Arial"/>
          <w:sz w:val="16"/>
          <w:szCs w:val="16"/>
          <w:color w:val="auto"/>
        </w:rPr>
      </w:pPr>
      <w:r>
        <w:rPr>
          <w:rFonts w:ascii="Arial" w:cs="Arial" w:eastAsia="Arial" w:hAnsi="Arial"/>
          <w:sz w:val="16"/>
          <w:szCs w:val="16"/>
          <w:color w:val="auto"/>
        </w:rPr>
        <w:t>purchases by a broker-dealer subsidiary of the Corporation of capital stock of the Corporation for resale pursuant to an offering by the Corporation of such capital stock underwritten by such broker-dealer subsidiary; (iv) any dividends or distributions of rights or Junior Stock in connection with a stockholders’ rights plan or any redemption or repurchase of rights pursuant to any stockholders’ rights plan; (v) the acquisition by the Corporation or any of its subsidiaries of record ownership in Junior Stock or Parity Stock for the beneficial ownership of any other persons (other than the Corporation or any of its subsidiaries), including as trustees or custodians; and (vi) the exchange or conversion of Junior Stock for or into other Junior Stock or of Parity Stock for or into other Parity Stock (with the same or lesser aggregate liquidation amount) or Junior Stock, in each case, solely to the extent required pursuant to binding contractual agreements entered into prior to the Signing Date or any subsequent agreement for the accelerated exercise, settlement or exchange thereof for Common Stock. “</w:t>
      </w:r>
      <w:r>
        <w:rPr>
          <w:rFonts w:ascii="Arial" w:cs="Arial" w:eastAsia="Arial" w:hAnsi="Arial"/>
          <w:sz w:val="16"/>
          <w:szCs w:val="16"/>
          <w:u w:val="single" w:color="auto"/>
          <w:color w:val="auto"/>
        </w:rPr>
        <w:t>Share Dilution Amount</w:t>
      </w:r>
      <w:r>
        <w:rPr>
          <w:rFonts w:ascii="Arial" w:cs="Arial" w:eastAsia="Arial" w:hAnsi="Arial"/>
          <w:sz w:val="16"/>
          <w:szCs w:val="16"/>
          <w:color w:val="auto"/>
        </w:rPr>
        <w:t>” means the increase in the number of diluted shares outstanding (determined in accordance with generally accepted accounting principles in the United States, and as measured from the date of the Corporation’s consolidated financial statements most recently filed with the Securities and Exchange Commission prior to the Original Issue Date) resulting from the grant, vesting or exercise of equity-based compensation to employees and equitably adjusted for any stock split, stock dividend, reverse stock split, reclassification or similar transaction.</w:t>
      </w:r>
    </w:p>
    <w:p>
      <w:pPr>
        <w:spacing w:after="0" w:line="200" w:lineRule="exact"/>
        <w:rPr>
          <w:sz w:val="20"/>
          <w:szCs w:val="20"/>
          <w:color w:val="auto"/>
        </w:rPr>
      </w:pPr>
    </w:p>
    <w:p>
      <w:pPr>
        <w:spacing w:after="0" w:line="335"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165" w:name="page166"/>
    <w:bookmarkEnd w:id="165"/>
    <w:p>
      <w:pPr>
        <w:ind w:right="179" w:firstLine="389"/>
        <w:spacing w:after="0" w:line="286" w:lineRule="auto"/>
        <w:rPr>
          <w:sz w:val="20"/>
          <w:szCs w:val="20"/>
          <w:color w:val="auto"/>
        </w:rPr>
      </w:pPr>
      <w:r>
        <w:rPr>
          <w:rFonts w:ascii="Arial" w:cs="Arial" w:eastAsia="Arial" w:hAnsi="Arial"/>
          <w:sz w:val="16"/>
          <w:szCs w:val="16"/>
          <w:color w:val="auto"/>
        </w:rPr>
        <w:t xml:space="preserve">When dividends are not paid (or declared and a sum sufficient for payment thereof set aside for the benefit of the holders thereof on the applicable record date) on any Dividend Payment Date (or, in the case of Parity Stock having dividend payment dates different from the Dividend Payment Dates, on a dividend payment date falling within a Dividend Period related to such Dividend Payment Date) in full upon Designated Preferred Stock and any shares of Parity Stock, all dividends declared on Designated Preferred Stock and all such Parity Stock and payable on such Dividend Payment Date (or, in the case of Parity Stock having dividend payment dates different from the Dividend Payment Dates, on a dividend payment date falling within the Dividend Period related to such Dividend Payment Date) shall be declared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so that the respective amounts of such dividends declared shall bear the same ratio to each other as all accrued and unpaid dividends per share on the shares of Designated Preferred Stock (including, if applicable as provided in Section 3(a) above, dividends on such amount) and all Parity Stock payable on such Dividend Payment Date (or, in the case of Parity Stock having dividend payment dates different from the Dividend Payment Dates, on a dividend payment date falling within the Dividend Period related to such Dividend Payment Date) (subject to their having been declared by the Board of Directors or a duly authorized committee of the Board of Directors out of legally available funds and including, in the case of Parity Stock that bears cumulative dividends, all accrued but unpaid dividends) bear to each other. If the Board of Directors or a duly authorized committee of the Board of Directors determines not to pay any dividend or a full dividend on a Dividend Payment Date, the Corporation will provide written notice to the holders of Designated Preferred Stock prior to such Dividend Payment Date.</w:t>
      </w:r>
    </w:p>
    <w:p>
      <w:pPr>
        <w:spacing w:after="0" w:line="142" w:lineRule="exact"/>
        <w:rPr>
          <w:sz w:val="20"/>
          <w:szCs w:val="20"/>
          <w:color w:val="auto"/>
        </w:rPr>
      </w:pPr>
    </w:p>
    <w:p>
      <w:pPr>
        <w:ind w:right="299" w:firstLine="389"/>
        <w:spacing w:after="0" w:line="279" w:lineRule="auto"/>
        <w:rPr>
          <w:sz w:val="20"/>
          <w:szCs w:val="20"/>
          <w:color w:val="auto"/>
        </w:rPr>
      </w:pPr>
      <w:r>
        <w:rPr>
          <w:rFonts w:ascii="Arial" w:cs="Arial" w:eastAsia="Arial" w:hAnsi="Arial"/>
          <w:sz w:val="17"/>
          <w:szCs w:val="17"/>
          <w:color w:val="auto"/>
        </w:rPr>
        <w:t>Subject to the foregoing, and not otherwise, such dividends (payable in cash, securities or other property) as may be determined by the Board of Directors or any duly authorized committee of the Board of Directors may be declared and paid on any securities, including Common Stock and other Junior Stock, from time to time out of any funds legally available for such payment, and holders of Designated Preferred Stock shall not be entitled to participate in any such dividends.</w:t>
      </w:r>
    </w:p>
    <w:p>
      <w:pPr>
        <w:spacing w:after="0" w:line="200" w:lineRule="exact"/>
        <w:rPr>
          <w:sz w:val="20"/>
          <w:szCs w:val="20"/>
          <w:color w:val="auto"/>
        </w:rPr>
      </w:pP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66" w:name="page167"/>
    <w:bookmarkEnd w:id="166"/>
    <w:p>
      <w:pPr>
        <w:ind w:left="3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198" w:lineRule="exact"/>
        <w:rPr>
          <w:sz w:val="20"/>
          <w:szCs w:val="20"/>
          <w:color w:val="auto"/>
        </w:rPr>
      </w:pPr>
    </w:p>
    <w:p>
      <w:pPr>
        <w:ind w:left="-20" w:right="179" w:firstLine="381"/>
        <w:spacing w:after="0" w:line="290" w:lineRule="auto"/>
        <w:tabs>
          <w:tab w:leader="none" w:pos="613"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Voluntary or Involuntary Liquidation</w:t>
      </w:r>
      <w:r>
        <w:rPr>
          <w:rFonts w:ascii="Arial" w:cs="Arial" w:eastAsia="Arial" w:hAnsi="Arial"/>
          <w:sz w:val="16"/>
          <w:szCs w:val="16"/>
          <w:color w:val="auto"/>
        </w:rPr>
        <w:t>. In the event of any liquidation, dissolution or winding up of the affairs of the Corporation, whether voluntary or involuntary, holders of Designated Preferred Stock shall be entitled to receive for each share of Designated Preferred Stock, out of the assets of the Corporation or proceeds thereof (whether capital or surplus) available for distribution to stockholders of the Corporation, subject to the rights of any creditors of the Corporation, before any distribution of such assets or proceeds is made to or set aside for the holders of Common Stock and any other stock of the Corporation ranking junior to Designated Preferred Stock as to such distribution, payment in full in an amount equal to the sum of (i) the Liquidation Amount per share and (ii) the amount of any accrued and unpaid dividends (including, if applicable as provided in Section 3(a) above, dividends on such amount), whether or not declared, to the date of payment (such amounts collectively, the “</w:t>
      </w:r>
      <w:r>
        <w:rPr>
          <w:rFonts w:ascii="Arial" w:cs="Arial" w:eastAsia="Arial" w:hAnsi="Arial"/>
          <w:sz w:val="16"/>
          <w:szCs w:val="16"/>
          <w:u w:val="single" w:color="auto"/>
          <w:color w:val="auto"/>
        </w:rPr>
        <w:t>Liquidation Preference”</w:t>
      </w:r>
      <w:r>
        <w:rPr>
          <w:rFonts w:ascii="Arial" w:cs="Arial" w:eastAsia="Arial" w:hAnsi="Arial"/>
          <w:sz w:val="16"/>
          <w:szCs w:val="16"/>
          <w:color w:val="auto"/>
        </w:rPr>
        <w:t>).</w:t>
      </w:r>
    </w:p>
    <w:p>
      <w:pPr>
        <w:spacing w:after="0" w:line="125" w:lineRule="exact"/>
        <w:rPr>
          <w:rFonts w:ascii="Arial" w:cs="Arial" w:eastAsia="Arial" w:hAnsi="Arial"/>
          <w:sz w:val="16"/>
          <w:szCs w:val="16"/>
          <w:color w:val="auto"/>
        </w:rPr>
      </w:pPr>
    </w:p>
    <w:p>
      <w:pPr>
        <w:ind w:left="-20" w:right="219" w:firstLine="381"/>
        <w:spacing w:after="0" w:line="257" w:lineRule="auto"/>
        <w:tabs>
          <w:tab w:leader="none" w:pos="624"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Partial Payment</w:t>
      </w:r>
      <w:r>
        <w:rPr>
          <w:rFonts w:ascii="Arial" w:cs="Arial" w:eastAsia="Arial" w:hAnsi="Arial"/>
          <w:sz w:val="18"/>
          <w:szCs w:val="18"/>
          <w:color w:val="auto"/>
        </w:rPr>
        <w:t>. If in any distribution described in Section 4(a) above the assets of the Corporation or proceeds thereof are not sufficient to pay in full the amounts payable with respect to all outstanding shares of Designated Preferred Stock and the corresponding amounts payable with respect of any other stock of the Corporation ranking equally with Designated Preferred Stock as to such distribution, holders of Designated Preferred Stock and the holders of such other stock shall share ratably in any such distribution in proportion to the full respective distributions to which they are entitled.</w:t>
      </w:r>
    </w:p>
    <w:p>
      <w:pPr>
        <w:spacing w:after="0" w:line="147" w:lineRule="exact"/>
        <w:rPr>
          <w:rFonts w:ascii="Arial" w:cs="Arial" w:eastAsia="Arial" w:hAnsi="Arial"/>
          <w:sz w:val="18"/>
          <w:szCs w:val="18"/>
          <w:color w:val="auto"/>
        </w:rPr>
      </w:pPr>
    </w:p>
    <w:p>
      <w:pPr>
        <w:jc w:val="both"/>
        <w:ind w:left="-20" w:right="179" w:firstLine="381"/>
        <w:spacing w:after="0" w:line="279" w:lineRule="auto"/>
        <w:tabs>
          <w:tab w:leader="none" w:pos="613"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Residual Distributions</w:t>
      </w:r>
      <w:r>
        <w:rPr>
          <w:rFonts w:ascii="Arial" w:cs="Arial" w:eastAsia="Arial" w:hAnsi="Arial"/>
          <w:sz w:val="17"/>
          <w:szCs w:val="17"/>
          <w:color w:val="auto"/>
        </w:rPr>
        <w:t>. If the Liquidation Preference has been paid in full to all holders of Designated Preferred Stock and the corresponding amounts payable with respect of any other stock of the Corporation ranking equally with Designated Preferred Stock as to such distribution has been paid in full, the holders of other stock of the Corporation shall be entitled to receive all remaining assets of the Corporation (or proceeds thereof) according to their respective rights and preferences.</w:t>
      </w:r>
    </w:p>
    <w:p>
      <w:pPr>
        <w:spacing w:after="0" w:line="144" w:lineRule="exact"/>
        <w:rPr>
          <w:rFonts w:ascii="Arial" w:cs="Arial" w:eastAsia="Arial" w:hAnsi="Arial"/>
          <w:sz w:val="17"/>
          <w:szCs w:val="17"/>
          <w:color w:val="auto"/>
        </w:rPr>
      </w:pPr>
    </w:p>
    <w:p>
      <w:pPr>
        <w:ind w:left="-20" w:right="279" w:firstLine="381"/>
        <w:spacing w:after="0" w:line="257" w:lineRule="auto"/>
        <w:tabs>
          <w:tab w:leader="none" w:pos="624"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Sale of Assets Not Liquidation</w:t>
      </w:r>
      <w:r>
        <w:rPr>
          <w:rFonts w:ascii="Arial" w:cs="Arial" w:eastAsia="Arial" w:hAnsi="Arial"/>
          <w:sz w:val="18"/>
          <w:szCs w:val="18"/>
          <w:color w:val="auto"/>
        </w:rPr>
        <w:t>. For purposes of this Section 4, the merger or consolidation of the Corporation with any other corporation or other entity, including a merger or consolidation in which the holders of Designated Preferred Stock receive cash, securities or other property for their shares, or the sale, lease or exchange (for cash, securities or other property) of all or substantially all of the assets of the Corporation, shall not constitute a liquidation, dissolution or winding up of the Corporation.</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85" w:lineRule="exact"/>
        <w:rPr>
          <w:sz w:val="20"/>
          <w:szCs w:val="20"/>
          <w:color w:val="auto"/>
        </w:rPr>
      </w:pPr>
    </w:p>
    <w:p>
      <w:pPr>
        <w:ind w:left="-20" w:right="179" w:firstLine="381"/>
        <w:spacing w:after="0" w:line="271" w:lineRule="auto"/>
        <w:tabs>
          <w:tab w:leader="none" w:pos="613"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Optional Redemption</w:t>
      </w:r>
      <w:r>
        <w:rPr>
          <w:rFonts w:ascii="Arial" w:cs="Arial" w:eastAsia="Arial" w:hAnsi="Arial"/>
          <w:sz w:val="17"/>
          <w:szCs w:val="17"/>
          <w:color w:val="auto"/>
        </w:rPr>
        <w:t>. Except as provided below, the Designated Preferred Stock may not be redeemed prior to the first Dividend Payment Date falling on or after the third anniversary of the Original Issue Date. On or after the first Dividend Payment Date falling on or after the third anniversary of the Original Issue Date, the Corporation, at its option, subject to the approval of the Appropriate Federal Banking Agency, may redeem, in whole or in part, at any time and from time to time, out of funds legally available therefor, the shares of Designated Preferred Stock at the time outstanding, upon notice given as provided in Section 5(c) below, at a redemption price equal to the sum of (i) the Liquidation Amount per share and (ii) except as otherwise provided below, any accrued and unpaid dividends (including, if applicable as provided in Section 3(a) above, dividends on such amount) (regardless of whether any dividends are actually declared) to, but excluding, the date fixed for redemption.</w:t>
      </w:r>
    </w:p>
    <w:p>
      <w:pPr>
        <w:spacing w:after="0" w:line="200" w:lineRule="exact"/>
        <w:rPr>
          <w:sz w:val="20"/>
          <w:szCs w:val="20"/>
          <w:color w:val="auto"/>
        </w:rPr>
      </w:pPr>
    </w:p>
    <w:p>
      <w:pPr>
        <w:spacing w:after="0" w:line="3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59"/>
          </w:cols>
          <w:pgMar w:left="600" w:top="935" w:right="1440" w:bottom="1440" w:gutter="0" w:footer="0" w:header="0"/>
        </w:sectPr>
      </w:pPr>
    </w:p>
    <w:bookmarkStart w:id="167" w:name="page168"/>
    <w:bookmarkEnd w:id="167"/>
    <w:p>
      <w:pPr>
        <w:ind w:right="239" w:firstLine="389"/>
        <w:spacing w:after="0" w:line="286" w:lineRule="auto"/>
        <w:rPr>
          <w:sz w:val="20"/>
          <w:szCs w:val="20"/>
          <w:color w:val="auto"/>
        </w:rPr>
      </w:pPr>
      <w:r>
        <w:rPr>
          <w:rFonts w:ascii="Arial" w:cs="Arial" w:eastAsia="Arial" w:hAnsi="Arial"/>
          <w:sz w:val="16"/>
          <w:szCs w:val="16"/>
          <w:color w:val="auto"/>
        </w:rPr>
        <w:t xml:space="preserve">Notwithstanding the foregoing, prior to the first Dividend Payment Date falling on or after the third anniversary of the Original Issue Date, the Corporation, at its option, subject to the approval of the Appropriate Federal Banking Agency, may redeem, in whole or in part, at any time and from time to time, the shares of Designated Preferred Stock at the time outstanding, upon notice given as provided in Section 5(c) below, at a redemption price equal to the sum of (i) the Liquidation Amount per share and (ii) except as otherwise provided below, any accrued and unpaid dividends (including, if applicable as provided in Section 3(a) above, dividends on such amount) (regardless of whether any dividends are actually declared) to, but excluding, the date fixed for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the Corporation (or any successor by Business Combination) has received aggregate gross proceeds of not less than the Minimum Amount (plus the “Minimum Amount” as defined in the relevant certificate of designations for each other outstanding series of preferred stock of such successor that was originally issued to the United States Department of the Treasury (the “</w:t>
      </w:r>
      <w:r>
        <w:rPr>
          <w:rFonts w:ascii="Arial" w:cs="Arial" w:eastAsia="Arial" w:hAnsi="Arial"/>
          <w:sz w:val="16"/>
          <w:szCs w:val="16"/>
          <w:u w:val="single" w:color="auto"/>
          <w:color w:val="auto"/>
        </w:rPr>
        <w:t>Successor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Preferred Stock”</w:t>
      </w:r>
      <w:r>
        <w:rPr>
          <w:rFonts w:ascii="Arial" w:cs="Arial" w:eastAsia="Arial" w:hAnsi="Arial"/>
          <w:sz w:val="16"/>
          <w:szCs w:val="16"/>
          <w:color w:val="auto"/>
        </w:rPr>
        <w:t>) in connection with the Troubled Asset Relief Program Capital Purchase Program) from one or more Qualified Equity Offerings (including Qualified Equity Offerings of such successor), and (y) the aggregate redemption price of the Designated Preferred Stock (and any Successor Preferred Stock) redeemed pursuant to this paragraph may not exceed the aggregate net cash proceeds received by the Corporation (or any successor by Business Combination) from such Qualified Equity Offerings (including Qualified Equity Offerings of such successor).</w:t>
      </w:r>
    </w:p>
    <w:p>
      <w:pPr>
        <w:spacing w:after="0" w:line="145" w:lineRule="exact"/>
        <w:rPr>
          <w:sz w:val="20"/>
          <w:szCs w:val="20"/>
          <w:color w:val="auto"/>
        </w:rPr>
      </w:pPr>
    </w:p>
    <w:p>
      <w:pPr>
        <w:jc w:val="both"/>
        <w:ind w:right="179" w:firstLine="389"/>
        <w:spacing w:after="0" w:line="297" w:lineRule="auto"/>
        <w:rPr>
          <w:sz w:val="20"/>
          <w:szCs w:val="20"/>
          <w:color w:val="auto"/>
        </w:rPr>
      </w:pPr>
      <w:r>
        <w:rPr>
          <w:rFonts w:ascii="Arial" w:cs="Arial" w:eastAsia="Arial" w:hAnsi="Arial"/>
          <w:sz w:val="16"/>
          <w:szCs w:val="16"/>
          <w:color w:val="auto"/>
        </w:rPr>
        <w:t>The redemption price for any shares of Designated Preferred Stock shall be payable on the redemption date to the holder of such shares against surrender of the certificate(s) evidencing such shares to the Corporation or its agent. Any declared but unpaid dividends payable on a redemption date that occurs subsequent to the Dividend Record Date for a Dividend Period shall not be paid to the holder entitled to receive the redemption price on the redemption date, but rather shall be paid to the holder of record of the redeemed shares on such Dividend Record Date relating to the Dividend Payment Date as provided in Section 3 above.</w:t>
      </w:r>
    </w:p>
    <w:p>
      <w:pPr>
        <w:spacing w:after="0" w:line="118" w:lineRule="exact"/>
        <w:rPr>
          <w:sz w:val="20"/>
          <w:szCs w:val="20"/>
          <w:color w:val="auto"/>
        </w:rPr>
      </w:pPr>
    </w:p>
    <w:p>
      <w:pPr>
        <w:ind w:right="459" w:firstLine="381"/>
        <w:spacing w:after="0" w:line="264" w:lineRule="auto"/>
        <w:tabs>
          <w:tab w:leader="none" w:pos="644"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No Sinking Fund</w:t>
      </w:r>
      <w:r>
        <w:rPr>
          <w:rFonts w:ascii="Arial" w:cs="Arial" w:eastAsia="Arial" w:hAnsi="Arial"/>
          <w:sz w:val="18"/>
          <w:szCs w:val="18"/>
          <w:color w:val="auto"/>
        </w:rPr>
        <w:t>. The Designated Preferred Stock will not be subject to any mandatory redemption, sinking fund or other similar provisions. Holders of Designated Preferred Stock will have no right to require redemption or repurchase of any shares of Designated Preferred Stock.</w:t>
      </w:r>
    </w:p>
    <w:p>
      <w:pPr>
        <w:spacing w:after="0" w:line="140" w:lineRule="exact"/>
        <w:rPr>
          <w:rFonts w:ascii="Arial" w:cs="Arial" w:eastAsia="Arial" w:hAnsi="Arial"/>
          <w:sz w:val="18"/>
          <w:szCs w:val="18"/>
          <w:color w:val="auto"/>
        </w:rPr>
      </w:pPr>
    </w:p>
    <w:p>
      <w:pPr>
        <w:ind w:right="159" w:firstLine="381"/>
        <w:spacing w:after="0" w:line="287" w:lineRule="auto"/>
        <w:tabs>
          <w:tab w:leader="none" w:pos="633"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Notice of Redemption</w:t>
      </w:r>
      <w:r>
        <w:rPr>
          <w:rFonts w:ascii="Arial" w:cs="Arial" w:eastAsia="Arial" w:hAnsi="Arial"/>
          <w:sz w:val="16"/>
          <w:szCs w:val="16"/>
          <w:color w:val="auto"/>
        </w:rPr>
        <w:t>. Notice of every redemption of shares of Designated Preferred Stock shall be given by first class mail, postage prepaid, addressed to the holders of record of the shares to be redeemed at their respective last addresses appearing on the books of the Corporation. Such mailing shall be at least 30 days and not more than 60 days before the date fixed for redemption. Any notice mailed as provided in this Subsection shall be conclusively presumed to have been duly given, whether or not the holder receives such notice, but failure duly to give such notice by mail, or any defect in such notice or in the mailing thereof, to any holder of shares of Designated Preferred Stock designated for redemption shall not affect the validity of the proceedings for the redemption of any other shares of Designated Preferred Stock. Notwithstanding the foregoing, if shares of Designated Preferred Stock are issued in book-entry form through The Depository Trust Corporation or any other similar facility, notice of redemption may be given to the holders of Designated Preferred Stock at such time and in any manner permitted by such facility. Each notice of redemption given to a holder shall state: (1) the redemption date; (2) the number of shares of Designated Preferred Stock to be redeemed and, if less than all the shares held by such holder are to be redeemed, the number of such shares to be redeemed from such holder; (3) the redemption price; and (4) the place or places where certificates for such shares are to be surrendered for payment of the redemption price.</w:t>
      </w:r>
    </w:p>
    <w:p>
      <w:pPr>
        <w:spacing w:after="0" w:line="200" w:lineRule="exact"/>
        <w:rPr>
          <w:sz w:val="20"/>
          <w:szCs w:val="20"/>
          <w:color w:val="auto"/>
        </w:rPr>
      </w:pPr>
    </w:p>
    <w:p>
      <w:pPr>
        <w:spacing w:after="0" w:line="3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68" w:name="page169"/>
    <w:bookmarkEnd w:id="168"/>
    <w:p>
      <w:pPr>
        <w:ind w:right="159" w:firstLine="381"/>
        <w:spacing w:after="0" w:line="293" w:lineRule="auto"/>
        <w:tabs>
          <w:tab w:leader="none" w:pos="644"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Partial Redemption</w:t>
      </w:r>
      <w:r>
        <w:rPr>
          <w:rFonts w:ascii="Arial" w:cs="Arial" w:eastAsia="Arial" w:hAnsi="Arial"/>
          <w:sz w:val="16"/>
          <w:szCs w:val="16"/>
          <w:color w:val="auto"/>
        </w:rPr>
        <w:t xml:space="preserve">. In case of any redemption of part of the shares of Designated Preferred Stock at the time outstanding, the shares to be redeemed shall be selected either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or in such other manner as the Board of Directors or a duly authorized committee thereof may determine to be fair and equitable. Subject to the provisions hereof, the Board of Directors or a duly authorized committee thereof shall have full power and authority to prescribe the terms and conditions upon which shares of Designated Preferred Stock shall be redeemed from time to time. If fewer than all the shares represented by any certificate are redeemed, a new certificate shall be issued representing the unredeemed shares without charge to the holder thereof.</w:t>
      </w:r>
    </w:p>
    <w:p>
      <w:pPr>
        <w:spacing w:after="0" w:line="137" w:lineRule="exact"/>
        <w:rPr>
          <w:rFonts w:ascii="Arial" w:cs="Arial" w:eastAsia="Arial" w:hAnsi="Arial"/>
          <w:sz w:val="16"/>
          <w:szCs w:val="16"/>
          <w:color w:val="auto"/>
        </w:rPr>
      </w:pPr>
    </w:p>
    <w:p>
      <w:pPr>
        <w:ind w:right="199" w:firstLine="381"/>
        <w:spacing w:after="0" w:line="287" w:lineRule="auto"/>
        <w:tabs>
          <w:tab w:leader="none" w:pos="633"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Effectiveness of Redemption</w:t>
      </w:r>
      <w:r>
        <w:rPr>
          <w:rFonts w:ascii="Arial" w:cs="Arial" w:eastAsia="Arial" w:hAnsi="Arial"/>
          <w:sz w:val="16"/>
          <w:szCs w:val="16"/>
          <w:color w:val="auto"/>
        </w:rPr>
        <w:t xml:space="preserve">. If notice of redemption has been duly given and if on or before the redemption date specified in the notice all funds necessary for the redemption have been deposited by the Corporation, in trust for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benefit of the holders of the shares called for redemption, with a bank or trust company doing business in the Borough of Manhattan, The City of New York, and having a capital and surplus of at least $500 million and selected by the Board of Directors,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law, be released to the Corporation, after which time the holders of the shares so called for redemption shall look only to the Corporation for payment of the redemption price of such shares.</w:t>
      </w:r>
    </w:p>
    <w:p>
      <w:pPr>
        <w:spacing w:after="0" w:line="132" w:lineRule="exact"/>
        <w:rPr>
          <w:rFonts w:ascii="Arial" w:cs="Arial" w:eastAsia="Arial" w:hAnsi="Arial"/>
          <w:sz w:val="16"/>
          <w:szCs w:val="16"/>
          <w:color w:val="auto"/>
        </w:rPr>
      </w:pPr>
    </w:p>
    <w:p>
      <w:pPr>
        <w:ind w:right="399" w:firstLine="381"/>
        <w:spacing w:after="0" w:line="312" w:lineRule="auto"/>
        <w:tabs>
          <w:tab w:leader="none" w:pos="614"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Status of Redeemed Shares</w:t>
      </w:r>
      <w:r>
        <w:rPr>
          <w:rFonts w:ascii="Arial" w:cs="Arial" w:eastAsia="Arial" w:hAnsi="Arial"/>
          <w:sz w:val="16"/>
          <w:szCs w:val="16"/>
          <w:color w:val="auto"/>
        </w:rPr>
        <w:t>. Shares of Designated Preferred Stock that are redeemed, repurchased or otherwise acquired by the Corporation shall revert to authorized but unissued shares of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cancelled shares of Designated Preferred Stock may be reissued only as shares of any series of Preferred Stock other than Designated Preferred Stock).</w:t>
      </w:r>
    </w:p>
    <w:p>
      <w:pPr>
        <w:spacing w:after="0" w:line="106" w:lineRule="exact"/>
        <w:rPr>
          <w:sz w:val="20"/>
          <w:szCs w:val="20"/>
          <w:color w:val="auto"/>
        </w:rPr>
      </w:pPr>
    </w:p>
    <w:p>
      <w:pPr>
        <w:ind w:right="259" w:firstLine="389"/>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Conversion</w:t>
      </w:r>
      <w:r>
        <w:rPr>
          <w:rFonts w:ascii="Arial" w:cs="Arial" w:eastAsia="Arial" w:hAnsi="Arial"/>
          <w:sz w:val="18"/>
          <w:szCs w:val="18"/>
          <w:color w:val="auto"/>
        </w:rPr>
        <w:t>. Holders of Designated Preferred Stock shares shall have no right to exchange or convert such shares into any other securities.</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85" w:lineRule="exact"/>
        <w:rPr>
          <w:sz w:val="20"/>
          <w:szCs w:val="20"/>
          <w:color w:val="auto"/>
        </w:rPr>
      </w:pPr>
    </w:p>
    <w:p>
      <w:pPr>
        <w:ind w:right="239" w:firstLine="381"/>
        <w:spacing w:after="0" w:line="277" w:lineRule="auto"/>
        <w:tabs>
          <w:tab w:leader="none" w:pos="633"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holders of Designated Preferred Stock shall not have any voting rights except as set forth below or as otherwise from time to time required by law.</w:t>
      </w:r>
    </w:p>
    <w:p>
      <w:pPr>
        <w:spacing w:after="0" w:line="200" w:lineRule="exact"/>
        <w:rPr>
          <w:sz w:val="20"/>
          <w:szCs w:val="20"/>
          <w:color w:val="auto"/>
        </w:rPr>
      </w:pPr>
    </w:p>
    <w:p>
      <w:pPr>
        <w:spacing w:after="0" w:line="3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69" w:name="page170"/>
    <w:bookmarkEnd w:id="169"/>
    <w:p>
      <w:pPr>
        <w:ind w:left="-20" w:right="179" w:firstLine="381"/>
        <w:spacing w:after="0" w:line="284" w:lineRule="auto"/>
        <w:tabs>
          <w:tab w:leader="none" w:pos="624"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Preferred Stock Directors</w:t>
      </w:r>
      <w:r>
        <w:rPr>
          <w:rFonts w:ascii="Arial" w:cs="Arial" w:eastAsia="Arial" w:hAnsi="Arial"/>
          <w:sz w:val="16"/>
          <w:szCs w:val="16"/>
          <w:color w:val="auto"/>
        </w:rPr>
        <w:t>. Whenever, at any time or times, dividends payable on the shares of Designated Preferred Stock have not been paid for an aggregate of six quarterly Dividend Periods or more, whether or not consecutive, the authorized number of directors of the Corporation shall automatically be increased by two and the holders of the Designated Preferred Stock shall have the right, with holders of shares of any one or more other classes or series of Voting Parity Stock outstanding at the time, voting together as a class, to elect two directors (hereinafter the “</w:t>
      </w:r>
      <w:r>
        <w:rPr>
          <w:rFonts w:ascii="Arial" w:cs="Arial" w:eastAsia="Arial" w:hAnsi="Arial"/>
          <w:sz w:val="16"/>
          <w:szCs w:val="16"/>
          <w:u w:val="single" w:color="auto"/>
          <w:color w:val="auto"/>
        </w:rPr>
        <w:t>Preferred Directors</w:t>
      </w:r>
      <w:r>
        <w:rPr>
          <w:rFonts w:ascii="Arial" w:cs="Arial" w:eastAsia="Arial" w:hAnsi="Arial"/>
          <w:sz w:val="16"/>
          <w:szCs w:val="16"/>
          <w:color w:val="auto"/>
        </w:rPr>
        <w:t>” and each a “</w:t>
      </w:r>
      <w:r>
        <w:rPr>
          <w:rFonts w:ascii="Arial" w:cs="Arial" w:eastAsia="Arial" w:hAnsi="Arial"/>
          <w:sz w:val="16"/>
          <w:szCs w:val="16"/>
          <w:u w:val="single" w:color="auto"/>
          <w:color w:val="auto"/>
        </w:rPr>
        <w:t>Preferred Director”</w:t>
      </w:r>
      <w:r>
        <w:rPr>
          <w:rFonts w:ascii="Arial" w:cs="Arial" w:eastAsia="Arial" w:hAnsi="Arial"/>
          <w:sz w:val="16"/>
          <w:szCs w:val="16"/>
          <w:color w:val="auto"/>
        </w:rPr>
        <w:t xml:space="preserve">) to fill such newly created directorships at the Corporation’s next annual meeting of stockholders (or at a special meeting called for that purpose prior to such next annual meeting) and at each subsequent annual meeting of stockholders until all accrued and unpaid dividends for all past Dividend Periods, including the latest completed Dividend Period (including, if applicable as provided in Section 3(a) above, dividends on such amount), on all outstanding shares of Designated Preferred Stock have been declared and paid in full at which time such right shall terminate with respect to the Designated Preferred Stock, except as herein or by law expressly provided, subject to revesting in the event of each and every subsequent default of the character above mentioned;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shall be a qualification for election for any Preferred Director that the election of such Preferred Director shall not cause the Corporation to violate any corporate governance requirements of any securities exchange or other trading facility on which securities of the Corporation may then be listed or traded that listed or traded companies must have a majority of independent directors. Upon any termination of the right of the holders of shares of Designated Preferred Stock and Voting Parity Stock as a class to vote for directors as provided above, the Preferred Directors shall cease to be qualified as directors, the term of office of all Preferred Directors then in office shall terminate immediately and the authorized number of directors shall be reduced by the number of Preferred Directors elected pursuant hereto. Any Preferred Director may be removed at any time, with or without cause, and any vacancy created thereby may be filled, only by the affirmative vote of the holders a majority of the shares of Designated Preferred Stock at the time outstanding voting separately as a class together with the holders of shares of Voting Parity Stock, to the extent the voting rights of such holders described above are then exercisable. If the office of any Preferred Director becomes vacant for any reason other than removal from office as aforesaid, the remaining Preferred Director may choose a successor who shall hold office for the unexpired term in respect of which such vacancy occurred.</w:t>
      </w:r>
    </w:p>
    <w:p>
      <w:pPr>
        <w:spacing w:after="0" w:line="369" w:lineRule="exact"/>
        <w:rPr>
          <w:rFonts w:ascii="Arial" w:cs="Arial" w:eastAsia="Arial" w:hAnsi="Arial"/>
          <w:sz w:val="16"/>
          <w:szCs w:val="16"/>
          <w:color w:val="auto"/>
        </w:rPr>
      </w:pPr>
    </w:p>
    <w:p>
      <w:pPr>
        <w:jc w:val="both"/>
        <w:ind w:left="-20" w:right="219" w:firstLine="381"/>
        <w:spacing w:after="0" w:line="302" w:lineRule="auto"/>
        <w:tabs>
          <w:tab w:leader="none" w:pos="613"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Class Voting Rights as to Particular Matters</w:t>
      </w:r>
      <w:r>
        <w:rPr>
          <w:rFonts w:ascii="Arial" w:cs="Arial" w:eastAsia="Arial" w:hAnsi="Arial"/>
          <w:sz w:val="16"/>
          <w:szCs w:val="16"/>
          <w:color w:val="auto"/>
        </w:rPr>
        <w:t>. So long as any shares of Designated Preferred Stock are outstanding, in addition to any other vote or consent of stockholders required by law or by the Charter, the vote or consent of the holders of at least 66 2/3% of the shares of Designated Preferred Stock at the time outstanding, voting as a separate class, given in person or by proxy, either in writing without a meeting or by vote at any meeting called for the purpose, shall be necessary for effecting or validating:</w:t>
      </w:r>
    </w:p>
    <w:p>
      <w:pPr>
        <w:spacing w:after="0" w:line="114" w:lineRule="exact"/>
        <w:rPr>
          <w:sz w:val="20"/>
          <w:szCs w:val="20"/>
          <w:color w:val="auto"/>
        </w:rPr>
      </w:pPr>
    </w:p>
    <w:p>
      <w:pPr>
        <w:ind w:left="-20" w:right="219" w:firstLine="381"/>
        <w:spacing w:after="0" w:line="257" w:lineRule="auto"/>
        <w:tabs>
          <w:tab w:leader="none" w:pos="584"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Authorization of Senior Stock</w:t>
      </w:r>
      <w:r>
        <w:rPr>
          <w:rFonts w:ascii="Arial" w:cs="Arial" w:eastAsia="Arial" w:hAnsi="Arial"/>
          <w:sz w:val="18"/>
          <w:szCs w:val="18"/>
          <w:color w:val="auto"/>
        </w:rPr>
        <w:t>. Any amendment or alteration of the Certificate of Designations for the Designated Preferred Stock or the Charter to authorize or create or increase the authorized amount of, or any issuance of, any shares of, or any securities convertible into or exchangeable or exercisable for shares of, any class or series of capital stock of the Corporation ranking senior to Designated Preferred Stock with respect to either or both the payment of dividends and/or the distribution of assets on any liquidation, dissolution or winding up of the Corporation;</w:t>
      </w:r>
    </w:p>
    <w:p>
      <w:pPr>
        <w:spacing w:after="0" w:line="200" w:lineRule="exact"/>
        <w:rPr>
          <w:sz w:val="20"/>
          <w:szCs w:val="20"/>
          <w:color w:val="auto"/>
        </w:rPr>
      </w:pPr>
    </w:p>
    <w:p>
      <w:pPr>
        <w:spacing w:after="0" w:line="35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149860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59"/>
          </w:cols>
          <w:pgMar w:left="600" w:top="936" w:right="1440" w:bottom="1440" w:gutter="0" w:footer="0" w:header="0"/>
        </w:sectPr>
      </w:pPr>
    </w:p>
    <w:bookmarkStart w:id="170" w:name="page171"/>
    <w:bookmarkEnd w:id="170"/>
    <w:p>
      <w:pPr>
        <w:ind w:right="279" w:firstLine="381"/>
        <w:spacing w:after="0" w:line="279" w:lineRule="auto"/>
        <w:tabs>
          <w:tab w:leader="none" w:pos="654"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Amendment of Designated Preferred Stock</w:t>
      </w:r>
      <w:r>
        <w:rPr>
          <w:rFonts w:ascii="Arial" w:cs="Arial" w:eastAsia="Arial" w:hAnsi="Arial"/>
          <w:sz w:val="17"/>
          <w:szCs w:val="17"/>
          <w:color w:val="auto"/>
        </w:rPr>
        <w:t>. Any amendment, alteration or repeal of any provision of the Certificate of Designations for the Designated Preferred Stock or the Charter (including, unless no vote on such merger or consolidation is required by Section 7(c)(iii) below, any amendment, alteration or repeal by means of a merger, consolidation or otherwise) so as to adversely affect the rights, preferences, privileges or voting powers of the Designated Preferred Stock; or</w:t>
      </w:r>
    </w:p>
    <w:p>
      <w:pPr>
        <w:spacing w:after="0" w:line="144" w:lineRule="exact"/>
        <w:rPr>
          <w:rFonts w:ascii="Arial" w:cs="Arial" w:eastAsia="Arial" w:hAnsi="Arial"/>
          <w:sz w:val="17"/>
          <w:szCs w:val="17"/>
          <w:color w:val="auto"/>
        </w:rPr>
      </w:pPr>
    </w:p>
    <w:p>
      <w:pPr>
        <w:ind w:right="259" w:firstLine="381"/>
        <w:spacing w:after="0" w:line="270" w:lineRule="auto"/>
        <w:tabs>
          <w:tab w:leader="none" w:pos="704"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Share Exchanges, Reclassifications, Mergers and Consolidations</w:t>
      </w:r>
      <w:r>
        <w:rPr>
          <w:rFonts w:ascii="Arial" w:cs="Arial" w:eastAsia="Arial" w:hAnsi="Arial"/>
          <w:sz w:val="17"/>
          <w:szCs w:val="17"/>
          <w:color w:val="auto"/>
        </w:rPr>
        <w:t>. Any consummation of a binding share exchange or reclassification involving the Designated Preferred Stock, or of a merger or consolidation of the Corporation with another corporation or other entity, unless in each case (x) the shares of Designated Preferred Stock remain outstanding or, in the case of any such merger or consolidation with respect to which the Corporation is not the surviving or resulting entity, are converted into or exchanged for preference securities of the surviving or resulting entity or its ultimate parent, and (y) such shares remaining outstanding or such preference securities, as the case may be, have such rights, preferences, privileges and voting powers, and limitations and restrictions thereof, taken as a whole, as are not materially less favorable to the holders thereof than the rights, preferences, privileges and voting powers, and limitations and restrictions thereof, of Designated Preferred Stock immediately prior to such consummation, taken as a whole;</w:t>
      </w:r>
    </w:p>
    <w:p>
      <w:pPr>
        <w:spacing w:after="0" w:line="141" w:lineRule="exact"/>
        <w:rPr>
          <w:sz w:val="20"/>
          <w:szCs w:val="20"/>
          <w:color w:val="auto"/>
        </w:rPr>
      </w:pPr>
    </w:p>
    <w:p>
      <w:pPr>
        <w:ind w:right="239"/>
        <w:spacing w:after="0" w:line="270"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for all purposes of this Section 7(c), any increase in the amount of the authorized Preferred Stock,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any increase in the authorized amount of Designated Preferred Stock necessary to satisfy preemptive or similar rights granted by the Corporation to other persons prior to the Signing Date, or the creation and issuance, or an increase in the authorized or issued amount, whether pursuant to preemptive or similar rights or otherwise, of any other series of Preferred Stock, or any securities convertible into or exchangeable or exercisable for any other series of Preferred Stock, ranking equally with and/or junior to Designated Preferred Stock with respect to the payment of dividends (whether such dividends are cumulative or non-cumulative) and the distribution of assets upon liquidation, dissolution or winding up of the Corporation will not be deemed to adversely affect the rights, preferences, privileges or voting powers, and shall not require the affirmative vote or consent of, the holders of outstanding shares of the Designated Preferred Stock.</w:t>
      </w:r>
    </w:p>
    <w:p>
      <w:pPr>
        <w:spacing w:after="0" w:line="141" w:lineRule="exact"/>
        <w:rPr>
          <w:sz w:val="20"/>
          <w:szCs w:val="20"/>
          <w:color w:val="auto"/>
        </w:rPr>
      </w:pPr>
    </w:p>
    <w:p>
      <w:pPr>
        <w:ind w:right="319" w:firstLine="381"/>
        <w:spacing w:after="0" w:line="257" w:lineRule="auto"/>
        <w:tabs>
          <w:tab w:leader="none" w:pos="644"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Changes after Provision for Redemption</w:t>
      </w:r>
      <w:r>
        <w:rPr>
          <w:rFonts w:ascii="Arial" w:cs="Arial" w:eastAsia="Arial" w:hAnsi="Arial"/>
          <w:sz w:val="18"/>
          <w:szCs w:val="18"/>
          <w:color w:val="auto"/>
        </w:rPr>
        <w:t>. No vote or consent of the holders of Designated Preferred Stock shall be required pursuant to Section 7(c) above if, at or prior to the time when any such vote or consent would otherwise be required pursuant to such Section, all outstanding shares of the Designated Preferred Stock shall have been redeemed, or shall have been called for redemption upon proper notice and sufficient funds shall have been deposited in trust for such redemption, in each case pursuant to Section 5 above.</w:t>
      </w:r>
    </w:p>
    <w:p>
      <w:pPr>
        <w:spacing w:after="0" w:line="161" w:lineRule="exact"/>
        <w:rPr>
          <w:rFonts w:ascii="Arial" w:cs="Arial" w:eastAsia="Arial" w:hAnsi="Arial"/>
          <w:sz w:val="18"/>
          <w:szCs w:val="18"/>
          <w:color w:val="auto"/>
        </w:rPr>
      </w:pPr>
    </w:p>
    <w:p>
      <w:pPr>
        <w:ind w:right="199" w:firstLine="381"/>
        <w:spacing w:after="0" w:line="255" w:lineRule="auto"/>
        <w:tabs>
          <w:tab w:leader="none" w:pos="633"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Procedures for Voting and Consents</w:t>
      </w:r>
      <w:r>
        <w:rPr>
          <w:rFonts w:ascii="Arial" w:cs="Arial" w:eastAsia="Arial" w:hAnsi="Arial"/>
          <w:sz w:val="18"/>
          <w:szCs w:val="18"/>
          <w:color w:val="auto"/>
        </w:rPr>
        <w:t>. The rules and procedures for calling and conducting any meeting of the holders of Designated Preferred Stock (including, without limitation, the fixing of a record date in connection therewith), the solicitation and use of proxies at such a meeting, the obtaining of written consents and any other aspect or matter with regard to such a meeting or such consents shall be governed by any rules of the Board of Directors or any duly authorized committee of the Board of Directors, in its discretion, may adopt from time to time, which rules and procedures shall conform to the requirements of the Charter, the Bylaws, and applicable law and the rules of any national securities exchange or other trading facility on which Designated Preferred Stock is listed or traded at the time.</w:t>
      </w: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71" w:name="page172"/>
    <w:bookmarkEnd w:id="171"/>
    <w:p>
      <w:pPr>
        <w:ind w:right="439" w:firstLine="389"/>
        <w:spacing w:after="0" w:line="312"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Record Holders</w:t>
      </w:r>
      <w:r>
        <w:rPr>
          <w:rFonts w:ascii="Arial" w:cs="Arial" w:eastAsia="Arial" w:hAnsi="Arial"/>
          <w:sz w:val="16"/>
          <w:szCs w:val="16"/>
          <w:color w:val="auto"/>
        </w:rPr>
        <w:t>. To the fullest extent permitted by applicable law, the Corporation and the transfer agent for Designated Preferred Stock may deem and treat the record holder of any share of Designated Preferred Stock as the true and lawful owner thereof for all purposes, and neither the Corporation nor such transfer agent shall be affected by any notice to the contrary.</w:t>
      </w:r>
    </w:p>
    <w:p>
      <w:pPr>
        <w:spacing w:after="0" w:line="120" w:lineRule="exact"/>
        <w:rPr>
          <w:sz w:val="20"/>
          <w:szCs w:val="20"/>
          <w:color w:val="auto"/>
        </w:rPr>
      </w:pPr>
    </w:p>
    <w:p>
      <w:pPr>
        <w:ind w:right="219" w:firstLine="389"/>
        <w:spacing w:after="0" w:line="276"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or communications in respect of Designated Preferred Stock shall be sufficiently given if given in writing and delivered in person or by first class mail, postage prepaid, or if given in such other manner as may be permitted in this Certificate of Designations, in the Charter or Bylaws or by applicable law. Notwithstanding the foregoing, if shares of Designated Preferred Stock are issued in book-entry form through The Depository Trust Corporation or any similar facility, such notices may be given to the holders of Designated Preferred Stock in any manner permitted by such facility.</w:t>
      </w:r>
    </w:p>
    <w:p>
      <w:pPr>
        <w:spacing w:after="0" w:line="132" w:lineRule="exact"/>
        <w:rPr>
          <w:sz w:val="20"/>
          <w:szCs w:val="20"/>
          <w:color w:val="auto"/>
        </w:rPr>
      </w:pPr>
    </w:p>
    <w:p>
      <w:pPr>
        <w:ind w:right="259" w:firstLine="389"/>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No Preemptive Rights</w:t>
      </w:r>
      <w:r>
        <w:rPr>
          <w:rFonts w:ascii="Arial" w:cs="Arial" w:eastAsia="Arial" w:hAnsi="Arial"/>
          <w:sz w:val="18"/>
          <w:szCs w:val="18"/>
          <w:color w:val="auto"/>
        </w:rPr>
        <w:t>. No share of Designated Preferred Stock shall have any rights of preemption whatsoever as to any securities of the Corporation, or any warrants, rights or options issued or granted with respect thereto, regardless of how such securities, or such warrants, rights or options, may be designated, issued or granted.</w:t>
      </w:r>
    </w:p>
    <w:p>
      <w:pPr>
        <w:spacing w:after="0" w:line="141" w:lineRule="exact"/>
        <w:rPr>
          <w:sz w:val="20"/>
          <w:szCs w:val="20"/>
          <w:color w:val="auto"/>
        </w:rPr>
      </w:pPr>
    </w:p>
    <w:p>
      <w:pPr>
        <w:ind w:right="219" w:firstLine="389"/>
        <w:spacing w:after="0" w:line="27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Replacement Certificates</w:t>
      </w:r>
      <w:r>
        <w:rPr>
          <w:rFonts w:ascii="Arial" w:cs="Arial" w:eastAsia="Arial" w:hAnsi="Arial"/>
          <w:sz w:val="17"/>
          <w:szCs w:val="17"/>
          <w:color w:val="auto"/>
        </w:rPr>
        <w:t>. The Corporation shall replace any mutilated certificate at the holder’s expense upon surrender of that certificate to the Corporation. The Corporation shall replace certificates that become destroyed, stolen or lost at the holder’s expense upon delivery to the Corporation of reasonably satisfactory evidence that the certificate has been destroyed, stolen or lost, together with any indemnity that may be reasonably required by the Corporation.</w:t>
      </w:r>
    </w:p>
    <w:p>
      <w:pPr>
        <w:spacing w:after="0" w:line="144" w:lineRule="exact"/>
        <w:rPr>
          <w:sz w:val="20"/>
          <w:szCs w:val="20"/>
          <w:color w:val="auto"/>
        </w:rPr>
      </w:pPr>
    </w:p>
    <w:p>
      <w:pPr>
        <w:jc w:val="both"/>
        <w:ind w:right="319" w:firstLine="389"/>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Rights</w:t>
      </w:r>
      <w:r>
        <w:rPr>
          <w:rFonts w:ascii="Arial" w:cs="Arial" w:eastAsia="Arial" w:hAnsi="Arial"/>
          <w:sz w:val="18"/>
          <w:szCs w:val="18"/>
          <w:color w:val="auto"/>
        </w:rPr>
        <w:t>. The shares of Designated Preferred Stock shall not have any rights, preferences, privileges or voting powers or relative, participating, optional or other special rights, or qualifications, limitations or restrictions thereof, other than as set forth herein or in the Charter or as provided by applicable law.</w:t>
      </w:r>
    </w:p>
    <w:p>
      <w:pPr>
        <w:spacing w:after="0" w:line="200" w:lineRule="exact"/>
        <w:rPr>
          <w:sz w:val="20"/>
          <w:szCs w:val="20"/>
          <w:color w:val="auto"/>
        </w:rPr>
      </w:pPr>
    </w:p>
    <w:p>
      <w:pPr>
        <w:spacing w:after="0" w:line="3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72" w:name="page173"/>
    <w:bookmarkEnd w:id="172"/>
    <w:p>
      <w:pPr>
        <w:jc w:val="center"/>
        <w:ind w:right="179"/>
        <w:spacing w:after="0"/>
        <w:rPr>
          <w:sz w:val="20"/>
          <w:szCs w:val="20"/>
          <w:color w:val="auto"/>
        </w:rPr>
      </w:pPr>
      <w:r>
        <w:rPr>
          <w:rFonts w:ascii="Arial" w:cs="Arial" w:eastAsia="Arial" w:hAnsi="Arial"/>
          <w:sz w:val="18"/>
          <w:szCs w:val="18"/>
          <w:b w:val="1"/>
          <w:bCs w:val="1"/>
          <w:color w:val="auto"/>
        </w:rPr>
        <w:t>ARTICLES OF AMENDMENT</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UNITED COMMUNITY BANKS, INC.</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w:t>
      </w:r>
    </w:p>
    <w:p>
      <w:pPr>
        <w:spacing w:after="0" w:line="18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The Restated Articles of Incorporation of the corporation are amended by striking the first paragraph of Article V thereof and inserting the following:</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w:t>
      </w:r>
    </w:p>
    <w:p>
      <w:pPr>
        <w:spacing w:after="0" w:line="189" w:lineRule="exact"/>
        <w:rPr>
          <w:sz w:val="20"/>
          <w:szCs w:val="20"/>
          <w:color w:val="auto"/>
        </w:rPr>
      </w:pPr>
    </w:p>
    <w:p>
      <w:pPr>
        <w:ind w:right="179"/>
        <w:spacing w:after="0" w:line="293" w:lineRule="auto"/>
        <w:rPr>
          <w:sz w:val="20"/>
          <w:szCs w:val="20"/>
          <w:color w:val="auto"/>
        </w:rPr>
      </w:pPr>
      <w:r>
        <w:rPr>
          <w:rFonts w:ascii="Arial" w:cs="Arial" w:eastAsia="Arial" w:hAnsi="Arial"/>
          <w:sz w:val="16"/>
          <w:szCs w:val="16"/>
          <w:color w:val="auto"/>
        </w:rPr>
        <w:t>“The corporation shall have authority to issue 100,000,000 shares of common stock, $1.00 par value (the “Common Stock”)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the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3.</w:t>
      </w:r>
    </w:p>
    <w:p>
      <w:pPr>
        <w:spacing w:after="0" w:line="202" w:lineRule="exact"/>
        <w:rPr>
          <w:sz w:val="20"/>
          <w:szCs w:val="20"/>
          <w:color w:val="auto"/>
        </w:rPr>
      </w:pPr>
    </w:p>
    <w:p>
      <w:pPr>
        <w:ind w:right="279"/>
        <w:spacing w:after="0" w:line="277" w:lineRule="auto"/>
        <w:rPr>
          <w:sz w:val="20"/>
          <w:szCs w:val="20"/>
          <w:color w:val="auto"/>
        </w:rPr>
      </w:pPr>
      <w:r>
        <w:rPr>
          <w:rFonts w:ascii="Arial" w:cs="Arial" w:eastAsia="Arial" w:hAnsi="Arial"/>
          <w:sz w:val="18"/>
          <w:szCs w:val="18"/>
          <w:color w:val="auto"/>
        </w:rPr>
        <w:t>The amendment was adopted by the board of directors of the corporation at a meeting held on March 5, 2004 and by the shareholders of the corporation at a meeting held on April 28, 2004.</w:t>
      </w:r>
    </w:p>
    <w:p>
      <w:pPr>
        <w:spacing w:after="0" w:line="130" w:lineRule="exact"/>
        <w:rPr>
          <w:sz w:val="20"/>
          <w:szCs w:val="20"/>
          <w:color w:val="auto"/>
        </w:rPr>
      </w:pPr>
    </w:p>
    <w:p>
      <w:pPr>
        <w:ind w:right="599"/>
        <w:spacing w:after="0" w:line="277" w:lineRule="auto"/>
        <w:rPr>
          <w:sz w:val="20"/>
          <w:szCs w:val="20"/>
          <w:color w:val="auto"/>
        </w:rPr>
      </w:pPr>
      <w:r>
        <w:rPr>
          <w:rFonts w:ascii="Arial" w:cs="Arial" w:eastAsia="Arial" w:hAnsi="Arial"/>
          <w:sz w:val="18"/>
          <w:szCs w:val="18"/>
          <w:color w:val="auto"/>
        </w:rPr>
        <w:t>IN WITNESS WHEREOF, the undersigned has executed these Articles of Amendment to the Articles of Incorporation of United Community Bank, Inc. this 28th day of April, 2004.</w:t>
      </w:r>
    </w:p>
    <w:p>
      <w:pPr>
        <w:spacing w:after="0" w:line="17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UNITED COMMUNITY BANK, INC.</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14605</wp:posOffset>
            </wp:positionV>
            <wp:extent cx="24352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173" w:name="page174"/>
    <w:bookmarkEnd w:id="173"/>
    <w:p>
      <w:pPr>
        <w:jc w:val="center"/>
        <w:ind w:right="159"/>
        <w:spacing w:after="0"/>
        <w:rPr>
          <w:sz w:val="20"/>
          <w:szCs w:val="20"/>
          <w:color w:val="auto"/>
        </w:rPr>
      </w:pPr>
      <w:r>
        <w:rPr>
          <w:rFonts w:ascii="Arial" w:cs="Arial" w:eastAsia="Arial" w:hAnsi="Arial"/>
          <w:sz w:val="18"/>
          <w:szCs w:val="18"/>
          <w:b w:val="1"/>
          <w:bCs w:val="1"/>
          <w:color w:val="auto"/>
        </w:rPr>
        <w:t>RESTATED ARTICLES OF INCORPORATION</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UNITED COMMUNITY BANKS, INC.</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18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is organized pursuant to the provisions of the Georgia Business Corporation Code.</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shall have perpetual duration.</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pacing w:after="0" w:line="198" w:lineRule="exact"/>
        <w:rPr>
          <w:sz w:val="20"/>
          <w:szCs w:val="20"/>
          <w:color w:val="auto"/>
        </w:rPr>
      </w:pPr>
    </w:p>
    <w:p>
      <w:pPr>
        <w:ind w:right="199"/>
        <w:spacing w:after="0" w:line="264" w:lineRule="auto"/>
        <w:rPr>
          <w:sz w:val="20"/>
          <w:szCs w:val="20"/>
          <w:color w:val="auto"/>
        </w:rPr>
      </w:pPr>
      <w:r>
        <w:rPr>
          <w:rFonts w:ascii="Arial" w:cs="Arial" w:eastAsia="Arial" w:hAnsi="Arial"/>
          <w:sz w:val="18"/>
          <w:szCs w:val="18"/>
          <w:color w:val="auto"/>
        </w:rPr>
        <w:t>The corporation is a corporation for profit and is organized for the following general purposes: to be a bank holding company; to carry on any lawful businesses or activities relating thereto; and to engage in any lawful act or activity for which corporations may be organized under the Georgia Business Corporation Code.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V.</w:t>
      </w:r>
    </w:p>
    <w:p>
      <w:pPr>
        <w:spacing w:after="0" w:line="185" w:lineRule="exact"/>
        <w:rPr>
          <w:sz w:val="20"/>
          <w:szCs w:val="20"/>
          <w:color w:val="auto"/>
        </w:rPr>
      </w:pPr>
    </w:p>
    <w:p>
      <w:pPr>
        <w:ind w:right="279"/>
        <w:spacing w:after="0" w:line="293" w:lineRule="auto"/>
        <w:rPr>
          <w:sz w:val="20"/>
          <w:szCs w:val="20"/>
          <w:color w:val="auto"/>
        </w:rPr>
      </w:pPr>
      <w:r>
        <w:rPr>
          <w:rFonts w:ascii="Arial" w:cs="Arial" w:eastAsia="Arial" w:hAnsi="Arial"/>
          <w:sz w:val="16"/>
          <w:szCs w:val="16"/>
          <w:color w:val="auto"/>
        </w:rPr>
        <w:t>The corporation shall have authority to issue 50,000,000 shares of common stock, $1.00 par value (the “Common Stock”)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by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38" w:lineRule="exact"/>
        <w:rPr>
          <w:sz w:val="20"/>
          <w:szCs w:val="20"/>
          <w:color w:val="auto"/>
        </w:rPr>
      </w:pPr>
    </w:p>
    <w:p>
      <w:pPr>
        <w:ind w:right="179"/>
        <w:spacing w:after="0" w:line="272" w:lineRule="auto"/>
        <w:rPr>
          <w:sz w:val="20"/>
          <w:szCs w:val="20"/>
          <w:color w:val="auto"/>
        </w:rPr>
      </w:pPr>
      <w:r>
        <w:rPr>
          <w:rFonts w:ascii="Arial" w:cs="Arial" w:eastAsia="Arial" w:hAnsi="Arial"/>
          <w:sz w:val="17"/>
          <w:szCs w:val="17"/>
          <w:color w:val="auto"/>
        </w:rPr>
        <w:t>The Board of Directors is hereby expressly authorized to issue, at any time and from time to time, shares of Preferred Stock in one or more series. The number of shares within such series shall be designated by the Board of Directors in one or more resolutions, and the shares of each series so designated shall have such preferences with respect to Common Stock and other series of Preferred Stock, and such other rights, restrictions or limitations with respect to voting, dividends, conversion, exchange, redemption and any other matters, as may be set forth in one or more resolutions adopted by the Board of Directors. To the extent required by law, Articles of Amendment setting forth any such designations, preferences, rights, restrictions or limitations shall be filed with the Georgia Secretary of State prior to the issuance of any shares of such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617220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174" w:name="page175"/>
    <w:bookmarkEnd w:id="174"/>
    <w:p>
      <w:pPr>
        <w:ind w:left="8" w:right="659"/>
        <w:spacing w:after="0" w:line="308" w:lineRule="auto"/>
        <w:rPr>
          <w:sz w:val="20"/>
          <w:szCs w:val="20"/>
          <w:color w:val="auto"/>
        </w:rPr>
      </w:pPr>
      <w:r>
        <w:rPr>
          <w:rFonts w:ascii="Arial" w:cs="Arial" w:eastAsia="Arial" w:hAnsi="Arial"/>
          <w:sz w:val="17"/>
          <w:szCs w:val="17"/>
          <w:color w:val="auto"/>
        </w:rPr>
        <w:t>The authority of the Board of Directors with respect to the establishment of each series of Preferred Stock shall include, without limiting the generality of the foregoing, determination of the following matters which may vary between series:</w:t>
      </w:r>
    </w:p>
    <w:p>
      <w:pPr>
        <w:spacing w:after="0" w:line="120" w:lineRule="exact"/>
        <w:rPr>
          <w:sz w:val="20"/>
          <w:szCs w:val="20"/>
          <w:color w:val="auto"/>
        </w:rPr>
      </w:pPr>
    </w:p>
    <w:p>
      <w:pPr>
        <w:ind w:left="248" w:hanging="248"/>
        <w:spacing w:after="0"/>
        <w:tabs>
          <w:tab w:leader="none" w:pos="24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number of shares constituting that series and the distinctive designation of that series;</w:t>
      </w:r>
    </w:p>
    <w:p>
      <w:pPr>
        <w:spacing w:after="0" w:line="184" w:lineRule="exact"/>
        <w:rPr>
          <w:rFonts w:ascii="Arial" w:cs="Arial" w:eastAsia="Arial" w:hAnsi="Arial"/>
          <w:sz w:val="18"/>
          <w:szCs w:val="18"/>
          <w:color w:val="auto"/>
        </w:rPr>
      </w:pPr>
    </w:p>
    <w:p>
      <w:pPr>
        <w:ind w:left="8" w:right="299" w:hanging="8"/>
        <w:spacing w:after="0" w:line="277" w:lineRule="auto"/>
        <w:tabs>
          <w:tab w:leader="none" w:pos="25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shall be cumulative, and, if so, from which date or dates, and the relative rights of priority, if any, of payments of dividends on shares of that series;</w:t>
      </w:r>
    </w:p>
    <w:p>
      <w:pPr>
        <w:spacing w:after="0" w:line="129" w:lineRule="exact"/>
        <w:rPr>
          <w:rFonts w:ascii="Arial" w:cs="Arial" w:eastAsia="Arial" w:hAnsi="Arial"/>
          <w:sz w:val="18"/>
          <w:szCs w:val="18"/>
          <w:color w:val="auto"/>
        </w:rPr>
      </w:pPr>
    </w:p>
    <w:p>
      <w:pPr>
        <w:ind w:left="8" w:right="459" w:hanging="8"/>
        <w:spacing w:after="0" w:line="277" w:lineRule="auto"/>
        <w:tabs>
          <w:tab w:leader="none" w:pos="24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Whether that series shall have voting rights, in addition to the voting rights provided by law, and, if so, the terms of such voting rights;</w:t>
      </w:r>
    </w:p>
    <w:p>
      <w:pPr>
        <w:spacing w:after="0" w:line="143" w:lineRule="exact"/>
        <w:rPr>
          <w:rFonts w:ascii="Arial" w:cs="Arial" w:eastAsia="Arial" w:hAnsi="Arial"/>
          <w:sz w:val="18"/>
          <w:szCs w:val="18"/>
          <w:color w:val="auto"/>
        </w:rPr>
      </w:pPr>
    </w:p>
    <w:p>
      <w:pPr>
        <w:ind w:left="8" w:right="299" w:hanging="8"/>
        <w:spacing w:after="0" w:line="277" w:lineRule="auto"/>
        <w:tabs>
          <w:tab w:leader="none" w:pos="25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Whether that series shall have conversion privileges, and, if so, the terms and conditions of such conversion, including provisions for adjustment of the conversion rate in such events as the Board of Directors shall determine;</w:t>
      </w:r>
    </w:p>
    <w:p>
      <w:pPr>
        <w:spacing w:after="0" w:line="129" w:lineRule="exact"/>
        <w:rPr>
          <w:rFonts w:ascii="Arial" w:cs="Arial" w:eastAsia="Arial" w:hAnsi="Arial"/>
          <w:sz w:val="18"/>
          <w:szCs w:val="18"/>
          <w:color w:val="auto"/>
        </w:rPr>
      </w:pPr>
    </w:p>
    <w:p>
      <w:pPr>
        <w:ind w:left="8" w:right="199" w:hanging="8"/>
        <w:spacing w:after="0" w:line="264" w:lineRule="auto"/>
        <w:tabs>
          <w:tab w:leader="none" w:pos="24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Whether the shares of that series shall be redeemable, and, if so, the terms and conditions of such redemption, including the date or dates upon or after which they shall be redeemable, and the amount per share payable in case of redemption, which amount may vary under different conditions;</w:t>
      </w:r>
    </w:p>
    <w:p>
      <w:pPr>
        <w:spacing w:after="0" w:line="140" w:lineRule="exact"/>
        <w:rPr>
          <w:rFonts w:ascii="Arial" w:cs="Arial" w:eastAsia="Arial" w:hAnsi="Arial"/>
          <w:sz w:val="18"/>
          <w:szCs w:val="18"/>
          <w:color w:val="auto"/>
        </w:rPr>
      </w:pPr>
    </w:p>
    <w:p>
      <w:pPr>
        <w:ind w:left="8" w:right="699" w:hanging="8"/>
        <w:spacing w:after="0" w:line="277" w:lineRule="auto"/>
        <w:tabs>
          <w:tab w:leader="none" w:pos="22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Whether that series shall have a sinking fund for the redemption or purchase of shares of that series, and, if so, the terms and amount of such sinking fund;</w:t>
      </w:r>
    </w:p>
    <w:p>
      <w:pPr>
        <w:spacing w:after="0" w:line="143" w:lineRule="exact"/>
        <w:rPr>
          <w:rFonts w:ascii="Arial" w:cs="Arial" w:eastAsia="Arial" w:hAnsi="Arial"/>
          <w:sz w:val="18"/>
          <w:szCs w:val="18"/>
          <w:color w:val="auto"/>
        </w:rPr>
      </w:pPr>
    </w:p>
    <w:p>
      <w:pPr>
        <w:ind w:left="8" w:right="859" w:hanging="8"/>
        <w:spacing w:after="0" w:line="277" w:lineRule="auto"/>
        <w:tabs>
          <w:tab w:leader="none" w:pos="25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winding-up of the corporation, and the relative rights of priority, if any, of payment of shares of that series; and</w:t>
      </w:r>
    </w:p>
    <w:p>
      <w:pPr>
        <w:spacing w:after="0" w:line="129" w:lineRule="exact"/>
        <w:rPr>
          <w:rFonts w:ascii="Arial" w:cs="Arial" w:eastAsia="Arial" w:hAnsi="Arial"/>
          <w:sz w:val="18"/>
          <w:szCs w:val="18"/>
          <w:color w:val="auto"/>
        </w:rPr>
      </w:pPr>
    </w:p>
    <w:p>
      <w:pPr>
        <w:ind w:left="8" w:right="419" w:hanging="8"/>
        <w:spacing w:after="0" w:line="277" w:lineRule="auto"/>
        <w:tabs>
          <w:tab w:leader="none" w:pos="25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other relative preferences, rights, restrictions or limitations of that series, including but not limited to any obligations of the corporation to repurchase shares of that series upon the occurrence of specified events.</w:t>
      </w:r>
    </w:p>
    <w:p>
      <w:pPr>
        <w:spacing w:after="0" w:line="130" w:lineRule="exact"/>
        <w:rPr>
          <w:sz w:val="20"/>
          <w:szCs w:val="20"/>
          <w:color w:val="auto"/>
        </w:rPr>
      </w:pPr>
    </w:p>
    <w:p>
      <w:pPr>
        <w:ind w:left="8" w:right="279"/>
        <w:spacing w:after="0" w:line="277" w:lineRule="auto"/>
        <w:rPr>
          <w:sz w:val="20"/>
          <w:szCs w:val="20"/>
          <w:color w:val="auto"/>
        </w:rPr>
      </w:pPr>
      <w:r>
        <w:rPr>
          <w:rFonts w:ascii="Arial" w:cs="Arial" w:eastAsia="Arial" w:hAnsi="Arial"/>
          <w:sz w:val="18"/>
          <w:szCs w:val="18"/>
          <w:color w:val="auto"/>
        </w:rPr>
        <w:t>Of the 10,000,000 shares of authorized Preferred Stock, 287,411 shares shall be designated Series A Non-Cumulative Preferred Stock and shall have the preferences, limitations and relative rights set forth below:</w:t>
      </w:r>
    </w:p>
    <w:p>
      <w:pPr>
        <w:spacing w:after="0" w:line="143" w:lineRule="exact"/>
        <w:rPr>
          <w:sz w:val="20"/>
          <w:szCs w:val="20"/>
          <w:color w:val="auto"/>
        </w:rPr>
      </w:pPr>
    </w:p>
    <w:p>
      <w:pPr>
        <w:ind w:left="188" w:hanging="188"/>
        <w:spacing w:after="0"/>
        <w:tabs>
          <w:tab w:leader="none" w:pos="188" w:val="left"/>
        </w:tabs>
        <w:numPr>
          <w:ilvl w:val="0"/>
          <w:numId w:val="187"/>
        </w:numPr>
        <w:rPr>
          <w:rFonts w:ascii="Arial" w:cs="Arial" w:eastAsia="Arial" w:hAnsi="Arial"/>
          <w:sz w:val="17"/>
          <w:szCs w:val="17"/>
          <w:color w:val="auto"/>
        </w:rPr>
      </w:pPr>
      <w:r>
        <w:rPr>
          <w:rFonts w:ascii="Arial" w:cs="Arial" w:eastAsia="Arial" w:hAnsi="Arial"/>
          <w:sz w:val="17"/>
          <w:szCs w:val="17"/>
          <w:color w:val="auto"/>
        </w:rPr>
        <w:t>Designation and Number of Shares. The series will be known as the “Series A Non-Cumulative Preferred Stock” (the “Series A</w:t>
      </w:r>
    </w:p>
    <w:p>
      <w:pPr>
        <w:spacing w:after="0" w:line="34" w:lineRule="exact"/>
        <w:rPr>
          <w:rFonts w:ascii="Arial" w:cs="Arial" w:eastAsia="Arial" w:hAnsi="Arial"/>
          <w:sz w:val="17"/>
          <w:szCs w:val="17"/>
          <w:color w:val="auto"/>
        </w:rPr>
      </w:pPr>
    </w:p>
    <w:p>
      <w:pPr>
        <w:ind w:left="8" w:right="339"/>
        <w:spacing w:after="0" w:line="323" w:lineRule="auto"/>
        <w:rPr>
          <w:rFonts w:ascii="Arial" w:cs="Arial" w:eastAsia="Arial" w:hAnsi="Arial"/>
          <w:sz w:val="17"/>
          <w:szCs w:val="17"/>
          <w:color w:val="auto"/>
        </w:rPr>
      </w:pPr>
      <w:r>
        <w:rPr>
          <w:rFonts w:ascii="Arial" w:cs="Arial" w:eastAsia="Arial" w:hAnsi="Arial"/>
          <w:sz w:val="16"/>
          <w:szCs w:val="16"/>
          <w:color w:val="auto"/>
        </w:rPr>
        <w:t>Preferred Stock”), and will be a series consisting of 287,411 shares of the authorized but unissued preferred stock of the corporation. The Series A Preferred Stock shall have a par value of $1.00 per share and a stated value of $10 per share (the “Stated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592455</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175" w:name="page176"/>
    <w:bookmarkEnd w:id="175"/>
    <w:p>
      <w:pPr>
        <w:ind w:left="8" w:right="179" w:hanging="8"/>
        <w:spacing w:after="0" w:line="269" w:lineRule="auto"/>
        <w:tabs>
          <w:tab w:leader="none" w:pos="188" w:val="left"/>
        </w:tabs>
        <w:numPr>
          <w:ilvl w:val="0"/>
          <w:numId w:val="188"/>
        </w:numPr>
        <w:rPr>
          <w:rFonts w:ascii="Arial" w:cs="Arial" w:eastAsia="Arial" w:hAnsi="Arial"/>
          <w:sz w:val="17"/>
          <w:szCs w:val="17"/>
          <w:color w:val="auto"/>
        </w:rPr>
      </w:pPr>
      <w:r>
        <w:rPr>
          <w:rFonts w:ascii="Arial" w:cs="Arial" w:eastAsia="Arial" w:hAnsi="Arial"/>
          <w:sz w:val="17"/>
          <w:szCs w:val="17"/>
          <w:color w:val="auto"/>
        </w:rPr>
        <w:t>Dividends. The corporation is under no obligation to pay dividends on the Series A Preferred Stock. Provided, however, no dividend shall be paid on the Common Stock until dividends have been declared and are payable to the holders of record of the Series A Preferred Stock from the date of issuance of such stock at the Dividend Rate for each of the Quarterly Dividend Periods which shall commence on October 1, January 1, April 1, and July 1, in each year and shall end on and include the day next preceding the first day of the next Quarterly Dividend Period. Each such dividend shall be paid to the holders of record of shares of Series A Preferred Stock as they appear on the stock register of the corporation on such record date. The amount of dividends per share payable for each Quarterly Dividend Period shall be computed by dividing the Dividend Rate by four and applying such rate against the Stated Value per share of the Series A Preferred Stock. Dividends payable on the Series A Preferred Stock for any period less than a full Quarterly Dividend Period and for any portion of the initial dividend period between issuance and the day next preceding the first October 1, January 1, April 1 or July 1 following such issuance shall be computed on the basis of a 360-day year of four 90-day quarters and the actual number of days elapsed in the period for which they are payable. The dividend rate shall be 6% per annum (the “Dividend Rate”).</w:t>
      </w:r>
    </w:p>
    <w:p>
      <w:pPr>
        <w:spacing w:after="0" w:line="152" w:lineRule="exact"/>
        <w:rPr>
          <w:rFonts w:ascii="Arial" w:cs="Arial" w:eastAsia="Arial" w:hAnsi="Arial"/>
          <w:sz w:val="17"/>
          <w:szCs w:val="17"/>
          <w:color w:val="auto"/>
        </w:rPr>
      </w:pPr>
    </w:p>
    <w:p>
      <w:pPr>
        <w:ind w:left="188" w:hanging="188"/>
        <w:spacing w:after="0"/>
        <w:tabs>
          <w:tab w:leader="none" w:pos="18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Liquidation Preference.</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(a) Preference.</w:t>
      </w:r>
    </w:p>
    <w:p>
      <w:pPr>
        <w:spacing w:after="0" w:line="185" w:lineRule="exact"/>
        <w:rPr>
          <w:sz w:val="20"/>
          <w:szCs w:val="20"/>
          <w:color w:val="auto"/>
        </w:rPr>
      </w:pPr>
    </w:p>
    <w:p>
      <w:pPr>
        <w:ind w:left="8" w:right="179" w:hanging="8"/>
        <w:spacing w:after="0" w:line="287" w:lineRule="auto"/>
        <w:tabs>
          <w:tab w:leader="none" w:pos="223"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In the event of any liquidation, dissolution, or winding up of the corporation, either voluntarily or involuntarily, the holders of the Series A Preferred Stock shall be entitled to receive prior and in preference to any distribution of any of the assets or surplus funds of the corporation to the holders of Common Stock, an amount equal to (A) the Stated Value per share, plus (B) a further amount equal to any dividends accrued but unpaid on such shares. If, upon such liquidation, dissolution, or winding up of the corporation, the assets of the corporation available for distribution to the shareholders of the corporation are insufficient to provide for the payment of the full aforesaid preferential amount, such assets as are so available shall be distributed among the holders of the Series A Preferred Stock pro rata in accordance with the number of shares of Series A Preferred Stock held by them. The consolidation or merger of the corporation with or into another corporation, or a sale, whether for cash, shares of stock, securities or properties, of all or substantially all of the assets of the corporation (a “Reorganization”), shall not be deemed or construed to be a liquidation, dissolution or winding up of the corporation within the meaning of this Paragraph. In the case of any Reorganization, the corporation shall enter into an agreement with such other entity for the benefit of the holders of Series A Preferred Stock that shall contain such provisions to protect the interests of such holders as the Board of Directors of the corporation shall reasonably consider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620395</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176" w:name="page177"/>
    <w:bookmarkEnd w:id="176"/>
    <w:p>
      <w:pPr>
        <w:ind w:left="8" w:right="519" w:hanging="8"/>
        <w:spacing w:after="0" w:line="312" w:lineRule="auto"/>
        <w:tabs>
          <w:tab w:leader="none" w:pos="263"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After the payment or the setting apart for payment to the holders of the Series A Preferred Stock of the preferential amounts so payable to them, if assets remain in the corporation, the holders of the Common Stock of the corporation shall receive all of the remaining assets of the corporation pro rata in accordance with the number of shares of Common Stock held by them.</w:t>
      </w:r>
    </w:p>
    <w:p>
      <w:pPr>
        <w:spacing w:after="0" w:line="120" w:lineRule="exact"/>
        <w:rPr>
          <w:sz w:val="20"/>
          <w:szCs w:val="20"/>
          <w:color w:val="auto"/>
        </w:rPr>
      </w:pPr>
    </w:p>
    <w:p>
      <w:pPr>
        <w:ind w:left="8" w:right="259" w:hanging="8"/>
        <w:spacing w:after="0" w:line="257" w:lineRule="auto"/>
        <w:tabs>
          <w:tab w:leader="none" w:pos="26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Noncash Distributions. If any of the assets of the corporation are to be distributed other than in cash under this paragraph 3 or for any purpose, then the Board of Directors of the corporation shall promptly engage independent competent appraisers to determine the value of the assets to be distributed to the holders of Preferred Stock or Common Stock. The corporation shall, upon receipt of such appraiser’s valuation, give prompt written notice to each holder of shares of Series A Preferred Stock or Common Stock of the appraiser’s valuation.</w:t>
      </w:r>
    </w:p>
    <w:p>
      <w:pPr>
        <w:spacing w:after="0" w:line="148" w:lineRule="exact"/>
        <w:rPr>
          <w:sz w:val="20"/>
          <w:szCs w:val="20"/>
          <w:color w:val="auto"/>
        </w:rPr>
      </w:pPr>
    </w:p>
    <w:p>
      <w:pPr>
        <w:ind w:left="168" w:hanging="168"/>
        <w:spacing w:after="0"/>
        <w:tabs>
          <w:tab w:leader="none" w:pos="168" w:val="left"/>
        </w:tabs>
        <w:numPr>
          <w:ilvl w:val="0"/>
          <w:numId w:val="192"/>
        </w:numPr>
        <w:rPr>
          <w:rFonts w:ascii="Arial" w:cs="Arial" w:eastAsia="Arial" w:hAnsi="Arial"/>
          <w:sz w:val="17"/>
          <w:szCs w:val="17"/>
          <w:color w:val="auto"/>
        </w:rPr>
      </w:pPr>
      <w:r>
        <w:rPr>
          <w:rFonts w:ascii="Arial" w:cs="Arial" w:eastAsia="Arial" w:hAnsi="Arial"/>
          <w:sz w:val="17"/>
          <w:szCs w:val="17"/>
          <w:color w:val="auto"/>
        </w:rPr>
        <w:t>Voting Rights. Series A Preferred Stock has no voting rights except as required by the Georgia Business Corporation Code.</w:t>
      </w:r>
    </w:p>
    <w:p>
      <w:pPr>
        <w:spacing w:after="0" w:line="196" w:lineRule="exact"/>
        <w:rPr>
          <w:rFonts w:ascii="Arial" w:cs="Arial" w:eastAsia="Arial" w:hAnsi="Arial"/>
          <w:sz w:val="17"/>
          <w:szCs w:val="17"/>
          <w:color w:val="auto"/>
        </w:rPr>
      </w:pPr>
    </w:p>
    <w:p>
      <w:pPr>
        <w:ind w:left="188" w:hanging="188"/>
        <w:spacing w:after="0"/>
        <w:tabs>
          <w:tab w:leader="none" w:pos="18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Conversion. The Series A Preferred Stock is not convertible into Common Stock.</w:t>
      </w:r>
    </w:p>
    <w:p>
      <w:pPr>
        <w:spacing w:after="0" w:line="198" w:lineRule="exact"/>
        <w:rPr>
          <w:rFonts w:ascii="Arial" w:cs="Arial" w:eastAsia="Arial" w:hAnsi="Arial"/>
          <w:sz w:val="18"/>
          <w:szCs w:val="18"/>
          <w:color w:val="auto"/>
        </w:rPr>
      </w:pPr>
    </w:p>
    <w:p>
      <w:pPr>
        <w:ind w:left="188" w:hanging="188"/>
        <w:spacing w:after="0"/>
        <w:tabs>
          <w:tab w:leader="none" w:pos="18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Optional Redemption of Series A Preferred Stock.</w:t>
      </w:r>
    </w:p>
    <w:p>
      <w:pPr>
        <w:spacing w:after="0" w:line="184" w:lineRule="exact"/>
        <w:rPr>
          <w:rFonts w:ascii="Arial" w:cs="Arial" w:eastAsia="Arial" w:hAnsi="Arial"/>
          <w:sz w:val="18"/>
          <w:szCs w:val="18"/>
          <w:color w:val="auto"/>
        </w:rPr>
      </w:pPr>
    </w:p>
    <w:p>
      <w:pPr>
        <w:ind w:left="8" w:right="199" w:firstLine="381"/>
        <w:spacing w:after="0" w:line="257" w:lineRule="auto"/>
        <w:tabs>
          <w:tab w:leader="none" w:pos="641" w:val="left"/>
        </w:tabs>
        <w:numPr>
          <w:ilvl w:val="1"/>
          <w:numId w:val="192"/>
        </w:numPr>
        <w:rPr>
          <w:rFonts w:ascii="Arial" w:cs="Arial" w:eastAsia="Arial" w:hAnsi="Arial"/>
          <w:sz w:val="18"/>
          <w:szCs w:val="18"/>
          <w:color w:val="auto"/>
        </w:rPr>
      </w:pPr>
      <w:r>
        <w:rPr>
          <w:rFonts w:ascii="Arial" w:cs="Arial" w:eastAsia="Arial" w:hAnsi="Arial"/>
          <w:sz w:val="18"/>
          <w:szCs w:val="18"/>
          <w:color w:val="auto"/>
        </w:rPr>
        <w:t>Subject to the following limitations, the corporation, at its sole option and upon the approval of the Board of Governors of the Federal Reserve System or the Federal Reserve Bank of Atlanta as its designee, may redeem the whole or any part of the then outstanding Series A Preferred Stock by paying in cash for each share redeemed an amount equal to the Stated Value of each share redeemed plus the full dividends accrued but unpaid on each such share (whether or not declared) through the redemption date (the “Redemption Price”).</w:t>
      </w:r>
    </w:p>
    <w:p>
      <w:pPr>
        <w:spacing w:after="0" w:line="147" w:lineRule="exact"/>
        <w:rPr>
          <w:rFonts w:ascii="Arial" w:cs="Arial" w:eastAsia="Arial" w:hAnsi="Arial"/>
          <w:sz w:val="18"/>
          <w:szCs w:val="18"/>
          <w:color w:val="auto"/>
        </w:rPr>
      </w:pPr>
    </w:p>
    <w:p>
      <w:pPr>
        <w:ind w:left="8" w:right="219" w:firstLine="381"/>
        <w:spacing w:after="0" w:line="257" w:lineRule="auto"/>
        <w:tabs>
          <w:tab w:leader="none" w:pos="652"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If less than all of the Series A Preferred Stock at any time outstanding shall be called for redemption hereunder, the shares to be redeemed shall be selected on a pro rata basis (with rounding to the nearest whole share) and upon such terms and conditions as the Board of Directors may determine (subject to the limitations and provisions contained herein). The corporation, at its option, may nonetheless redeem all of the shares of Series A Preferred Stock of any Record Holder if, as a result of a straight pro rata redemption, that Record Holder would then hold less than 1000 shares.</w:t>
      </w:r>
    </w:p>
    <w:p>
      <w:pPr>
        <w:spacing w:after="0" w:line="161" w:lineRule="exact"/>
        <w:rPr>
          <w:rFonts w:ascii="Arial" w:cs="Arial" w:eastAsia="Arial" w:hAnsi="Arial"/>
          <w:sz w:val="18"/>
          <w:szCs w:val="18"/>
          <w:color w:val="auto"/>
        </w:rPr>
      </w:pPr>
    </w:p>
    <w:p>
      <w:pPr>
        <w:ind w:left="8" w:right="219" w:firstLine="381"/>
        <w:spacing w:after="0" w:line="286" w:lineRule="auto"/>
        <w:tabs>
          <w:tab w:leader="none" w:pos="641" w:val="left"/>
        </w:tabs>
        <w:numPr>
          <w:ilvl w:val="1"/>
          <w:numId w:val="192"/>
        </w:numPr>
        <w:rPr>
          <w:rFonts w:ascii="Arial" w:cs="Arial" w:eastAsia="Arial" w:hAnsi="Arial"/>
          <w:sz w:val="16"/>
          <w:szCs w:val="16"/>
          <w:color w:val="auto"/>
        </w:rPr>
      </w:pPr>
      <w:r>
        <w:rPr>
          <w:rFonts w:ascii="Arial" w:cs="Arial" w:eastAsia="Arial" w:hAnsi="Arial"/>
          <w:sz w:val="16"/>
          <w:szCs w:val="16"/>
          <w:color w:val="auto"/>
        </w:rPr>
        <w:t>Notice of redemption shall be mailed, certified mail, postage prepaid, not less than 10 days nor more than 60 days prior to the redemption date specified in that notice, to each Record Holder of the shares to be redeemed at the address appearing on the corporation’s stock records of the Series A Preferred Stock. Neither failure to mail such notice to one or more of such holders nor any defect in such notice shall affect the sufficiency of the proceedings of redemption as to other holders. Each such notice shall state:</w:t>
      </w:r>
    </w:p>
    <w:p>
      <w:pPr>
        <w:spacing w:after="0" w:line="1" w:lineRule="exact"/>
        <w:rPr>
          <w:rFonts w:ascii="Arial" w:cs="Arial" w:eastAsia="Arial" w:hAnsi="Arial"/>
          <w:sz w:val="16"/>
          <w:szCs w:val="16"/>
          <w:color w:val="auto"/>
        </w:rPr>
      </w:pPr>
    </w:p>
    <w:p>
      <w:pPr>
        <w:ind w:left="8" w:right="399"/>
        <w:spacing w:after="0" w:line="290" w:lineRule="auto"/>
        <w:rPr>
          <w:rFonts w:ascii="Arial" w:cs="Arial" w:eastAsia="Arial" w:hAnsi="Arial"/>
          <w:sz w:val="16"/>
          <w:szCs w:val="16"/>
          <w:color w:val="auto"/>
        </w:rPr>
      </w:pPr>
      <w:r>
        <w:rPr>
          <w:rFonts w:ascii="Arial" w:cs="Arial" w:eastAsia="Arial" w:hAnsi="Arial"/>
          <w:sz w:val="16"/>
          <w:szCs w:val="16"/>
          <w:color w:val="auto"/>
        </w:rPr>
        <w:t>(A) the redemption date; (B) the applicable Redemption Price; (C) the number of shares of Series A Preferred Stock to be redeemed and, if less than all the outstanding shares of Series A Preferred Stock are to be redeemed, the basis upon which the corporation proposes to determine such lesser number of shares to be redeemed and the number of shares of such Record Holders that would be redeemed on such basis if such Record Holder continued to hold all of its shares on the Partial Redemption Determination Date (as defined below); (D) the place or places at which the certificates representing such shares are to be surrendered for payment of the Redemption Price; and (E) that dividends on the shares to be redeemed will cease to accrue on such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608965</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77" w:name="page178"/>
    <w:bookmarkEnd w:id="177"/>
    <w:p>
      <w:pPr>
        <w:ind w:left="8" w:right="219" w:hanging="8"/>
        <w:spacing w:after="0" w:line="254" w:lineRule="auto"/>
        <w:tabs>
          <w:tab w:leader="none" w:pos="26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 case of a redemption of less than all the outstanding shares of Series A Preferred Stock, the corporation’s final determination of the number of shares of each Record Holder to be redeemed shall be made with respect to Record Holders of Series A Preferred Stock as of the close of business five business days immediately preceding the redemption date (the “Partial Redemption Determination Date”). The transfer of shares of Series A Preferred Stock so determined for redemption shall not be permitted after the Partial Redemption Determination Date. The corporation may require that any transfer of shares of Series A Preferred Stock permitted by it between the date of the above notice to Record Holders and the partial Redemption Determination Date refer to the corporation’s notice of redemption and otherwise reflect that the transferor will acquire such shares subject to possible redemption as stated in such notice.</w:t>
      </w:r>
    </w:p>
    <w:p>
      <w:pPr>
        <w:spacing w:after="0" w:line="165" w:lineRule="exact"/>
        <w:rPr>
          <w:rFonts w:ascii="Arial" w:cs="Arial" w:eastAsia="Arial" w:hAnsi="Arial"/>
          <w:sz w:val="18"/>
          <w:szCs w:val="18"/>
          <w:color w:val="auto"/>
        </w:rPr>
      </w:pPr>
    </w:p>
    <w:p>
      <w:pPr>
        <w:ind w:left="8" w:right="199" w:hanging="8"/>
        <w:spacing w:after="0" w:line="268" w:lineRule="auto"/>
        <w:tabs>
          <w:tab w:leader="none" w:pos="253"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If notice of redemption has been given pursuant to clause (c) above and if, on or before the redemption date specified in such notice, the funds necessary for such redemption have been irrevocably tendered by the corporation to the Record Holders of the shares being redeemed, or otherwise irrevocably designated or set aside in trust for the pro rata benefit of the holders of the shares so called for redemption in a manner permitted by the Georgia Business Corporation Code, then from and after the redemption date, notwithstanding that any certificate for shares so called for redemption shall not have been surrendered for cancellation or that any such shares may have been transferred (whether with or without the corporation’s permission), (A) all of the shares so called for redemption (as finally determined on the Partial Redemption Determination Date in case of a partial redemption) shall no longer be deemed outstanding, (B) all dividends shall cease to accrue thereon, and (C) all voting and other rights with respect to such shares shall cease and terminate (except the rights to receive the Redemption Price upon a surrender of certificate(s) representing such shares). Upon surrender, in accordance with said notice, of the certificates for any shares so called for redemption, properly endorsed, such shares shall be redeemed by the corporation at the Redemption Price. If fewer than all the shares represented by any such certificate are redeemed, a new certificate representing the unredeemed shares shall be issued without cost to the Record Holder thereof.</w:t>
      </w:r>
    </w:p>
    <w:p>
      <w:pPr>
        <w:spacing w:after="0" w:line="147" w:lineRule="exact"/>
        <w:rPr>
          <w:rFonts w:ascii="Arial" w:cs="Arial" w:eastAsia="Arial" w:hAnsi="Arial"/>
          <w:sz w:val="17"/>
          <w:szCs w:val="17"/>
          <w:color w:val="auto"/>
        </w:rPr>
      </w:pPr>
    </w:p>
    <w:p>
      <w:pPr>
        <w:ind w:left="8" w:right="179" w:hanging="8"/>
        <w:spacing w:after="0" w:line="270" w:lineRule="auto"/>
        <w:tabs>
          <w:tab w:leader="none" w:pos="233" w:val="left"/>
        </w:tabs>
        <w:numPr>
          <w:ilvl w:val="0"/>
          <w:numId w:val="193"/>
        </w:numPr>
        <w:rPr>
          <w:rFonts w:ascii="Arial" w:cs="Arial" w:eastAsia="Arial" w:hAnsi="Arial"/>
          <w:sz w:val="17"/>
          <w:szCs w:val="17"/>
          <w:color w:val="auto"/>
        </w:rPr>
      </w:pPr>
      <w:r>
        <w:rPr>
          <w:rFonts w:ascii="Arial" w:cs="Arial" w:eastAsia="Arial" w:hAnsi="Arial"/>
          <w:sz w:val="17"/>
          <w:szCs w:val="17"/>
          <w:color w:val="auto"/>
        </w:rPr>
        <w:t>On or before the redemption date, the corporation, in lieu of tendering the Redemption Price directly to the respective Record Holders, may deposit with an agent that is a bank or a trust company (the “Paying Agent”), or otherwise designate or set aside as provided in clause (e) above, funds sufficient to pay the Redemption Price for all shares of Series A Preferred Stock to be redeemed on the redemption date, other than any such shares that may have been previously delivered for other consideration in a transaction otherwise permitted by this Designation. Any interest earned on funds so designated, set aside, or deposited with a Paying Agent shall be retainable by or payable to the corporation, and holders of shares of Series A Preferred Stock shall have no rights with respect thereto. Any funds so deposited with a Paying Agent that shall remain unclaimed by the Record Holders of redeemed shares at the end of six months after the redemption date, together with any previously unpaid interest earned thereon, shall be released or repaid by the Paying Agent to the corporation, and thereafter such Record Holders shall look only to the corporation for payment of the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626110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178" w:name="page179"/>
    <w:bookmarkEnd w:id="178"/>
    <w:p>
      <w:pPr>
        <w:ind w:left="8"/>
        <w:spacing w:after="0"/>
        <w:rPr>
          <w:sz w:val="20"/>
          <w:szCs w:val="20"/>
          <w:color w:val="auto"/>
        </w:rPr>
      </w:pPr>
      <w:r>
        <w:rPr>
          <w:rFonts w:ascii="Arial" w:cs="Arial" w:eastAsia="Arial" w:hAnsi="Arial"/>
          <w:sz w:val="18"/>
          <w:szCs w:val="18"/>
          <w:color w:val="auto"/>
        </w:rPr>
        <w:t>7. Certain General Matters.</w:t>
      </w:r>
    </w:p>
    <w:p>
      <w:pPr>
        <w:spacing w:after="0" w:line="198" w:lineRule="exact"/>
        <w:rPr>
          <w:sz w:val="20"/>
          <w:szCs w:val="20"/>
          <w:color w:val="auto"/>
        </w:rPr>
      </w:pPr>
    </w:p>
    <w:p>
      <w:pPr>
        <w:ind w:left="8" w:right="399" w:hanging="8"/>
        <w:spacing w:after="0" w:line="286" w:lineRule="auto"/>
        <w:tabs>
          <w:tab w:leader="none" w:pos="249"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corporation shall have the rights, in connection with any issuance or transfer of a share of Series A Preferred Stock, to establish by contract with the proposed holder thereof any lawful restriction or limitation respecting the transfer or other disposition of, or any exercise of right appurtenant to, such share with which such proposed holder shall agree.</w:t>
      </w:r>
    </w:p>
    <w:p>
      <w:pPr>
        <w:spacing w:after="0" w:line="125" w:lineRule="exact"/>
        <w:rPr>
          <w:rFonts w:ascii="Arial" w:cs="Arial" w:eastAsia="Arial" w:hAnsi="Arial"/>
          <w:sz w:val="17"/>
          <w:szCs w:val="17"/>
          <w:color w:val="auto"/>
        </w:rPr>
      </w:pPr>
    </w:p>
    <w:p>
      <w:pPr>
        <w:jc w:val="both"/>
        <w:ind w:left="8" w:right="239" w:hanging="8"/>
        <w:spacing w:after="0" w:line="259" w:lineRule="auto"/>
        <w:tabs>
          <w:tab w:leader="none" w:pos="263"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In any case where any redemption date shall not be a business day, then notwithstanding any other provision hereof, payment of a redemption price need not be made on such date but may be made on the next succeeding business day with the same force and effect as if made on the redemption day; </w:t>
      </w:r>
      <w:r>
        <w:rPr>
          <w:rFonts w:ascii="Arial" w:cs="Arial" w:eastAsia="Arial" w:hAnsi="Arial"/>
          <w:sz w:val="18"/>
          <w:szCs w:val="18"/>
          <w:u w:val="single" w:color="auto"/>
          <w:color w:val="auto"/>
        </w:rPr>
        <w:t>provided</w:t>
      </w:r>
      <w:r>
        <w:rPr>
          <w:rFonts w:ascii="Arial" w:cs="Arial" w:eastAsia="Arial" w:hAnsi="Arial"/>
          <w:sz w:val="18"/>
          <w:szCs w:val="18"/>
          <w:color w:val="auto"/>
        </w:rPr>
        <w:t>, that for purposes of computing such payment, no interest shall accrue for the period from and after such redemption date, as the case may be.</w:t>
      </w:r>
    </w:p>
    <w:p>
      <w:pPr>
        <w:spacing w:after="0" w:line="14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VI.</w:t>
      </w:r>
    </w:p>
    <w:p>
      <w:pPr>
        <w:spacing w:after="0" w:line="198" w:lineRule="exact"/>
        <w:rPr>
          <w:sz w:val="20"/>
          <w:szCs w:val="20"/>
          <w:color w:val="auto"/>
        </w:rPr>
      </w:pPr>
    </w:p>
    <w:p>
      <w:pPr>
        <w:ind w:left="8" w:right="199"/>
        <w:spacing w:after="0" w:line="270" w:lineRule="auto"/>
        <w:rPr>
          <w:sz w:val="20"/>
          <w:szCs w:val="20"/>
          <w:color w:val="auto"/>
        </w:rPr>
      </w:pPr>
      <w:r>
        <w:rPr>
          <w:rFonts w:ascii="Arial" w:cs="Arial" w:eastAsia="Arial" w:hAnsi="Arial"/>
          <w:sz w:val="17"/>
          <w:szCs w:val="17"/>
          <w:color w:val="auto"/>
        </w:rPr>
        <w:t>No holder of any of the shares of any class of the corporation shall be entitled as of right to subscribe for, purchase or otherwise acquire any shares of any class of the corporation which the corporation proposes to issue or any rights or options which the corporation proposes to grant for the purchase of shares of any class of the corporation or for the purchase of any shares, bonds, securities, or obligations of the corporation which are convertible into or exchangeable for, or which carry any rights, to subscribe for, purchase, or otherwise acquire shares of any class of the corporation and any and all of such shares, bonds, securities, or obligations of the corporation, whether now or hereafter authorized or created, may be issued, or may be reissued if the same have been reacquired and if their reissue is not prohibited, and any and all of such rights and options may be granted by the Board of Directors to such individuals and entities, and for such lawful consideration, and on such terms, as the Board of Directors in its discretion may determine, without first offering the same, or any thereof, to any said holder.</w:t>
      </w:r>
    </w:p>
    <w:p>
      <w:pPr>
        <w:spacing w:after="0" w:line="141"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VII.</w:t>
      </w:r>
    </w:p>
    <w:p>
      <w:pPr>
        <w:spacing w:after="0" w:line="185" w:lineRule="exact"/>
        <w:rPr>
          <w:sz w:val="20"/>
          <w:szCs w:val="20"/>
          <w:color w:val="auto"/>
        </w:rPr>
      </w:pPr>
    </w:p>
    <w:p>
      <w:pPr>
        <w:ind w:left="8" w:right="339"/>
        <w:spacing w:after="0" w:line="277" w:lineRule="auto"/>
        <w:rPr>
          <w:sz w:val="20"/>
          <w:szCs w:val="20"/>
          <w:color w:val="auto"/>
        </w:rPr>
      </w:pPr>
      <w:r>
        <w:rPr>
          <w:rFonts w:ascii="Arial" w:cs="Arial" w:eastAsia="Arial" w:hAnsi="Arial"/>
          <w:sz w:val="18"/>
          <w:szCs w:val="18"/>
          <w:color w:val="auto"/>
        </w:rPr>
        <w:t>The corporation shall not commence business until it shall have received at least $500.00 in payment for the issuance of shares of its stock.</w:t>
      </w:r>
    </w:p>
    <w:p>
      <w:pPr>
        <w:spacing w:after="0" w:line="143"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VIII.</w:t>
      </w:r>
    </w:p>
    <w:p>
      <w:pPr>
        <w:spacing w:after="0" w:line="185" w:lineRule="exact"/>
        <w:rPr>
          <w:sz w:val="20"/>
          <w:szCs w:val="20"/>
          <w:color w:val="auto"/>
        </w:rPr>
      </w:pPr>
    </w:p>
    <w:p>
      <w:pPr>
        <w:ind w:left="8" w:right="219"/>
        <w:spacing w:after="0" w:line="264" w:lineRule="auto"/>
        <w:rPr>
          <w:sz w:val="20"/>
          <w:szCs w:val="20"/>
          <w:color w:val="auto"/>
        </w:rPr>
      </w:pPr>
      <w:r>
        <w:rPr>
          <w:rFonts w:ascii="Arial" w:cs="Arial" w:eastAsia="Arial" w:hAnsi="Arial"/>
          <w:sz w:val="18"/>
          <w:szCs w:val="18"/>
          <w:color w:val="auto"/>
        </w:rPr>
        <w:t>In addition to, but not in limitation of, the general powers conferred by law, the corporation shall have the power to make distributions to its shareholders out of its capital surplus, to purchase its own shares out of its unreserved and unrestricted capital surplus available therefor and to carry on any lawful business.</w:t>
      </w:r>
    </w:p>
    <w:p>
      <w:pPr>
        <w:spacing w:after="0" w:line="141"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IX.</w:t>
      </w:r>
    </w:p>
    <w:p>
      <w:pPr>
        <w:spacing w:after="0" w:line="198" w:lineRule="exact"/>
        <w:rPr>
          <w:sz w:val="20"/>
          <w:szCs w:val="20"/>
          <w:color w:val="auto"/>
        </w:rPr>
      </w:pPr>
    </w:p>
    <w:p>
      <w:pPr>
        <w:ind w:left="8" w:right="159"/>
        <w:spacing w:after="0" w:line="255" w:lineRule="auto"/>
        <w:rPr>
          <w:sz w:val="20"/>
          <w:szCs w:val="20"/>
          <w:color w:val="auto"/>
        </w:rPr>
      </w:pPr>
      <w:r>
        <w:rPr>
          <w:rFonts w:ascii="Arial" w:cs="Arial" w:eastAsia="Arial" w:hAnsi="Arial"/>
          <w:sz w:val="18"/>
          <w:szCs w:val="18"/>
          <w:color w:val="auto"/>
        </w:rPr>
        <w:t>In discharging the duties of their respective positions and in determining what is believed to be in the best interests of the corporation, the Board of Directors of the corporation, committees of the Board of Directors, and individual directors, in addition to considering the effects of any action on the corporation or its shareholders, may consider interests of the employees, customers, suppliers, and creditors of the corporation and its subsidiaries, the communities in which offices or other establishments of the corporation and its subsidiaries are located, and all other factors such directors consider pertinent; provided, however, that such consideration shall be deemed solely to grant discretionary authority to the directors and shall not be deemed to provide to any constituency any right to be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624840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179" w:name="page180"/>
    <w:bookmarkEnd w:id="179"/>
    <w:p>
      <w:pPr>
        <w:jc w:val="center"/>
        <w:ind w:right="151"/>
        <w:spacing w:after="0"/>
        <w:rPr>
          <w:sz w:val="20"/>
          <w:szCs w:val="20"/>
          <w:color w:val="auto"/>
        </w:rPr>
      </w:pPr>
      <w:r>
        <w:rPr>
          <w:rFonts w:ascii="Arial" w:cs="Arial" w:eastAsia="Arial" w:hAnsi="Arial"/>
          <w:sz w:val="18"/>
          <w:szCs w:val="18"/>
          <w:color w:val="auto"/>
        </w:rPr>
        <w:t>X.</w:t>
      </w:r>
    </w:p>
    <w:p>
      <w:pPr>
        <w:spacing w:after="0" w:line="198" w:lineRule="exact"/>
        <w:rPr>
          <w:sz w:val="20"/>
          <w:szCs w:val="20"/>
          <w:color w:val="auto"/>
        </w:rPr>
      </w:pPr>
    </w:p>
    <w:p>
      <w:pPr>
        <w:jc w:val="both"/>
        <w:ind w:left="8" w:right="239"/>
        <w:spacing w:after="0" w:line="286" w:lineRule="auto"/>
        <w:rPr>
          <w:sz w:val="20"/>
          <w:szCs w:val="20"/>
          <w:color w:val="auto"/>
        </w:rPr>
      </w:pPr>
      <w:r>
        <w:rPr>
          <w:rFonts w:ascii="Arial" w:cs="Arial" w:eastAsia="Arial" w:hAnsi="Arial"/>
          <w:sz w:val="17"/>
          <w:szCs w:val="17"/>
          <w:color w:val="auto"/>
        </w:rPr>
        <w:t>No director of the corporation shall be personally liable to the corporation or its shareholders for monetary damages for breach of his duty of care or other duty as a director, provided, that this provision shall eliminate or limit the liability of a director only to the extent permitted from time to time by the Georgia Business Corporation Code or any successor laws or laws.</w:t>
      </w:r>
    </w:p>
    <w:p>
      <w:pPr>
        <w:spacing w:after="0" w:line="125"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XI.</w:t>
      </w:r>
    </w:p>
    <w:p>
      <w:pPr>
        <w:spacing w:after="0" w:line="185" w:lineRule="exact"/>
        <w:rPr>
          <w:sz w:val="20"/>
          <w:szCs w:val="20"/>
          <w:color w:val="auto"/>
        </w:rPr>
      </w:pPr>
    </w:p>
    <w:p>
      <w:pPr>
        <w:ind w:left="8" w:right="299"/>
        <w:spacing w:after="0" w:line="297" w:lineRule="auto"/>
        <w:rPr>
          <w:sz w:val="20"/>
          <w:szCs w:val="20"/>
          <w:color w:val="auto"/>
        </w:rPr>
      </w:pPr>
      <w:r>
        <w:rPr>
          <w:rFonts w:ascii="Arial" w:cs="Arial" w:eastAsia="Arial" w:hAnsi="Arial"/>
          <w:sz w:val="16"/>
          <w:szCs w:val="16"/>
          <w:color w:val="auto"/>
        </w:rPr>
        <w:t>Except as otherwise provided by law, any amendment or repeal of any provision of the Articles of Incorporation or the Bylaws of the corporation requires the affirmative vote of holders of two-thirds of the shares of capital stock of the corporation then issued and outstanding and entitled to vote on such matters. Notwithstanding anything herein to the contrary, the number of authorized shares of any class of capital stock of the corporation may be increased by the affirmative vote of holders of a simple majority of the shares of capital stock of the corporation then issued and outstanding and entitled to vote on such matters.</w:t>
      </w:r>
    </w:p>
    <w:p>
      <w:pPr>
        <w:spacing w:after="0" w:line="131"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XII.</w:t>
      </w:r>
    </w:p>
    <w:p>
      <w:pPr>
        <w:spacing w:after="0" w:line="185" w:lineRule="exact"/>
        <w:rPr>
          <w:sz w:val="20"/>
          <w:szCs w:val="20"/>
          <w:color w:val="auto"/>
        </w:rPr>
      </w:pPr>
    </w:p>
    <w:p>
      <w:pPr>
        <w:ind w:left="8" w:right="199"/>
        <w:spacing w:after="0" w:line="255" w:lineRule="auto"/>
        <w:rPr>
          <w:sz w:val="20"/>
          <w:szCs w:val="20"/>
          <w:color w:val="auto"/>
        </w:rPr>
      </w:pPr>
      <w:r>
        <w:rPr>
          <w:rFonts w:ascii="Arial" w:cs="Arial" w:eastAsia="Arial" w:hAnsi="Arial"/>
          <w:sz w:val="18"/>
          <w:szCs w:val="18"/>
          <w:color w:val="auto"/>
        </w:rPr>
        <w:t>I. (A) In addition to any affirmative vote required by law, and subject to the provisions of any series of Preferred Stock which may at the time be outstanding, the affirmative vote of the holders of not less than 75% of the outstanding shares of Common Stock of the corporation and the affirmative vote of the holders of not less than 75% of the outstanding shares of Common Stock of the corporation other than those beneficially owned (as defined below) by an Interested Shareholder (as defined below) (the “two-tier requirement”), shall be required for the approval or authorization of any Business Combination (as defined below) of the corporation with such Interested Shareholder; provided that the two-tier voting requirement shall not be applicable if the Business Combination was approved by three-fourths of all Directors.</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8"/>
          <w:szCs w:val="18"/>
          <w:color w:val="auto"/>
        </w:rPr>
        <w:t>(B) The term “Business Combination” as used in this Article XII shall mean:</w:t>
      </w:r>
    </w:p>
    <w:p>
      <w:pPr>
        <w:spacing w:after="0" w:line="198" w:lineRule="exact"/>
        <w:rPr>
          <w:sz w:val="20"/>
          <w:szCs w:val="20"/>
          <w:color w:val="auto"/>
        </w:rPr>
      </w:pPr>
    </w:p>
    <w:p>
      <w:pPr>
        <w:jc w:val="both"/>
        <w:ind w:left="8" w:right="519" w:hanging="8"/>
        <w:spacing w:after="0" w:line="286" w:lineRule="auto"/>
        <w:tabs>
          <w:tab w:leader="none" w:pos="223"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any merger or consolidation of the corporation or any Subsidiary (as hereafter defined) with (a) any Interested Shareholder (as hereinafter defined) or (b) any other corporation (whether or not itself an Interested Shareholder) which is, or after such merger or consolidation would be, an Affiliate (as hereinafter defined) of an Interested Shareholder; or</w:t>
      </w:r>
    </w:p>
    <w:p>
      <w:pPr>
        <w:spacing w:after="0" w:line="125" w:lineRule="exact"/>
        <w:rPr>
          <w:rFonts w:ascii="Arial" w:cs="Arial" w:eastAsia="Arial" w:hAnsi="Arial"/>
          <w:sz w:val="17"/>
          <w:szCs w:val="17"/>
          <w:color w:val="auto"/>
        </w:rPr>
      </w:pPr>
    </w:p>
    <w:p>
      <w:pPr>
        <w:jc w:val="both"/>
        <w:ind w:left="8" w:right="279" w:hanging="8"/>
        <w:spacing w:after="0" w:line="264" w:lineRule="auto"/>
        <w:tabs>
          <w:tab w:leader="none" w:pos="27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to or with any Interested Shareholder or any Affiliate of any Interested Shareholder of any assets of the corporation or any Subsidiary having an aggregate Fair Market Value (as hereinafter defined) of $1,000,000 or more;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628015</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180" w:name="page181"/>
    <w:bookmarkEnd w:id="180"/>
    <w:p>
      <w:pPr>
        <w:ind w:left="8" w:right="219" w:hanging="8"/>
        <w:spacing w:after="0" w:line="286" w:lineRule="auto"/>
        <w:tabs>
          <w:tab w:leader="none" w:pos="323"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issuance or transfer by the corporation or any Subsidiary (in one transaction or a series of transactions) of any securities of the corporation or any Subsidiary to any Interested Shareholder or any Affiliate of any Interested Shareholder in exchange for cash, securities or other property (or a combination thereof) having an aggregate Fair Market Value of $1,000,000 or more; or</w:t>
      </w:r>
    </w:p>
    <w:p>
      <w:pPr>
        <w:spacing w:after="0" w:line="138" w:lineRule="exact"/>
        <w:rPr>
          <w:rFonts w:ascii="Arial" w:cs="Arial" w:eastAsia="Arial" w:hAnsi="Arial"/>
          <w:sz w:val="17"/>
          <w:szCs w:val="17"/>
          <w:color w:val="auto"/>
        </w:rPr>
      </w:pPr>
    </w:p>
    <w:p>
      <w:pPr>
        <w:ind w:left="8" w:right="259" w:hanging="8"/>
        <w:spacing w:after="0" w:line="277" w:lineRule="auto"/>
        <w:tabs>
          <w:tab w:leader="none" w:pos="31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adoption of any plan or proposal for the liquidation or dissolution of the corporation proposed by or on behalf of an Interested Shareholder or any Affiliate of any Interested Shareholder; or</w:t>
      </w:r>
    </w:p>
    <w:p>
      <w:pPr>
        <w:spacing w:after="0" w:line="129" w:lineRule="exact"/>
        <w:rPr>
          <w:rFonts w:ascii="Arial" w:cs="Arial" w:eastAsia="Arial" w:hAnsi="Arial"/>
          <w:sz w:val="18"/>
          <w:szCs w:val="18"/>
          <w:color w:val="auto"/>
        </w:rPr>
      </w:pPr>
    </w:p>
    <w:p>
      <w:pPr>
        <w:ind w:left="8" w:right="379" w:hanging="8"/>
        <w:spacing w:after="0" w:line="276" w:lineRule="auto"/>
        <w:tabs>
          <w:tab w:leader="none" w:pos="263"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any reclassification of securities (including any reverse stock split), or recapitalization of the corporation, or any merger or consolidation of the corporation with any of its Subsidiaries or any other transaction (whether or not with or into or otherwise involving an Interested Shareholder) which has the effect, directly or indirectly, of increasing the proportionate share of the outstanding shares of any class of equity or convertible securities of the corporation or any Subsidiary which is directly or indirectly owned by any Interested Shareholder or any Affiliate of any Interested Shareholder.</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8"/>
          <w:szCs w:val="18"/>
          <w:color w:val="auto"/>
        </w:rPr>
        <w:t>II. For purposes of this Article XII:</w:t>
      </w:r>
    </w:p>
    <w:p>
      <w:pPr>
        <w:spacing w:after="0" w:line="198" w:lineRule="exact"/>
        <w:rPr>
          <w:sz w:val="20"/>
          <w:szCs w:val="20"/>
          <w:color w:val="auto"/>
        </w:rPr>
      </w:pPr>
    </w:p>
    <w:p>
      <w:pPr>
        <w:ind w:left="288" w:hanging="288"/>
        <w:spacing w:after="0"/>
        <w:tabs>
          <w:tab w:leader="none" w:pos="28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“person” shall mean any individual, firm, corporation or other entity.</w:t>
      </w:r>
    </w:p>
    <w:p>
      <w:pPr>
        <w:spacing w:after="0" w:line="184" w:lineRule="exact"/>
        <w:rPr>
          <w:rFonts w:ascii="Arial" w:cs="Arial" w:eastAsia="Arial" w:hAnsi="Arial"/>
          <w:sz w:val="18"/>
          <w:szCs w:val="18"/>
          <w:color w:val="auto"/>
        </w:rPr>
      </w:pPr>
    </w:p>
    <w:p>
      <w:pPr>
        <w:ind w:left="8" w:right="739" w:hanging="8"/>
        <w:spacing w:after="0" w:line="277" w:lineRule="auto"/>
        <w:tabs>
          <w:tab w:leader="none" w:pos="29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“Interested Shareholder” shall mean any person (other than the corporation, any Subsidiary or either the corporation or any Subsidiary acting as Trustee or in a similar fiduciary capacity) who or which:</w:t>
      </w:r>
    </w:p>
    <w:p>
      <w:pPr>
        <w:spacing w:after="0" w:line="130" w:lineRule="exact"/>
        <w:rPr>
          <w:sz w:val="20"/>
          <w:szCs w:val="20"/>
          <w:color w:val="auto"/>
        </w:rPr>
      </w:pPr>
    </w:p>
    <w:p>
      <w:pPr>
        <w:ind w:left="208" w:hanging="208"/>
        <w:spacing w:after="0"/>
        <w:tabs>
          <w:tab w:leader="none" w:pos="20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is the beneficial owner of more than 10% of the outstanding Common Stock; or</w:t>
      </w:r>
    </w:p>
    <w:p>
      <w:pPr>
        <w:spacing w:after="0" w:line="198" w:lineRule="exact"/>
        <w:rPr>
          <w:rFonts w:ascii="Arial" w:cs="Arial" w:eastAsia="Arial" w:hAnsi="Arial"/>
          <w:sz w:val="18"/>
          <w:szCs w:val="18"/>
          <w:color w:val="auto"/>
        </w:rPr>
      </w:pPr>
    </w:p>
    <w:p>
      <w:pPr>
        <w:ind w:left="8" w:right="619" w:hanging="8"/>
        <w:spacing w:after="0" w:line="277" w:lineRule="auto"/>
        <w:tabs>
          <w:tab w:leader="none" w:pos="27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is an Affiliate of the corporation and at any time within the two-year period immediately prior to the date in question was the beneficial owner, directly or indirectly, of 10% or more of then outstanding Common Stock; or</w:t>
      </w:r>
    </w:p>
    <w:p>
      <w:pPr>
        <w:spacing w:after="0" w:line="129" w:lineRule="exact"/>
        <w:rPr>
          <w:rFonts w:ascii="Arial" w:cs="Arial" w:eastAsia="Arial" w:hAnsi="Arial"/>
          <w:sz w:val="18"/>
          <w:szCs w:val="18"/>
          <w:color w:val="auto"/>
        </w:rPr>
      </w:pPr>
    </w:p>
    <w:p>
      <w:pPr>
        <w:ind w:left="8" w:right="499" w:hanging="8"/>
        <w:spacing w:after="0" w:line="286" w:lineRule="auto"/>
        <w:tabs>
          <w:tab w:leader="none" w:pos="323"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acquired any shares of Common Stock which were at any time within the two-year period immediately prior to the date in question beneficially owned by any Interested Shareholder, if such acquisition shall have occurred in the course of a transaction or series of transactions not involving a public offering within the meaning of the Securities Act of 1993.</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8"/>
          <w:szCs w:val="18"/>
          <w:color w:val="auto"/>
        </w:rPr>
        <w:t>(C) A person shall be a “beneficial owner” of any Common Stock:</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7"/>
          <w:szCs w:val="17"/>
          <w:color w:val="auto"/>
        </w:rPr>
        <w:t>(i) which such person or any of its Affiliates or Associates (as hereinafter defined) beneficially owns, directly or indirectly;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654685</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181" w:name="page182"/>
    <w:bookmarkEnd w:id="181"/>
    <w:p>
      <w:pPr>
        <w:ind w:left="8" w:right="499" w:hanging="8"/>
        <w:spacing w:after="0" w:line="259" w:lineRule="auto"/>
        <w:tabs>
          <w:tab w:leader="none" w:pos="27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which such person or any of its Affiliates or Associates has, directly or indirectly,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pacing w:after="0" w:line="159" w:lineRule="exact"/>
        <w:rPr>
          <w:rFonts w:ascii="Arial" w:cs="Arial" w:eastAsia="Arial" w:hAnsi="Arial"/>
          <w:sz w:val="18"/>
          <w:szCs w:val="18"/>
          <w:color w:val="auto"/>
        </w:rPr>
      </w:pPr>
    </w:p>
    <w:p>
      <w:pPr>
        <w:ind w:left="8" w:right="319" w:hanging="8"/>
        <w:spacing w:after="0" w:line="264" w:lineRule="auto"/>
        <w:tabs>
          <w:tab w:leader="none" w:pos="32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which are beneficially owned, directly or indirectly, by any other person with which such person or any of its Affiliates or Associates has any agreement, arrangement or understanding for the purpose of acquiring, holding, voting or disposing of any shares of Common Stock.</w:t>
      </w:r>
    </w:p>
    <w:p>
      <w:pPr>
        <w:spacing w:after="0" w:line="141" w:lineRule="exact"/>
        <w:rPr>
          <w:sz w:val="20"/>
          <w:szCs w:val="20"/>
          <w:color w:val="auto"/>
        </w:rPr>
      </w:pPr>
    </w:p>
    <w:p>
      <w:pPr>
        <w:ind w:left="8" w:right="339" w:hanging="8"/>
        <w:spacing w:after="0" w:line="279" w:lineRule="auto"/>
        <w:tabs>
          <w:tab w:leader="none" w:pos="303" w:val="left"/>
        </w:tabs>
        <w:numPr>
          <w:ilvl w:val="0"/>
          <w:numId w:val="200"/>
        </w:numPr>
        <w:rPr>
          <w:rFonts w:ascii="Arial" w:cs="Arial" w:eastAsia="Arial" w:hAnsi="Arial"/>
          <w:sz w:val="17"/>
          <w:szCs w:val="17"/>
          <w:color w:val="auto"/>
        </w:rPr>
      </w:pPr>
      <w:r>
        <w:rPr>
          <w:rFonts w:ascii="Arial" w:cs="Arial" w:eastAsia="Arial" w:hAnsi="Arial"/>
          <w:sz w:val="17"/>
          <w:szCs w:val="17"/>
          <w:color w:val="auto"/>
        </w:rPr>
        <w:t>For the purposes of determining whether a person is an Interested Shareholder pursuant to paragraph B of this Section II, the number of shares of Common Stock deemed to be outstanding shall include shares deemed owned through application of paragraph C(ii)(a) of this Section II but shall not include any other shares of Common Stock which may be issuable pursuant to any agreement, arrangement or understanding, or upon exercise of conversion rights, warrants or options, or otherwise.</w:t>
      </w:r>
    </w:p>
    <w:p>
      <w:pPr>
        <w:spacing w:after="0" w:line="130" w:lineRule="exact"/>
        <w:rPr>
          <w:rFonts w:ascii="Arial" w:cs="Arial" w:eastAsia="Arial" w:hAnsi="Arial"/>
          <w:sz w:val="17"/>
          <w:szCs w:val="17"/>
          <w:color w:val="auto"/>
        </w:rPr>
      </w:pPr>
    </w:p>
    <w:p>
      <w:pPr>
        <w:ind w:left="8" w:right="179" w:hanging="8"/>
        <w:spacing w:after="0" w:line="277" w:lineRule="auto"/>
        <w:tabs>
          <w:tab w:leader="none" w:pos="283"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 An “Affiliate” of a specified person is a person that directly, through one or more intermediaries, controls, or is controlled by, or is under common control with, the person specified.</w:t>
      </w:r>
    </w:p>
    <w:p>
      <w:pPr>
        <w:spacing w:after="0" w:line="143" w:lineRule="exact"/>
        <w:rPr>
          <w:sz w:val="20"/>
          <w:szCs w:val="20"/>
          <w:color w:val="auto"/>
        </w:rPr>
      </w:pPr>
    </w:p>
    <w:p>
      <w:pPr>
        <w:ind w:left="8" w:right="179" w:hanging="8"/>
        <w:spacing w:after="0" w:line="257" w:lineRule="auto"/>
        <w:tabs>
          <w:tab w:leader="none" w:pos="26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term “Associate” used to indicate a relationship with any person means (1) any firm, corporation or other entity (other than the corporation or any Subsidiary) of which such person is an officer or partner or is, directly or indirectly, the beneficial owner of 10% or more of any class of equity securities, (2) any trust or other estate in which such person has a substantial beneficial interest or as to which such person serves as trustee or in a similar fiduciary capacity, and (3) any relative or spouse or such person, or any relative of such spouse who has the same home as such person.</w:t>
      </w:r>
    </w:p>
    <w:p>
      <w:pPr>
        <w:spacing w:after="0" w:line="148" w:lineRule="exact"/>
        <w:rPr>
          <w:sz w:val="20"/>
          <w:szCs w:val="20"/>
          <w:color w:val="auto"/>
        </w:rPr>
      </w:pPr>
    </w:p>
    <w:p>
      <w:pPr>
        <w:ind w:left="8" w:right="459" w:hanging="8"/>
        <w:spacing w:after="0" w:line="277" w:lineRule="auto"/>
        <w:tabs>
          <w:tab w:leader="none" w:pos="27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“Subsidiary” means any corporation of which a majority of any class of equity securities is owned, directly or indirectly, by the corporation unless owned solely as trustee or other similar fiduciary capacity.</w:t>
      </w:r>
    </w:p>
    <w:p>
      <w:pPr>
        <w:spacing w:after="0" w:line="129" w:lineRule="exact"/>
        <w:rPr>
          <w:rFonts w:ascii="Arial" w:cs="Arial" w:eastAsia="Arial" w:hAnsi="Arial"/>
          <w:sz w:val="18"/>
          <w:szCs w:val="18"/>
          <w:color w:val="auto"/>
        </w:rPr>
      </w:pPr>
    </w:p>
    <w:p>
      <w:pPr>
        <w:ind w:left="288" w:hanging="288"/>
        <w:spacing w:after="0"/>
        <w:tabs>
          <w:tab w:leader="none" w:pos="28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“Fair Market value” means:</w:t>
      </w:r>
    </w:p>
    <w:p>
      <w:pPr>
        <w:spacing w:after="0" w:line="198" w:lineRule="exact"/>
        <w:rPr>
          <w:sz w:val="20"/>
          <w:szCs w:val="20"/>
          <w:color w:val="auto"/>
        </w:rPr>
      </w:pPr>
    </w:p>
    <w:p>
      <w:pPr>
        <w:ind w:left="8" w:right="179" w:hanging="8"/>
        <w:spacing w:after="0" w:line="291" w:lineRule="auto"/>
        <w:tabs>
          <w:tab w:leader="none" w:pos="223"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in the case of stock, the closing sales price of a share of such stock on the Composite Tape on the New York Stock Exchange-Listed Stocks, or, if such stock is not quoted on the Composite Tape, on the New York Stock Exchange, or, if such stock is not listed on such Exchange, on the principal United States securities exchange registered under the Securities Exchange Act of 1934, as amended, on which such stock is listed, or, if such stock is not listed on any such exchange, the closing sales price or the sales price or the average of the bid and asked prices reported with respect to a share of such stock on the National Association of Securities Dealers, Inc. Automated Quotation System or any system then in use, or if no such quotations are available, the fair market value on the date in question of a share of such stock as determined by the Board in good faith;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610235</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182" w:name="page183"/>
    <w:bookmarkEnd w:id="182"/>
    <w:p>
      <w:pPr>
        <w:ind w:left="8" w:right="339" w:firstLine="381"/>
        <w:spacing w:after="0" w:line="277" w:lineRule="auto"/>
        <w:tabs>
          <w:tab w:leader="none" w:pos="66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in the case of property other than cash or stock, the fair market value of such property on the date in question as determined by the Board in good faith.</w:t>
      </w:r>
    </w:p>
    <w:p>
      <w:pPr>
        <w:spacing w:after="0" w:line="143" w:lineRule="exact"/>
        <w:rPr>
          <w:rFonts w:ascii="Arial" w:cs="Arial" w:eastAsia="Arial" w:hAnsi="Arial"/>
          <w:sz w:val="18"/>
          <w:szCs w:val="18"/>
          <w:color w:val="auto"/>
        </w:rPr>
      </w:pPr>
    </w:p>
    <w:p>
      <w:pPr>
        <w:ind w:left="288" w:hanging="288"/>
        <w:spacing w:after="0"/>
        <w:tabs>
          <w:tab w:leader="none" w:pos="28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term “acquire” or “acquired” means the acquisition of beneficial ownership.</w:t>
      </w:r>
    </w:p>
    <w:p>
      <w:pPr>
        <w:spacing w:after="0" w:line="184" w:lineRule="exact"/>
        <w:rPr>
          <w:rFonts w:ascii="Arial" w:cs="Arial" w:eastAsia="Arial" w:hAnsi="Arial"/>
          <w:sz w:val="18"/>
          <w:szCs w:val="18"/>
          <w:color w:val="auto"/>
        </w:rPr>
      </w:pPr>
    </w:p>
    <w:p>
      <w:pPr>
        <w:ind w:left="8" w:right="419" w:hanging="8"/>
        <w:spacing w:after="0" w:line="277" w:lineRule="auto"/>
        <w:tabs>
          <w:tab w:leader="none" w:pos="22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Board of Directors of the corporation shall have the power and duty to determine for the purposes of this Article XII, on the basis of information known to them after reasonable inquiry,</w:t>
      </w:r>
    </w:p>
    <w:p>
      <w:pPr>
        <w:spacing w:after="0" w:line="130" w:lineRule="exact"/>
        <w:rPr>
          <w:sz w:val="20"/>
          <w:szCs w:val="20"/>
          <w:color w:val="auto"/>
        </w:rPr>
      </w:pPr>
    </w:p>
    <w:p>
      <w:pPr>
        <w:ind w:left="208" w:hanging="208"/>
        <w:spacing w:after="0"/>
        <w:tabs>
          <w:tab w:leader="none" w:pos="20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whether a person is an Interested Shareholder,</w:t>
      </w:r>
    </w:p>
    <w:p>
      <w:pPr>
        <w:spacing w:after="0" w:line="198" w:lineRule="exact"/>
        <w:rPr>
          <w:rFonts w:ascii="Arial" w:cs="Arial" w:eastAsia="Arial" w:hAnsi="Arial"/>
          <w:sz w:val="18"/>
          <w:szCs w:val="18"/>
          <w:color w:val="auto"/>
        </w:rPr>
      </w:pPr>
    </w:p>
    <w:p>
      <w:pPr>
        <w:ind w:left="268" w:hanging="268"/>
        <w:spacing w:after="0"/>
        <w:tabs>
          <w:tab w:leader="none" w:pos="26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by any person,</w:t>
      </w:r>
    </w:p>
    <w:p>
      <w:pPr>
        <w:spacing w:after="0" w:line="184" w:lineRule="exact"/>
        <w:rPr>
          <w:rFonts w:ascii="Arial" w:cs="Arial" w:eastAsia="Arial" w:hAnsi="Arial"/>
          <w:sz w:val="18"/>
          <w:szCs w:val="18"/>
          <w:color w:val="auto"/>
        </w:rPr>
      </w:pPr>
    </w:p>
    <w:p>
      <w:pPr>
        <w:ind w:left="308" w:hanging="308"/>
        <w:spacing w:after="0"/>
        <w:tabs>
          <w:tab w:leader="none" w:pos="308"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whether a person is an Affiliate or Associate or another, and</w:t>
      </w:r>
    </w:p>
    <w:p>
      <w:pPr>
        <w:spacing w:after="0" w:line="184" w:lineRule="exact"/>
        <w:rPr>
          <w:rFonts w:ascii="Arial" w:cs="Arial" w:eastAsia="Arial" w:hAnsi="Arial"/>
          <w:sz w:val="18"/>
          <w:szCs w:val="18"/>
          <w:color w:val="auto"/>
        </w:rPr>
      </w:pPr>
    </w:p>
    <w:p>
      <w:pPr>
        <w:ind w:left="8" w:right="199" w:hanging="8"/>
        <w:spacing w:after="0" w:line="264" w:lineRule="auto"/>
        <w:tabs>
          <w:tab w:leader="none" w:pos="31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whether the assets which are the subject of any Business Combination have, or the consideration to be received for the issuance or transfer of securities by the corporation or any Subsidiary in any Business Combination has, an aggregate Fair Market Value of $1,000,000 or more.</w:t>
      </w:r>
    </w:p>
    <w:p>
      <w:pPr>
        <w:spacing w:after="0" w:line="154" w:lineRule="exact"/>
        <w:rPr>
          <w:sz w:val="20"/>
          <w:szCs w:val="20"/>
          <w:color w:val="auto"/>
        </w:rPr>
      </w:pPr>
    </w:p>
    <w:p>
      <w:pPr>
        <w:ind w:left="8" w:right="299" w:hanging="8"/>
        <w:spacing w:after="0" w:line="277" w:lineRule="auto"/>
        <w:tabs>
          <w:tab w:leader="none" w:pos="243"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Nothing contained in this Article XII shall be construed to relieve any Interested Shareholder or any of its Affiliates or Associates from any fiduciary obligation imposed by law.</w:t>
      </w:r>
    </w:p>
    <w:p>
      <w:pPr>
        <w:spacing w:after="0" w:line="130"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XIII.</w:t>
      </w:r>
    </w:p>
    <w:p>
      <w:pPr>
        <w:spacing w:after="0" w:line="185" w:lineRule="exact"/>
        <w:rPr>
          <w:sz w:val="20"/>
          <w:szCs w:val="20"/>
          <w:color w:val="auto"/>
        </w:rPr>
      </w:pPr>
    </w:p>
    <w:p>
      <w:pPr>
        <w:ind w:left="8" w:right="359"/>
        <w:spacing w:after="0" w:line="277" w:lineRule="auto"/>
        <w:rPr>
          <w:sz w:val="20"/>
          <w:szCs w:val="20"/>
          <w:color w:val="auto"/>
        </w:rPr>
      </w:pPr>
      <w:r>
        <w:rPr>
          <w:rFonts w:ascii="Arial" w:cs="Arial" w:eastAsia="Arial" w:hAnsi="Arial"/>
          <w:sz w:val="18"/>
          <w:szCs w:val="18"/>
          <w:color w:val="auto"/>
        </w:rPr>
        <w:t>A director of the corporation may be removed only for cause and upon the affirmative vote of the holders of two-thirds of the issued and outstanding shares entitled to vote on such matter.</w:t>
      </w:r>
    </w:p>
    <w:p>
      <w:pPr>
        <w:sectPr>
          <w:pgSz w:w="11900" w:h="16838" w:orient="portrait"/>
          <w:cols w:equalWidth="0" w:num="1">
            <w:col w:w="9887"/>
          </w:cols>
          <w:pgMar w:left="572" w:top="936" w:right="1440" w:bottom="1440" w:gutter="0" w:footer="0" w:header="0"/>
        </w:sectPr>
      </w:pPr>
    </w:p>
    <w:bookmarkStart w:id="183" w:name="page184"/>
    <w:bookmarkEnd w:id="183"/>
    <w:p>
      <w:pPr>
        <w:jc w:val="center"/>
        <w:ind w:right="151"/>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Jimmy C. Tallent, certify that:</w:t>
      </w:r>
    </w:p>
    <w:p>
      <w:pPr>
        <w:spacing w:after="0" w:line="198" w:lineRule="exact"/>
        <w:rPr>
          <w:sz w:val="20"/>
          <w:szCs w:val="20"/>
          <w:color w:val="auto"/>
        </w:rPr>
      </w:pPr>
    </w:p>
    <w:p>
      <w:pPr>
        <w:ind w:left="188" w:hanging="188"/>
        <w:spacing w:after="0"/>
        <w:tabs>
          <w:tab w:leader="none" w:pos="18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184" w:lineRule="exact"/>
        <w:rPr>
          <w:rFonts w:ascii="Arial" w:cs="Arial" w:eastAsia="Arial" w:hAnsi="Arial"/>
          <w:sz w:val="18"/>
          <w:szCs w:val="18"/>
          <w:color w:val="auto"/>
        </w:rPr>
      </w:pPr>
    </w:p>
    <w:p>
      <w:pPr>
        <w:jc w:val="both"/>
        <w:ind w:left="8" w:right="159" w:hanging="8"/>
        <w:spacing w:after="0" w:line="264" w:lineRule="auto"/>
        <w:tabs>
          <w:tab w:leader="none" w:pos="21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8" w:right="159" w:hanging="8"/>
        <w:spacing w:after="0" w:line="264" w:lineRule="auto"/>
        <w:tabs>
          <w:tab w:leader="none" w:pos="21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8" w:right="159" w:hanging="8"/>
        <w:spacing w:after="0" w:line="264" w:lineRule="auto"/>
        <w:tabs>
          <w:tab w:leader="none" w:pos="18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jc w:val="both"/>
        <w:ind w:left="388" w:right="159" w:firstLine="1"/>
        <w:spacing w:after="0" w:line="286" w:lineRule="auto"/>
        <w:tabs>
          <w:tab w:leader="none" w:pos="575" w:val="left"/>
        </w:tabs>
        <w:numPr>
          <w:ilvl w:val="1"/>
          <w:numId w:val="20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7"/>
          <w:szCs w:val="17"/>
          <w:color w:val="auto"/>
        </w:rPr>
      </w:pPr>
    </w:p>
    <w:p>
      <w:pPr>
        <w:jc w:val="both"/>
        <w:ind w:left="388" w:right="159" w:firstLine="1"/>
        <w:spacing w:after="0" w:line="286" w:lineRule="auto"/>
        <w:tabs>
          <w:tab w:leader="none" w:pos="586" w:val="left"/>
        </w:tabs>
        <w:numPr>
          <w:ilvl w:val="1"/>
          <w:numId w:val="20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jc w:val="both"/>
        <w:ind w:left="388" w:right="159" w:firstLine="1"/>
        <w:spacing w:after="0" w:line="264" w:lineRule="auto"/>
        <w:tabs>
          <w:tab w:leader="none" w:pos="581" w:val="left"/>
        </w:tabs>
        <w:numPr>
          <w:ilvl w:val="1"/>
          <w:numId w:val="20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388" w:right="159" w:firstLine="1"/>
        <w:spacing w:after="0" w:line="264" w:lineRule="auto"/>
        <w:tabs>
          <w:tab w:leader="none" w:pos="61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8" w:right="179" w:hanging="8"/>
        <w:spacing w:after="0" w:line="277" w:lineRule="auto"/>
        <w:tabs>
          <w:tab w:leader="none" w:pos="19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3" w:lineRule="exact"/>
        <w:rPr>
          <w:rFonts w:ascii="Arial" w:cs="Arial" w:eastAsia="Arial" w:hAnsi="Arial"/>
          <w:sz w:val="18"/>
          <w:szCs w:val="18"/>
          <w:color w:val="auto"/>
        </w:rPr>
      </w:pPr>
    </w:p>
    <w:p>
      <w:pPr>
        <w:jc w:val="both"/>
        <w:ind w:left="388" w:right="179" w:firstLine="1"/>
        <w:spacing w:after="0" w:line="264" w:lineRule="auto"/>
        <w:tabs>
          <w:tab w:leader="none" w:pos="597"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88" w:right="179" w:firstLine="1"/>
        <w:spacing w:after="0" w:line="277" w:lineRule="auto"/>
        <w:tabs>
          <w:tab w:leader="none" w:pos="623"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508"/>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-130810</wp:posOffset>
            </wp:positionV>
            <wp:extent cx="21780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President and Chief Executive Officer of the</w:t>
      </w:r>
    </w:p>
    <w:p>
      <w:pPr>
        <w:spacing w:after="0" w:line="9"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4508"/>
        <w:spacing w:after="0"/>
        <w:rPr>
          <w:sz w:val="20"/>
          <w:szCs w:val="20"/>
          <w:color w:val="auto"/>
        </w:rPr>
      </w:pPr>
      <w:r>
        <w:rPr>
          <w:rFonts w:ascii="Arial" w:cs="Arial" w:eastAsia="Arial" w:hAnsi="Arial"/>
          <w:sz w:val="18"/>
          <w:szCs w:val="18"/>
          <w:color w:val="auto"/>
        </w:rPr>
        <w:t>Date: August 8, 2011</w:t>
      </w:r>
    </w:p>
    <w:p>
      <w:pPr>
        <w:sectPr>
          <w:pgSz w:w="11900" w:h="16838" w:orient="portrait"/>
          <w:cols w:equalWidth="0" w:num="1">
            <w:col w:w="9887"/>
          </w:cols>
          <w:pgMar w:left="572" w:top="121" w:right="1440" w:bottom="1440" w:gutter="0" w:footer="0" w:header="0"/>
        </w:sectPr>
      </w:pPr>
    </w:p>
    <w:bookmarkStart w:id="184" w:name="page185"/>
    <w:bookmarkEnd w:id="184"/>
    <w:p>
      <w:pPr>
        <w:jc w:val="center"/>
        <w:ind w:right="151"/>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Rex S. Schuette, certify that:</w:t>
      </w:r>
    </w:p>
    <w:p>
      <w:pPr>
        <w:spacing w:after="0" w:line="198" w:lineRule="exact"/>
        <w:rPr>
          <w:sz w:val="20"/>
          <w:szCs w:val="20"/>
          <w:color w:val="auto"/>
        </w:rPr>
      </w:pPr>
    </w:p>
    <w:p>
      <w:pPr>
        <w:ind w:left="188" w:hanging="188"/>
        <w:spacing w:after="0"/>
        <w:tabs>
          <w:tab w:leader="none" w:pos="18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184" w:lineRule="exact"/>
        <w:rPr>
          <w:rFonts w:ascii="Arial" w:cs="Arial" w:eastAsia="Arial" w:hAnsi="Arial"/>
          <w:sz w:val="18"/>
          <w:szCs w:val="18"/>
          <w:color w:val="auto"/>
        </w:rPr>
      </w:pPr>
    </w:p>
    <w:p>
      <w:pPr>
        <w:jc w:val="both"/>
        <w:ind w:left="8" w:right="159" w:hanging="8"/>
        <w:spacing w:after="0" w:line="264" w:lineRule="auto"/>
        <w:tabs>
          <w:tab w:leader="none" w:pos="21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8" w:right="159" w:hanging="8"/>
        <w:spacing w:after="0" w:line="264" w:lineRule="auto"/>
        <w:tabs>
          <w:tab w:leader="none" w:pos="21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8" w:right="159" w:hanging="8"/>
        <w:spacing w:after="0" w:line="264" w:lineRule="auto"/>
        <w:tabs>
          <w:tab w:leader="none" w:pos="18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jc w:val="both"/>
        <w:ind w:left="388" w:right="159" w:firstLine="1"/>
        <w:spacing w:after="0" w:line="286" w:lineRule="auto"/>
        <w:tabs>
          <w:tab w:leader="none" w:pos="575" w:val="left"/>
        </w:tabs>
        <w:numPr>
          <w:ilvl w:val="1"/>
          <w:numId w:val="20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7"/>
          <w:szCs w:val="17"/>
          <w:color w:val="auto"/>
        </w:rPr>
      </w:pPr>
    </w:p>
    <w:p>
      <w:pPr>
        <w:jc w:val="both"/>
        <w:ind w:left="388" w:right="159" w:firstLine="1"/>
        <w:spacing w:after="0" w:line="286" w:lineRule="auto"/>
        <w:tabs>
          <w:tab w:leader="none" w:pos="586" w:val="left"/>
        </w:tabs>
        <w:numPr>
          <w:ilvl w:val="1"/>
          <w:numId w:val="20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jc w:val="both"/>
        <w:ind w:left="388" w:right="159" w:firstLine="1"/>
        <w:spacing w:after="0" w:line="264" w:lineRule="auto"/>
        <w:tabs>
          <w:tab w:leader="none" w:pos="581" w:val="left"/>
        </w:tabs>
        <w:numPr>
          <w:ilvl w:val="1"/>
          <w:numId w:val="20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388" w:right="159" w:firstLine="1"/>
        <w:spacing w:after="0" w:line="264" w:lineRule="auto"/>
        <w:tabs>
          <w:tab w:leader="none" w:pos="61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8" w:right="179" w:hanging="8"/>
        <w:spacing w:after="0" w:line="277" w:lineRule="auto"/>
        <w:tabs>
          <w:tab w:leader="none" w:pos="19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43" w:lineRule="exact"/>
        <w:rPr>
          <w:rFonts w:ascii="Arial" w:cs="Arial" w:eastAsia="Arial" w:hAnsi="Arial"/>
          <w:sz w:val="18"/>
          <w:szCs w:val="18"/>
          <w:color w:val="auto"/>
        </w:rPr>
      </w:pPr>
    </w:p>
    <w:p>
      <w:pPr>
        <w:jc w:val="both"/>
        <w:ind w:left="388" w:right="179" w:firstLine="1"/>
        <w:spacing w:after="0" w:line="264" w:lineRule="auto"/>
        <w:tabs>
          <w:tab w:leader="none" w:pos="59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88" w:right="179" w:firstLine="1"/>
        <w:spacing w:after="0" w:line="277" w:lineRule="auto"/>
        <w:tabs>
          <w:tab w:leader="none" w:pos="623"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508"/>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-130810</wp:posOffset>
            </wp:positionV>
            <wp:extent cx="217805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Executive Vice President and Chief Financial</w:t>
      </w:r>
    </w:p>
    <w:p>
      <w:pPr>
        <w:spacing w:after="0" w:line="9"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Officer of the Registrant</w:t>
      </w:r>
    </w:p>
    <w:p>
      <w:pPr>
        <w:spacing w:after="0" w:line="211" w:lineRule="exact"/>
        <w:rPr>
          <w:sz w:val="20"/>
          <w:szCs w:val="20"/>
          <w:color w:val="auto"/>
        </w:rPr>
      </w:pPr>
    </w:p>
    <w:p>
      <w:pPr>
        <w:ind w:left="4508"/>
        <w:spacing w:after="0"/>
        <w:rPr>
          <w:sz w:val="20"/>
          <w:szCs w:val="20"/>
          <w:color w:val="auto"/>
        </w:rPr>
      </w:pPr>
      <w:r>
        <w:rPr>
          <w:rFonts w:ascii="Arial" w:cs="Arial" w:eastAsia="Arial" w:hAnsi="Arial"/>
          <w:sz w:val="18"/>
          <w:szCs w:val="18"/>
          <w:color w:val="auto"/>
        </w:rPr>
        <w:t>Date: August 8, 2011</w:t>
      </w:r>
    </w:p>
    <w:p>
      <w:pPr>
        <w:sectPr>
          <w:pgSz w:w="11900" w:h="16838" w:orient="portrait"/>
          <w:cols w:equalWidth="0" w:num="1">
            <w:col w:w="9887"/>
          </w:cols>
          <w:pgMar w:left="572" w:top="121" w:right="1440" w:bottom="1440" w:gutter="0" w:footer="0" w:header="0"/>
        </w:sectPr>
      </w:pPr>
    </w:p>
    <w:bookmarkStart w:id="185" w:name="page186"/>
    <w:bookmarkEnd w:id="185"/>
    <w:p>
      <w:pPr>
        <w:ind w:left="4460"/>
        <w:spacing w:after="0"/>
        <w:rPr>
          <w:sz w:val="20"/>
          <w:szCs w:val="20"/>
          <w:color w:val="auto"/>
        </w:rPr>
      </w:pPr>
      <w:r>
        <w:rPr>
          <w:rFonts w:ascii="Arial" w:cs="Arial" w:eastAsia="Arial" w:hAnsi="Arial"/>
          <w:sz w:val="18"/>
          <w:szCs w:val="18"/>
          <w:b w:val="1"/>
          <w:bCs w:val="1"/>
          <w:color w:val="auto"/>
        </w:rPr>
        <w:t>Exhibit 32</w:t>
      </w:r>
    </w:p>
    <w:p>
      <w:pPr>
        <w:spacing w:after="0" w:line="18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159"/>
        <w:spacing w:after="0" w:line="279" w:lineRule="auto"/>
        <w:rPr>
          <w:sz w:val="20"/>
          <w:szCs w:val="20"/>
          <w:color w:val="auto"/>
        </w:rPr>
      </w:pPr>
      <w:r>
        <w:rPr>
          <w:rFonts w:ascii="Arial" w:cs="Arial" w:eastAsia="Arial" w:hAnsi="Arial"/>
          <w:sz w:val="17"/>
          <w:szCs w:val="17"/>
          <w:color w:val="auto"/>
        </w:rPr>
        <w:t>In connection with the Quarterly Report of United Community Banks, Inc. (“United”) on Form 10-Q for the period ending June 30, 2011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131" w:lineRule="exact"/>
        <w:rPr>
          <w:sz w:val="20"/>
          <w:szCs w:val="20"/>
          <w:color w:val="auto"/>
        </w:rPr>
      </w:pPr>
    </w:p>
    <w:p>
      <w:pPr>
        <w:ind w:left="740" w:hanging="370"/>
        <w:spacing w:after="0"/>
        <w:tabs>
          <w:tab w:leader="none" w:pos="74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96" w:lineRule="exact"/>
        <w:rPr>
          <w:rFonts w:ascii="Arial" w:cs="Arial" w:eastAsia="Arial" w:hAnsi="Arial"/>
          <w:sz w:val="17"/>
          <w:szCs w:val="17"/>
          <w:color w:val="auto"/>
        </w:rPr>
      </w:pPr>
    </w:p>
    <w:p>
      <w:pPr>
        <w:ind w:left="740" w:right="159" w:hanging="370"/>
        <w:spacing w:after="0" w:line="277" w:lineRule="auto"/>
        <w:tabs>
          <w:tab w:leader="none" w:pos="7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United.</w:t>
      </w:r>
    </w:p>
    <w:p>
      <w:pPr>
        <w:spacing w:after="0" w:line="17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-130810</wp:posOffset>
            </wp:positionV>
            <wp:extent cx="217805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-130810</wp:posOffset>
            </wp:positionV>
            <wp:extent cx="217805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Executive Vice President and Chief Financial</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Date: August 8, 2011</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299938"/>
    <w:multiLevelType w:val="hybridMultilevel"/>
    <w:lvl w:ilvl="0">
      <w:lvlJc w:val="left"/>
      <w:lvlText w:val="☑"/>
      <w:numFmt w:val="bullet"/>
      <w:start w:val="1"/>
    </w:lvl>
  </w:abstractNum>
  <w:abstractNum w:abstractNumId="1">
    <w:nsid w:val="1FBFE8E0"/>
    <w:multiLevelType w:val="hybridMultilevel"/>
    <w:lvl w:ilvl="0">
      <w:lvlJc w:val="left"/>
      <w:lvlText w:val="o"/>
      <w:numFmt w:val="bullet"/>
      <w:start w:val="1"/>
    </w:lvl>
  </w:abstractNum>
  <w:abstractNum w:abstractNumId="2">
    <w:nsid w:val="5092CA79"/>
    <w:multiLevelType w:val="hybridMultilevel"/>
    <w:lvl w:ilvl="0">
      <w:lvlJc w:val="left"/>
      <w:lvlText w:val="(%1)"/>
      <w:numFmt w:val="decimal"/>
      <w:start w:val="1"/>
    </w:lvl>
  </w:abstractNum>
  <w:abstractNum w:abstractNumId="3">
    <w:nsid w:val="1D545C4D"/>
    <w:multiLevelType w:val="hybridMultilevel"/>
    <w:lvl w:ilvl="0">
      <w:lvlJc w:val="left"/>
      <w:lvlText w:val="(%1)"/>
      <w:numFmt w:val="decimal"/>
      <w:start w:val="1"/>
    </w:lvl>
  </w:abstractNum>
  <w:abstractNum w:abstractNumId="4">
    <w:nsid w:val="59ADEA3D"/>
    <w:multiLevelType w:val="hybridMultilevel"/>
    <w:lvl w:ilvl="0">
      <w:lvlJc w:val="left"/>
      <w:lvlText w:val="$"/>
      <w:numFmt w:val="bullet"/>
      <w:start w:val="1"/>
    </w:lvl>
  </w:abstractNum>
  <w:abstractNum w:abstractNumId="5">
    <w:nsid w:val="288F1A34"/>
    <w:multiLevelType w:val="hybridMultilevel"/>
    <w:lvl w:ilvl="0">
      <w:lvlJc w:val="left"/>
      <w:lvlText w:val="$"/>
      <w:numFmt w:val="bullet"/>
      <w:start w:val="1"/>
    </w:lvl>
  </w:abstractNum>
  <w:abstractNum w:abstractNumId="6">
    <w:nsid w:val="2A155DBC"/>
    <w:multiLevelType w:val="hybridMultilevel"/>
    <w:lvl w:ilvl="0">
      <w:lvlJc w:val="left"/>
      <w:lvlText w:val="•"/>
      <w:numFmt w:val="bullet"/>
      <w:start w:val="1"/>
    </w:lvl>
  </w:abstractNum>
  <w:abstractNum w:abstractNumId="7">
    <w:nsid w:val="1D9F6E5F"/>
    <w:multiLevelType w:val="hybridMultilevel"/>
    <w:lvl w:ilvl="0">
      <w:lvlJc w:val="left"/>
      <w:lvlText w:val="(%1)"/>
      <w:numFmt w:val="decimal"/>
      <w:start w:val="1"/>
    </w:lvl>
  </w:abstractNum>
  <w:abstractNum w:abstractNumId="8">
    <w:nsid w:val="97E1B4E"/>
    <w:multiLevelType w:val="hybridMultilevel"/>
    <w:lvl w:ilvl="0">
      <w:lvlJc w:val="left"/>
      <w:lvlText w:val="(%1)"/>
      <w:numFmt w:val="decimal"/>
      <w:start w:val="1"/>
    </w:lvl>
  </w:abstractNum>
  <w:abstractNum w:abstractNumId="9">
    <w:nsid w:val="51088277"/>
    <w:multiLevelType w:val="hybridMultilevel"/>
    <w:lvl w:ilvl="0">
      <w:lvlJc w:val="left"/>
      <w:lvlText w:val="(%1)"/>
      <w:numFmt w:val="decimal"/>
      <w:start w:val="3"/>
    </w:lvl>
  </w:abstractNum>
  <w:abstractNum w:abstractNumId="10">
    <w:nsid w:val="1CA0C5FA"/>
    <w:multiLevelType w:val="hybridMultilevel"/>
    <w:lvl w:ilvl="0">
      <w:lvlJc w:val="left"/>
      <w:lvlText w:val="*"/>
      <w:numFmt w:val="bullet"/>
      <w:start w:val="1"/>
    </w:lvl>
  </w:abstractNum>
  <w:abstractNum w:abstractNumId="11">
    <w:nsid w:val="53584BCB"/>
    <w:multiLevelType w:val="hybridMultilevel"/>
    <w:lvl w:ilvl="0">
      <w:lvlJc w:val="left"/>
      <w:lvlText w:val="(%1)"/>
      <w:numFmt w:val="decimal"/>
      <w:start w:val="1"/>
    </w:lvl>
  </w:abstractNum>
  <w:abstractNum w:abstractNumId="12">
    <w:nsid w:val="415E286C"/>
    <w:multiLevelType w:val="hybridMultilevel"/>
    <w:lvl w:ilvl="0">
      <w:lvlJc w:val="left"/>
      <w:lvlText w:val="(%1)"/>
      <w:numFmt w:val="decimal"/>
      <w:start w:val="3"/>
    </w:lvl>
  </w:abstractNum>
  <w:abstractNum w:abstractNumId="13">
    <w:nsid w:val="7C58FD05"/>
    <w:multiLevelType w:val="hybridMultilevel"/>
    <w:lvl w:ilvl="0">
      <w:lvlJc w:val="left"/>
      <w:lvlText w:val="(%1)"/>
      <w:numFmt w:val="decimal"/>
      <w:start w:val="1"/>
    </w:lvl>
  </w:abstractNum>
  <w:abstractNum w:abstractNumId="14">
    <w:nsid w:val="23D86AAC"/>
    <w:multiLevelType w:val="hybridMultilevel"/>
    <w:lvl w:ilvl="0">
      <w:lvlJc w:val="left"/>
      <w:lvlText w:val="*"/>
      <w:numFmt w:val="bullet"/>
      <w:start w:val="1"/>
    </w:lvl>
  </w:abstractNum>
  <w:abstractNum w:abstractNumId="15">
    <w:nsid w:val="45E6D486"/>
    <w:multiLevelType w:val="hybridMultilevel"/>
    <w:lvl w:ilvl="0">
      <w:lvlJc w:val="left"/>
      <w:lvlText w:val="(%1)"/>
      <w:numFmt w:val="decimal"/>
      <w:start w:val="1"/>
    </w:lvl>
  </w:abstractNum>
  <w:abstractNum w:abstractNumId="16">
    <w:nsid w:val="5C10FE21"/>
    <w:multiLevelType w:val="hybridMultilevel"/>
    <w:lvl w:ilvl="0">
      <w:lvlJc w:val="left"/>
      <w:lvlText w:val="*"/>
      <w:numFmt w:val="bullet"/>
      <w:start w:val="1"/>
    </w:lvl>
  </w:abstractNum>
  <w:abstractNum w:abstractNumId="17">
    <w:nsid w:val="E7FFA2B"/>
    <w:multiLevelType w:val="hybridMultilevel"/>
    <w:lvl w:ilvl="0">
      <w:lvlJc w:val="left"/>
      <w:lvlText w:val="(%1)"/>
      <w:numFmt w:val="decimal"/>
      <w:start w:val="1"/>
    </w:lvl>
  </w:abstractNum>
  <w:abstractNum w:abstractNumId="18">
    <w:nsid w:val="3C5991AA"/>
    <w:multiLevelType w:val="hybridMultilevel"/>
    <w:lvl w:ilvl="0">
      <w:lvlJc w:val="left"/>
      <w:lvlText w:val="(%1)"/>
      <w:numFmt w:val="decimal"/>
      <w:start w:val="1"/>
    </w:lvl>
  </w:abstractNum>
  <w:abstractNum w:abstractNumId="19">
    <w:nsid w:val="4BD8591A"/>
    <w:multiLevelType w:val="hybridMultilevel"/>
    <w:lvl w:ilvl="0">
      <w:lvlJc w:val="left"/>
      <w:lvlText w:val="*"/>
      <w:numFmt w:val="bullet"/>
      <w:start w:val="1"/>
    </w:lvl>
  </w:abstractNum>
  <w:abstractNum w:abstractNumId="20">
    <w:nsid w:val="78DF6A55"/>
    <w:multiLevelType w:val="hybridMultilevel"/>
    <w:lvl w:ilvl="0">
      <w:lvlJc w:val="left"/>
      <w:lvlText w:val="%1"/>
      <w:numFmt w:val="decimal"/>
      <w:start w:val="32"/>
    </w:lvl>
  </w:abstractNum>
  <w:abstractNum w:abstractNumId="21">
    <w:nsid w:val="39B7AAA2"/>
    <w:multiLevelType w:val="hybridMultilevel"/>
    <w:lvl w:ilvl="0">
      <w:lvlJc w:val="left"/>
      <w:lvlText w:val="(%1)"/>
      <w:numFmt w:val="lowerLetter"/>
      <w:start w:val="1"/>
    </w:lvl>
  </w:abstractNum>
  <w:abstractNum w:abstractNumId="22">
    <w:nsid w:val="2B0D8DBE"/>
    <w:multiLevelType w:val="hybridMultilevel"/>
    <w:lvl w:ilvl="0">
      <w:lvlJc w:val="left"/>
      <w:lvlText w:val="(%1)"/>
      <w:numFmt w:val="lowerLetter"/>
      <w:start w:val="2"/>
    </w:lvl>
  </w:abstractNum>
  <w:abstractNum w:abstractNumId="23">
    <w:nsid w:val="6C80EC70"/>
    <w:multiLevelType w:val="hybridMultilevel"/>
    <w:lvl w:ilvl="0">
      <w:lvlJc w:val="left"/>
      <w:lvlText w:val="%1."/>
      <w:numFmt w:val="decimal"/>
      <w:start w:val="1"/>
    </w:lvl>
  </w:abstractNum>
  <w:abstractNum w:abstractNumId="24">
    <w:nsid w:val="379E21B5"/>
    <w:multiLevelType w:val="hybridMultilevel"/>
    <w:lvl w:ilvl="0">
      <w:lvlJc w:val="left"/>
      <w:lvlText w:val="%1."/>
      <w:numFmt w:val="decimal"/>
      <w:start w:val="7"/>
    </w:lvl>
  </w:abstractNum>
  <w:abstractNum w:abstractNumId="25">
    <w:nsid w:val="69E373"/>
    <w:multiLevelType w:val="hybridMultilevel"/>
    <w:lvl w:ilvl="0">
      <w:lvlJc w:val="left"/>
      <w:lvlText w:val="(%1)"/>
      <w:numFmt w:val="lowerLetter"/>
      <w:start w:val="1"/>
    </w:lvl>
  </w:abstractNum>
  <w:abstractNum w:abstractNumId="26">
    <w:nsid w:val="2C27173B"/>
    <w:multiLevelType w:val="hybridMultilevel"/>
    <w:lvl w:ilvl="0">
      <w:lvlJc w:val="left"/>
      <w:lvlText w:val="(%1)"/>
      <w:numFmt w:val="lowerLetter"/>
      <w:start w:val="3"/>
    </w:lvl>
  </w:abstractNum>
  <w:abstractNum w:abstractNumId="27">
    <w:nsid w:val="4C9B0904"/>
    <w:multiLevelType w:val="hybridMultilevel"/>
    <w:lvl w:ilvl="0">
      <w:lvlJc w:val="left"/>
      <w:lvlText w:val="%1."/>
      <w:numFmt w:val="decimal"/>
      <w:start w:val="9"/>
    </w:lvl>
  </w:abstractNum>
  <w:abstractNum w:abstractNumId="28">
    <w:nsid w:val="6AA7B75C"/>
    <w:multiLevelType w:val="hybridMultilevel"/>
    <w:lvl w:ilvl="0">
      <w:lvlJc w:val="left"/>
      <w:lvlText w:val="(%1)"/>
      <w:numFmt w:val="lowerLetter"/>
      <w:start w:val="1"/>
    </w:lvl>
  </w:abstractNum>
  <w:abstractNum w:abstractNumId="29">
    <w:nsid w:val="1DF029D3"/>
    <w:multiLevelType w:val="hybridMultilevel"/>
    <w:lvl w:ilvl="0">
      <w:lvlJc w:val="left"/>
      <w:lvlText w:val="(%1)"/>
      <w:numFmt w:val="lowerLetter"/>
      <w:start w:val="5"/>
    </w:lvl>
  </w:abstractNum>
  <w:abstractNum w:abstractNumId="30">
    <w:nsid w:val="5675FF36"/>
    <w:multiLevelType w:val="hybridMultilevel"/>
    <w:lvl w:ilvl="0">
      <w:lvlJc w:val="left"/>
      <w:lvlText w:val="(%1)"/>
      <w:numFmt w:val="lowerLetter"/>
      <w:start w:val="11"/>
    </w:lvl>
  </w:abstractNum>
  <w:abstractNum w:abstractNumId="31">
    <w:nsid w:val="3DD15094"/>
    <w:multiLevelType w:val="hybridMultilevel"/>
    <w:lvl w:ilvl="0">
      <w:lvlJc w:val="left"/>
      <w:lvlText w:val="%1"/>
      <w:numFmt w:val="lowerLetter"/>
      <w:start w:val="1"/>
    </w:lvl>
    <w:lvl w:ilvl="1">
      <w:lvlJc w:val="left"/>
      <w:lvlText w:val="(%2)"/>
      <w:numFmt w:val="lowerLetter"/>
      <w:start w:val="13"/>
    </w:lvl>
  </w:abstractNum>
  <w:abstractNum w:abstractNumId="32">
    <w:nsid w:val="3DB012B3"/>
    <w:multiLevelType w:val="hybridMultilevel"/>
    <w:lvl w:ilvl="0">
      <w:lvlJc w:val="left"/>
      <w:lvlText w:val="(%1)"/>
      <w:numFmt w:val="lowerLetter"/>
      <w:start w:val="2"/>
    </w:lvl>
    <w:lvl w:ilvl="1">
      <w:lvlJc w:val="left"/>
      <w:lvlText w:val="(%2)"/>
      <w:numFmt w:val="lowerLetter"/>
      <w:start w:val="20"/>
    </w:lvl>
  </w:abstractNum>
  <w:abstractNum w:abstractNumId="33">
    <w:nsid w:val="2708C9AF"/>
    <w:multiLevelType w:val="hybridMultilevel"/>
    <w:lvl w:ilvl="0">
      <w:lvlJc w:val="left"/>
      <w:lvlText w:val="(%1)"/>
      <w:numFmt w:val="lowerLetter"/>
      <w:start w:val="26"/>
    </w:lvl>
  </w:abstractNum>
  <w:abstractNum w:abstractNumId="34">
    <w:nsid w:val="5B25ACE2"/>
    <w:multiLevelType w:val="hybridMultilevel"/>
    <w:lvl w:ilvl="0">
      <w:lvlJc w:val="left"/>
      <w:lvlText w:val="(%1)"/>
      <w:numFmt w:val="lowerLetter"/>
      <w:start w:val="27"/>
    </w:lvl>
  </w:abstractNum>
  <w:abstractNum w:abstractNumId="35">
    <w:nsid w:val="175DFCF0"/>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34"/>
    </w:lvl>
  </w:abstractNum>
  <w:abstractNum w:abstractNumId="36">
    <w:nsid w:val="4F97E3E4"/>
    <w:multiLevelType w:val="hybridMultilevel"/>
    <w:lvl w:ilvl="0">
      <w:lvlJc w:val="left"/>
      <w:lvlText w:val="(%1)"/>
      <w:numFmt w:val="upperLetter"/>
      <w:start w:val="2"/>
    </w:lvl>
    <w:lvl w:ilvl="1">
      <w:lvlJc w:val="left"/>
      <w:lvlText w:val="(%2)"/>
      <w:numFmt w:val="lowerRoman"/>
    </w:lvl>
    <w:lvl w:ilvl="2">
      <w:lvlJc w:val="left"/>
      <w:lvlText w:val="(%3)"/>
      <w:numFmt w:val="lowerLetter"/>
      <w:start w:val="38"/>
    </w:lvl>
  </w:abstractNum>
  <w:abstractNum w:abstractNumId="37">
    <w:nsid w:val="53B0A9E"/>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39"/>
    </w:lvl>
  </w:abstractNum>
  <w:abstractNum w:abstractNumId="38">
    <w:nsid w:val="34FD6B4F"/>
    <w:multiLevelType w:val="hybridMultilevel"/>
    <w:lvl w:ilvl="0">
      <w:lvlJc w:val="left"/>
      <w:lvlText w:val="(%1)"/>
      <w:numFmt w:val="lowerLetter"/>
      <w:start w:val="2"/>
    </w:lvl>
  </w:abstractNum>
  <w:abstractNum w:abstractNumId="39">
    <w:nsid w:val="5915FF32"/>
    <w:multiLevelType w:val="hybridMultilevel"/>
    <w:lvl w:ilvl="0">
      <w:lvlJc w:val="left"/>
      <w:lvlText w:val="(%1)"/>
      <w:numFmt w:val="lowerLetter"/>
      <w:start w:val="3"/>
    </w:lvl>
  </w:abstractNum>
  <w:abstractNum w:abstractNumId="40">
    <w:nsid w:val="56438D15"/>
    <w:multiLevelType w:val="hybridMultilevel"/>
    <w:lvl w:ilvl="0">
      <w:lvlJc w:val="left"/>
      <w:lvlText w:val="(%1)"/>
      <w:numFmt w:val="lowerLetter"/>
      <w:start w:val="7"/>
    </w:lvl>
  </w:abstractNum>
  <w:abstractNum w:abstractNumId="41">
    <w:nsid w:val="519E3149"/>
    <w:multiLevelType w:val="hybridMultilevel"/>
    <w:lvl w:ilvl="0">
      <w:lvlJc w:val="left"/>
      <w:lvlText w:val="(%1)"/>
      <w:numFmt w:val="lowerLetter"/>
      <w:start w:val="2"/>
    </w:lvl>
  </w:abstractNum>
  <w:abstractNum w:abstractNumId="42">
    <w:nsid w:val="2C6E4AFD"/>
    <w:multiLevelType w:val="hybridMultilevel"/>
    <w:lvl w:ilvl="0">
      <w:lvlJc w:val="left"/>
      <w:lvlText w:val="(%1)"/>
      <w:numFmt w:val="lowerLetter"/>
      <w:start w:val="1"/>
    </w:lvl>
  </w:abstractNum>
  <w:abstractNum w:abstractNumId="43">
    <w:nsid w:val="17A1B582"/>
    <w:multiLevelType w:val="hybridMultilevel"/>
    <w:lvl w:ilvl="0">
      <w:lvlJc w:val="left"/>
      <w:lvlText w:val="(%1)"/>
      <w:numFmt w:val="lowerLetter"/>
      <w:start w:val="4"/>
    </w:lvl>
  </w:abstractNum>
  <w:abstractNum w:abstractNumId="44">
    <w:nsid w:val="4DF72E4E"/>
    <w:multiLevelType w:val="hybridMultilevel"/>
    <w:lvl w:ilvl="0">
      <w:lvlJc w:val="left"/>
      <w:lvlText w:val="%1"/>
      <w:numFmt w:val="lowerRoman"/>
      <w:start w:val="1"/>
    </w:lvl>
    <w:lvl w:ilvl="1">
      <w:lvlJc w:val="left"/>
      <w:lvlText w:val="(%2)"/>
      <w:numFmt w:val="lowerLetter"/>
      <w:start w:val="1"/>
    </w:lvl>
  </w:abstractNum>
  <w:abstractNum w:abstractNumId="45">
    <w:nsid w:val="5046B5A9"/>
    <w:multiLevelType w:val="hybridMultilevel"/>
    <w:lvl w:ilvl="0">
      <w:lvlJc w:val="left"/>
      <w:lvlText w:val="(%1)"/>
      <w:numFmt w:val="lowerRoman"/>
      <w:start w:val="1"/>
    </w:lvl>
    <w:lvl w:ilvl="1">
      <w:lvlJc w:val="left"/>
      <w:lvlText w:val="%2"/>
      <w:numFmt w:val="lowerLetter"/>
      <w:start w:val="1"/>
    </w:lvl>
  </w:abstractNum>
  <w:abstractNum w:abstractNumId="46">
    <w:nsid w:val="5D888A08"/>
    <w:multiLevelType w:val="hybridMultilevel"/>
    <w:lvl w:ilvl="0">
      <w:lvlJc w:val="left"/>
      <w:lvlText w:val="(%1)"/>
      <w:numFmt w:val="lowerRoman"/>
      <w:start w:val="4"/>
    </w:lvl>
    <w:lvl w:ilvl="1">
      <w:lvlJc w:val="left"/>
      <w:lvlText w:val="(%2)"/>
      <w:numFmt w:val="lowerLetter"/>
      <w:start w:val="2"/>
    </w:lvl>
  </w:abstractNum>
  <w:abstractNum w:abstractNumId="47">
    <w:nsid w:val="2A082C70"/>
    <w:multiLevelType w:val="hybridMultilevel"/>
    <w:lvl w:ilvl="0">
      <w:lvlJc w:val="left"/>
      <w:lvlText w:val="(%1)"/>
      <w:numFmt w:val="lowerLetter"/>
      <w:start w:val="6"/>
    </w:lvl>
  </w:abstractNum>
  <w:abstractNum w:abstractNumId="48">
    <w:nsid w:val="5EC6AFD4"/>
    <w:multiLevelType w:val="hybridMultilevel"/>
    <w:lvl w:ilvl="0">
      <w:lvlJc w:val="left"/>
      <w:lvlText w:val="%1"/>
      <w:numFmt w:val="lowerLetter"/>
      <w:start w:val="1"/>
    </w:lvl>
    <w:lvl w:ilvl="1">
      <w:lvlJc w:val="left"/>
      <w:lvlText w:val="(%2)"/>
      <w:numFmt w:val="lowerLetter"/>
      <w:start w:val="1"/>
    </w:lvl>
  </w:abstractNum>
  <w:abstractNum w:abstractNumId="49">
    <w:nsid w:val="19E21BB2"/>
    <w:multiLevelType w:val="hybridMultilevel"/>
    <w:lvl w:ilvl="0">
      <w:lvlJc w:val="left"/>
      <w:lvlText w:val="(%1)"/>
      <w:numFmt w:val="lowerLetter"/>
      <w:start w:val="9"/>
    </w:lvl>
    <w:lvl w:ilvl="1">
      <w:lvlJc w:val="left"/>
      <w:lvlText w:val="%2"/>
      <w:numFmt w:val="lowerLetter"/>
      <w:start w:val="1"/>
    </w:lvl>
  </w:abstractNum>
  <w:abstractNum w:abstractNumId="50">
    <w:nsid w:val="75E0858A"/>
    <w:multiLevelType w:val="hybridMultilevel"/>
    <w:lvl w:ilvl="0">
      <w:lvlJc w:val="left"/>
      <w:lvlText w:val="(%1)"/>
      <w:numFmt w:val="lowerRoman"/>
      <w:start w:val="2"/>
    </w:lvl>
  </w:abstractNum>
  <w:abstractNum w:abstractNumId="51">
    <w:nsid w:val="57A61A29"/>
    <w:multiLevelType w:val="hybridMultilevel"/>
    <w:lvl w:ilvl="0">
      <w:lvlJc w:val="left"/>
      <w:lvlText w:val="(%1)"/>
      <w:numFmt w:val="lowerRoman"/>
      <w:start w:val="3"/>
    </w:lvl>
  </w:abstractNum>
  <w:abstractNum w:abstractNumId="52">
    <w:nsid w:val="5399C654"/>
    <w:multiLevelType w:val="hybridMultilevel"/>
    <w:lvl w:ilvl="0">
      <w:lvlJc w:val="left"/>
      <w:lvlText w:val="(%1)"/>
      <w:numFmt w:val="lowerRoman"/>
      <w:start w:val="4"/>
    </w:lvl>
  </w:abstractNum>
  <w:abstractNum w:abstractNumId="53">
    <w:nsid w:val="20EE1348"/>
    <w:multiLevelType w:val="hybridMultilevel"/>
    <w:lvl w:ilvl="0">
      <w:lvlJc w:val="left"/>
      <w:lvlText w:val="%1"/>
      <w:numFmt w:val="lowerRoman"/>
      <w:start w:val="1"/>
    </w:lvl>
    <w:lvl w:ilvl="1">
      <w:lvlJc w:val="left"/>
      <w:lvlText w:val="(%2)"/>
      <w:numFmt w:val="lowerRoman"/>
      <w:start w:val="5"/>
    </w:lvl>
  </w:abstractNum>
  <w:abstractNum w:abstractNumId="54">
    <w:nsid w:val="4427069A"/>
    <w:multiLevelType w:val="hybridMultilevel"/>
    <w:lvl w:ilvl="0">
      <w:lvlJc w:val="left"/>
      <w:lvlText w:val="(%1)"/>
      <w:numFmt w:val="lowerRoman"/>
      <w:start w:val="4"/>
    </w:lvl>
    <w:lvl w:ilvl="1">
      <w:lvlJc w:val="left"/>
      <w:lvlText w:val="%2"/>
      <w:numFmt w:val="lowerRoman"/>
      <w:start w:val="1"/>
    </w:lvl>
  </w:abstractNum>
  <w:abstractNum w:abstractNumId="55">
    <w:nsid w:val="B37E80A"/>
    <w:multiLevelType w:val="hybridMultilevel"/>
    <w:lvl w:ilvl="0">
      <w:lvlJc w:val="left"/>
      <w:lvlText w:val="(%1)"/>
      <w:numFmt w:val="lowerRoman"/>
      <w:start w:val="6"/>
    </w:lvl>
  </w:abstractNum>
  <w:abstractNum w:abstractNumId="56">
    <w:nsid w:val="2157F6BC"/>
    <w:multiLevelType w:val="hybridMultilevel"/>
    <w:lvl w:ilvl="0">
      <w:lvlJc w:val="left"/>
      <w:lvlText w:val="(%1)"/>
      <w:numFmt w:val="lowerRoman"/>
      <w:start w:val="7"/>
    </w:lvl>
    <w:lvl w:ilvl="1">
      <w:lvlJc w:val="left"/>
      <w:lvlText w:val="(%2)"/>
      <w:numFmt w:val="lowerLetter"/>
      <w:start w:val="2"/>
    </w:lvl>
  </w:abstractNum>
  <w:abstractNum w:abstractNumId="57">
    <w:nsid w:val="704E1DD5"/>
    <w:multiLevelType w:val="hybridMultilevel"/>
    <w:lvl w:ilvl="0">
      <w:lvlJc w:val="left"/>
      <w:lvlText w:val="(%1)"/>
      <w:numFmt w:val="lowerRoman"/>
      <w:start w:val="2"/>
    </w:lvl>
  </w:abstractNum>
  <w:abstractNum w:abstractNumId="58">
    <w:nsid w:val="57D2F10E"/>
    <w:multiLevelType w:val="hybridMultilevel"/>
    <w:lvl w:ilvl="0">
      <w:lvlJc w:val="left"/>
      <w:lvlText w:val="(%1)"/>
      <w:numFmt w:val="upperLetter"/>
      <w:start w:val="1"/>
    </w:lvl>
  </w:abstractNum>
  <w:abstractNum w:abstractNumId="59">
    <w:nsid w:val="BFFAE18"/>
    <w:multiLevelType w:val="hybridMultilevel"/>
    <w:lvl w:ilvl="0">
      <w:lvlJc w:val="left"/>
      <w:lvlText w:val="(%1)"/>
      <w:numFmt w:val="upperLetter"/>
      <w:start w:val="2"/>
    </w:lvl>
    <w:lvl w:ilvl="1">
      <w:lvlJc w:val="left"/>
      <w:lvlText w:val="(%2)"/>
      <w:numFmt w:val="lowerLetter"/>
      <w:start w:val="4"/>
    </w:lvl>
  </w:abstractNum>
  <w:abstractNum w:abstractNumId="60">
    <w:nsid w:val="E3E47A8"/>
    <w:multiLevelType w:val="hybridMultilevel"/>
    <w:lvl w:ilvl="0">
      <w:lvlJc w:val="left"/>
      <w:lvlText w:val="(%1)"/>
      <w:numFmt w:val="lowerRoman"/>
      <w:start w:val="1"/>
    </w:lvl>
  </w:abstractNum>
  <w:abstractNum w:abstractNumId="61">
    <w:nsid w:val="2E48F044"/>
    <w:multiLevelType w:val="hybridMultilevel"/>
    <w:lvl w:ilvl="0">
      <w:lvlJc w:val="left"/>
      <w:lvlText w:val="(%1)"/>
      <w:numFmt w:val="lowerLetter"/>
      <w:start w:val="2"/>
    </w:lvl>
  </w:abstractNum>
  <w:abstractNum w:abstractNumId="62">
    <w:nsid w:val="49D0FEAC"/>
    <w:multiLevelType w:val="hybridMultilevel"/>
    <w:lvl w:ilvl="0">
      <w:lvlJc w:val="left"/>
      <w:lvlText w:val="(%1)"/>
      <w:numFmt w:val="lowerLetter"/>
      <w:start w:val="9"/>
    </w:lvl>
    <w:lvl w:ilvl="1">
      <w:lvlJc w:val="left"/>
      <w:lvlText w:val="(%2)"/>
      <w:numFmt w:val="lowerLetter"/>
      <w:start w:val="2"/>
    </w:lvl>
  </w:abstractNum>
  <w:abstractNum w:abstractNumId="63">
    <w:nsid w:val="4BEE5A5B"/>
    <w:multiLevelType w:val="hybridMultilevel"/>
    <w:lvl w:ilvl="0">
      <w:lvlJc w:val="left"/>
      <w:lvlText w:val="(%1)"/>
      <w:numFmt w:val="lowerRoman"/>
      <w:start w:val="1"/>
    </w:lvl>
  </w:abstractNum>
  <w:abstractNum w:abstractNumId="64">
    <w:nsid w:val="5551B9F3"/>
    <w:multiLevelType w:val="hybridMultilevel"/>
    <w:lvl w:ilvl="0">
      <w:lvlJc w:val="left"/>
      <w:lvlText w:val="(%1)"/>
      <w:numFmt w:val="lowerLetter"/>
      <w:start w:val="3"/>
    </w:lvl>
  </w:abstractNum>
  <w:abstractNum w:abstractNumId="65">
    <w:nsid w:val="24F6AB8E"/>
    <w:multiLevelType w:val="hybridMultilevel"/>
    <w:lvl w:ilvl="0">
      <w:lvlJc w:val="left"/>
      <w:lvlText w:val="(%1)"/>
      <w:numFmt w:val="lowerLetter"/>
      <w:start w:val="1"/>
    </w:lvl>
  </w:abstractNum>
  <w:abstractNum w:abstractNumId="66">
    <w:nsid w:val="634C574C"/>
    <w:multiLevelType w:val="hybridMultilevel"/>
    <w:lvl w:ilvl="0">
      <w:lvlJc w:val="left"/>
      <w:lvlText w:val="(%1)"/>
      <w:numFmt w:val="lowerLetter"/>
      <w:start w:val="1"/>
    </w:lvl>
  </w:abstractNum>
  <w:abstractNum w:abstractNumId="67">
    <w:nsid w:val="24E99DD7"/>
    <w:multiLevelType w:val="hybridMultilevel"/>
    <w:lvl w:ilvl="0">
      <w:lvlJc w:val="left"/>
      <w:lvlText w:val="(%1)"/>
      <w:numFmt w:val="lowerLetter"/>
      <w:start w:val="1"/>
    </w:lvl>
  </w:abstractNum>
  <w:abstractNum w:abstractNumId="68">
    <w:nsid w:val="2A31B62D"/>
    <w:multiLevelType w:val="hybridMultilevel"/>
    <w:lvl w:ilvl="0">
      <w:lvlJc w:val="left"/>
      <w:lvlText w:val="(%1)"/>
      <w:numFmt w:val="lowerLetter"/>
      <w:start w:val="1"/>
    </w:lvl>
  </w:abstractNum>
  <w:abstractNum w:abstractNumId="69">
    <w:nsid w:val="1849C29B"/>
    <w:multiLevelType w:val="hybridMultilevel"/>
    <w:lvl w:ilvl="0">
      <w:lvlJc w:val="left"/>
      <w:lvlText w:val="(%1)"/>
      <w:numFmt w:val="lowerLetter"/>
      <w:start w:val="1"/>
    </w:lvl>
  </w:abstractNum>
  <w:abstractNum w:abstractNumId="70">
    <w:nsid w:val="7DFF9D09"/>
    <w:multiLevelType w:val="hybridMultilevel"/>
    <w:lvl w:ilvl="0">
      <w:lvlJc w:val="left"/>
      <w:lvlText w:val="(%1)"/>
      <w:numFmt w:val="lowerLetter"/>
      <w:start w:val="8"/>
    </w:lvl>
  </w:abstractNum>
  <w:abstractNum w:abstractNumId="71">
    <w:nsid w:val="754342"/>
    <w:multiLevelType w:val="hybridMultilevel"/>
    <w:lvl w:ilvl="0">
      <w:lvlJc w:val="left"/>
      <w:lvlText w:val="(%1)"/>
      <w:numFmt w:val="lowerLetter"/>
      <w:start w:val="11"/>
    </w:lvl>
  </w:abstractNum>
  <w:abstractNum w:abstractNumId="72">
    <w:nsid w:val="69E7F3E5"/>
    <w:multiLevelType w:val="hybridMultilevel"/>
    <w:lvl w:ilvl="0">
      <w:lvlJc w:val="left"/>
      <w:lvlText w:val="%1"/>
      <w:numFmt w:val="lowerLetter"/>
      <w:start w:val="1"/>
    </w:lvl>
    <w:lvl w:ilvl="1">
      <w:lvlJc w:val="left"/>
      <w:lvlText w:val="(%2)"/>
      <w:numFmt w:val="lowerLetter"/>
      <w:start w:val="16"/>
    </w:lvl>
  </w:abstractNum>
  <w:abstractNum w:abstractNumId="73">
    <w:nsid w:val="2A6DE806"/>
    <w:multiLevelType w:val="hybridMultilevel"/>
    <w:lvl w:ilvl="0">
      <w:lvlJc w:val="left"/>
      <w:lvlText w:val="(%1)"/>
      <w:numFmt w:val="lowerLetter"/>
      <w:start w:val="2"/>
    </w:lvl>
    <w:lvl w:ilvl="1">
      <w:lvlJc w:val="left"/>
      <w:lvlText w:val="(%2)"/>
      <w:numFmt w:val="lowerLetter"/>
      <w:start w:val="20"/>
    </w:lvl>
  </w:abstractNum>
  <w:abstractNum w:abstractNumId="74">
    <w:nsid w:val="1816F8C4"/>
    <w:multiLevelType w:val="hybridMultilevel"/>
    <w:lvl w:ilvl="0">
      <w:lvlJc w:val="left"/>
      <w:lvlText w:val="(%1)"/>
      <w:numFmt w:val="lowerLetter"/>
      <w:start w:val="26"/>
    </w:lvl>
  </w:abstractNum>
  <w:abstractNum w:abstractNumId="75">
    <w:nsid w:val="37DF2233"/>
    <w:multiLevelType w:val="hybridMultilevel"/>
    <w:lvl w:ilvl="0">
      <w:lvlJc w:val="left"/>
      <w:lvlText w:val="(%1)"/>
      <w:numFmt w:val="lowerLetter"/>
      <w:start w:val="27"/>
    </w:lvl>
  </w:abstractNum>
  <w:abstractNum w:abstractNumId="76">
    <w:nsid w:val="7AB49DAF"/>
    <w:multiLevelType w:val="hybridMultilevel"/>
    <w:lvl w:ilvl="0">
      <w:lvlJc w:val="left"/>
      <w:lvlText w:val="%1"/>
      <w:numFmt w:val="lowerRoman"/>
      <w:start w:val="1"/>
    </w:lvl>
    <w:lvl w:ilvl="1">
      <w:lvlJc w:val="left"/>
      <w:lvlText w:val="(%2)"/>
      <w:numFmt w:val="lowerLetter"/>
      <w:start w:val="35"/>
    </w:lvl>
  </w:abstractNum>
  <w:abstractNum w:abstractNumId="77">
    <w:nsid w:val="759F82CD"/>
    <w:multiLevelType w:val="hybridMultilevel"/>
    <w:lvl w:ilvl="0">
      <w:lvlJc w:val="left"/>
      <w:lvlText w:val="(%1)"/>
      <w:numFmt w:val="lowerRoman"/>
      <w:start w:val="1"/>
    </w:lvl>
    <w:lvl w:ilvl="1">
      <w:lvlJc w:val="left"/>
      <w:lvlText w:val="(%2)"/>
      <w:numFmt w:val="lowerLetter"/>
      <w:start w:val="39"/>
    </w:lvl>
  </w:abstractNum>
  <w:abstractNum w:abstractNumId="78">
    <w:nsid w:val="61E74EA3"/>
    <w:multiLevelType w:val="hybridMultilevel"/>
    <w:lvl w:ilvl="0">
      <w:lvlJc w:val="left"/>
      <w:lvlText w:val="(%1)"/>
      <w:numFmt w:val="lowerLetter"/>
      <w:start w:val="2"/>
    </w:lvl>
  </w:abstractNum>
  <w:abstractNum w:abstractNumId="79">
    <w:nsid w:val="597B4D84"/>
    <w:multiLevelType w:val="hybridMultilevel"/>
    <w:lvl w:ilvl="0">
      <w:lvlJc w:val="left"/>
      <w:lvlText w:val="(%1)"/>
      <w:numFmt w:val="lowerLetter"/>
      <w:start w:val="3"/>
    </w:lvl>
  </w:abstractNum>
  <w:abstractNum w:abstractNumId="80">
    <w:nsid w:val="F819E7F"/>
    <w:multiLevelType w:val="hybridMultilevel"/>
    <w:lvl w:ilvl="0">
      <w:lvlJc w:val="left"/>
      <w:lvlText w:val="(%1)"/>
      <w:numFmt w:val="lowerLetter"/>
      <w:start w:val="7"/>
    </w:lvl>
  </w:abstractNum>
  <w:abstractNum w:abstractNumId="81">
    <w:nsid w:val="57C7D42D"/>
    <w:multiLevelType w:val="hybridMultilevel"/>
    <w:lvl w:ilvl="0">
      <w:lvlJc w:val="left"/>
      <w:lvlText w:val="(%1)"/>
      <w:numFmt w:val="lowerLetter"/>
      <w:start w:val="2"/>
    </w:lvl>
  </w:abstractNum>
  <w:abstractNum w:abstractNumId="82">
    <w:nsid w:val="312167AD"/>
    <w:multiLevelType w:val="hybridMultilevel"/>
    <w:lvl w:ilvl="0">
      <w:lvlJc w:val="left"/>
      <w:lvlText w:val="%1"/>
      <w:numFmt w:val="decimal"/>
      <w:start w:val="1"/>
    </w:lvl>
    <w:lvl w:ilvl="1">
      <w:lvlJc w:val="left"/>
      <w:lvlText w:val="(%2)"/>
      <w:numFmt w:val="lowerLetter"/>
      <w:start w:val="1"/>
    </w:lvl>
  </w:abstractNum>
  <w:abstractNum w:abstractNumId="83">
    <w:nsid w:val="631B64D4"/>
    <w:multiLevelType w:val="hybridMultilevel"/>
    <w:lvl w:ilvl="0">
      <w:lvlJc w:val="left"/>
      <w:lvlText w:val="(%1)"/>
      <w:numFmt w:val="decimal"/>
      <w:start w:val="4"/>
    </w:lvl>
    <w:lvl w:ilvl="1">
      <w:lvlJc w:val="left"/>
      <w:lvlText w:val="%2"/>
      <w:numFmt w:val="lowerLetter"/>
      <w:start w:val="1"/>
    </w:lvl>
  </w:abstractNum>
  <w:abstractNum w:abstractNumId="84">
    <w:nsid w:val="78B5E776"/>
    <w:multiLevelType w:val="hybridMultilevel"/>
    <w:lvl w:ilvl="0">
      <w:lvlJc w:val="left"/>
      <w:lvlText w:val="(%1)"/>
      <w:numFmt w:val="lowerLetter"/>
      <w:start w:val="4"/>
    </w:lvl>
  </w:abstractNum>
  <w:abstractNum w:abstractNumId="85">
    <w:nsid w:val="75486E47"/>
    <w:multiLevelType w:val="hybridMultilevel"/>
    <w:lvl w:ilvl="0">
      <w:lvlJc w:val="left"/>
      <w:lvlText w:val="(%1)"/>
      <w:numFmt w:val="lowerLetter"/>
      <w:start w:val="1"/>
    </w:lvl>
  </w:abstractNum>
  <w:abstractNum w:abstractNumId="86">
    <w:nsid w:val="6E534CDE"/>
    <w:multiLevelType w:val="hybridMultilevel"/>
    <w:lvl w:ilvl="0">
      <w:lvlJc w:val="left"/>
      <w:lvlText w:val="(%1)"/>
      <w:numFmt w:val="lowerRoman"/>
      <w:start w:val="1"/>
    </w:lvl>
  </w:abstractNum>
  <w:abstractNum w:abstractNumId="87">
    <w:nsid w:val="1A0DDE32"/>
    <w:multiLevelType w:val="hybridMultilevel"/>
    <w:lvl w:ilvl="0">
      <w:lvlJc w:val="left"/>
      <w:lvlText w:val="(%1)"/>
      <w:numFmt w:val="lowerRoman"/>
      <w:start w:val="3"/>
    </w:lvl>
  </w:abstractNum>
  <w:abstractNum w:abstractNumId="88">
    <w:nsid w:val="65968C1C"/>
    <w:multiLevelType w:val="hybridMultilevel"/>
    <w:lvl w:ilvl="0">
      <w:lvlJc w:val="left"/>
      <w:lvlText w:val="(%1)"/>
      <w:numFmt w:val="lowerLetter"/>
      <w:start w:val="2"/>
    </w:lvl>
  </w:abstractNum>
  <w:abstractNum w:abstractNumId="89">
    <w:nsid w:val="46263DEC"/>
    <w:multiLevelType w:val="hybridMultilevel"/>
    <w:lvl w:ilvl="0">
      <w:lvlJc w:val="left"/>
      <w:lvlText w:val="(%1)"/>
      <w:numFmt w:val="lowerLetter"/>
      <w:start w:val="5"/>
    </w:lvl>
  </w:abstractNum>
  <w:abstractNum w:abstractNumId="90">
    <w:nsid w:val="260D8C4A"/>
    <w:multiLevelType w:val="hybridMultilevel"/>
    <w:lvl w:ilvl="0">
      <w:lvlJc w:val="left"/>
      <w:lvlText w:val="%1"/>
      <w:numFmt w:val="lowerLetter"/>
      <w:start w:val="1"/>
    </w:lvl>
    <w:lvl w:ilvl="1">
      <w:lvlJc w:val="left"/>
      <w:lvlText w:val="(%2)"/>
      <w:numFmt w:val="lowerLetter"/>
      <w:start w:val="1"/>
    </w:lvl>
  </w:abstractNum>
  <w:abstractNum w:abstractNumId="91">
    <w:nsid w:val="73D4D3C4"/>
    <w:multiLevelType w:val="hybridMultilevel"/>
    <w:lvl w:ilvl="0">
      <w:lvlJc w:val="left"/>
      <w:lvlText w:val="(%1)"/>
      <w:numFmt w:val="lowerLetter"/>
      <w:start w:val="9"/>
    </w:lvl>
    <w:lvl w:ilvl="1">
      <w:lvlJc w:val="left"/>
      <w:lvlText w:val="%2"/>
      <w:numFmt w:val="lowerLetter"/>
      <w:start w:val="1"/>
    </w:lvl>
  </w:abstractNum>
  <w:abstractNum w:abstractNumId="92">
    <w:nsid w:val="746F2E30"/>
    <w:multiLevelType w:val="hybridMultilevel"/>
    <w:lvl w:ilvl="0">
      <w:lvlJc w:val="left"/>
      <w:lvlText w:val="(%1)"/>
      <w:numFmt w:val="lowerRoman"/>
      <w:start w:val="2"/>
    </w:lvl>
  </w:abstractNum>
  <w:abstractNum w:abstractNumId="93">
    <w:nsid w:val="6FDE8AF6"/>
    <w:multiLevelType w:val="hybridMultilevel"/>
    <w:lvl w:ilvl="0">
      <w:lvlJc w:val="left"/>
      <w:lvlText w:val="(%1)"/>
      <w:numFmt w:val="lowerRoman"/>
      <w:start w:val="3"/>
    </w:lvl>
  </w:abstractNum>
  <w:abstractNum w:abstractNumId="94">
    <w:nsid w:val="3FC32E20"/>
    <w:multiLevelType w:val="hybridMultilevel"/>
    <w:lvl w:ilvl="0">
      <w:lvlJc w:val="left"/>
      <w:lvlText w:val="(%1)"/>
      <w:numFmt w:val="lowerRoman"/>
      <w:start w:val="4"/>
    </w:lvl>
  </w:abstractNum>
  <w:abstractNum w:abstractNumId="95">
    <w:nsid w:val="49C0E823"/>
    <w:multiLevelType w:val="hybridMultilevel"/>
    <w:lvl w:ilvl="0">
      <w:lvlJc w:val="left"/>
      <w:lvlText w:val="(%1)"/>
      <w:numFmt w:val="lowerRoman"/>
      <w:start w:val="5"/>
    </w:lvl>
  </w:abstractNum>
  <w:abstractNum w:abstractNumId="96">
    <w:nsid w:val="14D53685"/>
    <w:multiLevelType w:val="hybridMultilevel"/>
    <w:lvl w:ilvl="0">
      <w:lvlJc w:val="left"/>
      <w:lvlText w:val="(%1)"/>
      <w:numFmt w:val="lowerRoman"/>
      <w:start w:val="6"/>
    </w:lvl>
  </w:abstractNum>
  <w:abstractNum w:abstractNumId="97">
    <w:nsid w:val="230F856C"/>
    <w:multiLevelType w:val="hybridMultilevel"/>
    <w:lvl w:ilvl="0">
      <w:lvlJc w:val="left"/>
      <w:lvlText w:val="%1"/>
      <w:numFmt w:val="lowerLetter"/>
      <w:start w:val="1"/>
    </w:lvl>
    <w:lvl w:ilvl="1">
      <w:lvlJc w:val="left"/>
      <w:lvlText w:val="(%2)"/>
      <w:numFmt w:val="lowerRoman"/>
      <w:start w:val="7"/>
    </w:lvl>
    <w:lvl w:ilvl="2">
      <w:lvlJc w:val="left"/>
      <w:lvlText w:val="%3"/>
      <w:numFmt w:val="lowerLetter"/>
      <w:start w:val="1"/>
    </w:lvl>
  </w:abstractNum>
  <w:abstractNum w:abstractNumId="98">
    <w:nsid w:val="6EAA85FB"/>
    <w:multiLevelType w:val="hybridMultilevel"/>
    <w:lvl w:ilvl="0">
      <w:lvlJc w:val="left"/>
      <w:lvlText w:val="(%1)"/>
      <w:numFmt w:val="lowerLetter"/>
      <w:start w:val="61"/>
    </w:lvl>
    <w:lvl w:ilvl="1">
      <w:lvlJc w:val="left"/>
      <w:lvlText w:val="(%2)"/>
      <w:numFmt w:val="lowerRoman"/>
      <w:start w:val="1"/>
    </w:lvl>
    <w:lvl w:ilvl="2">
      <w:lvlJc w:val="left"/>
      <w:lvlText w:val="(%3)"/>
      <w:numFmt w:val="lowerLetter"/>
      <w:start w:val="2"/>
    </w:lvl>
  </w:abstractNum>
  <w:abstractNum w:abstractNumId="99">
    <w:nsid w:val="3F06ECB2"/>
    <w:multiLevelType w:val="hybridMultilevel"/>
    <w:lvl w:ilvl="0">
      <w:lvlJc w:val="left"/>
      <w:lvlText w:val="(%1)"/>
      <w:numFmt w:val="upperLetter"/>
      <w:start w:val="1"/>
    </w:lvl>
  </w:abstractNum>
  <w:abstractNum w:abstractNumId="100">
    <w:nsid w:val="3B594807"/>
    <w:multiLevelType w:val="hybridMultilevel"/>
    <w:lvl w:ilvl="0">
      <w:lvlJc w:val="left"/>
      <w:lvlText w:val="(%1)"/>
      <w:numFmt w:val="upperLetter"/>
      <w:start w:val="3"/>
    </w:lvl>
    <w:lvl w:ilvl="1">
      <w:lvlJc w:val="left"/>
      <w:lvlText w:val="(%2)"/>
      <w:numFmt w:val="lowerLetter"/>
      <w:start w:val="4"/>
    </w:lvl>
  </w:abstractNum>
  <w:abstractNum w:abstractNumId="101">
    <w:nsid w:val="6CAA2304"/>
    <w:multiLevelType w:val="hybridMultilevel"/>
    <w:lvl w:ilvl="0">
      <w:lvlJc w:val="left"/>
      <w:lvlText w:val="(%1)"/>
      <w:numFmt w:val="lowerRoman"/>
      <w:start w:val="1"/>
    </w:lvl>
  </w:abstractNum>
  <w:abstractNum w:abstractNumId="102">
    <w:nsid w:val="3F7C2FF4"/>
    <w:multiLevelType w:val="hybridMultilevel"/>
    <w:lvl w:ilvl="0">
      <w:lvlJc w:val="left"/>
      <w:lvlText w:val="(%1)"/>
      <w:numFmt w:val="lowerLetter"/>
      <w:start w:val="2"/>
    </w:lvl>
  </w:abstractNum>
  <w:abstractNum w:abstractNumId="103">
    <w:nsid w:val="25413BEC"/>
    <w:multiLevelType w:val="hybridMultilevel"/>
    <w:lvl w:ilvl="0">
      <w:lvlJc w:val="left"/>
      <w:lvlText w:val="(%1)"/>
      <w:numFmt w:val="lowerLetter"/>
      <w:start w:val="9"/>
    </w:lvl>
    <w:lvl w:ilvl="1">
      <w:lvlJc w:val="left"/>
      <w:lvlText w:val="(%2)"/>
      <w:numFmt w:val="lowerLetter"/>
      <w:start w:val="2"/>
    </w:lvl>
  </w:abstractNum>
  <w:abstractNum w:abstractNumId="104">
    <w:nsid w:val="17180B0B"/>
    <w:multiLevelType w:val="hybridMultilevel"/>
    <w:lvl w:ilvl="0">
      <w:lvlJc w:val="left"/>
      <w:lvlText w:val="(%1)"/>
      <w:numFmt w:val="lowerRoman"/>
      <w:start w:val="1"/>
    </w:lvl>
  </w:abstractNum>
  <w:abstractNum w:abstractNumId="105">
    <w:nsid w:val="579328B9"/>
    <w:multiLevelType w:val="hybridMultilevel"/>
    <w:lvl w:ilvl="0">
      <w:lvlJc w:val="left"/>
      <w:lvlText w:val="(%1)"/>
      <w:numFmt w:val="lowerLetter"/>
      <w:start w:val="3"/>
    </w:lvl>
  </w:abstractNum>
  <w:abstractNum w:abstractNumId="106">
    <w:nsid w:val="5D205E20"/>
    <w:multiLevelType w:val="hybridMultilevel"/>
    <w:lvl w:ilvl="0">
      <w:lvlJc w:val="left"/>
      <w:lvlText w:val="(%1)"/>
      <w:numFmt w:val="lowerLetter"/>
      <w:start w:val="1"/>
    </w:lvl>
  </w:abstractNum>
  <w:abstractNum w:abstractNumId="107">
    <w:nsid w:val="11CCA8BA"/>
    <w:multiLevelType w:val="hybridMultilevel"/>
    <w:lvl w:ilvl="0">
      <w:lvlJc w:val="left"/>
      <w:lvlText w:val="(%1)"/>
      <w:numFmt w:val="lowerLetter"/>
      <w:start w:val="1"/>
    </w:lvl>
  </w:abstractNum>
  <w:abstractNum w:abstractNumId="108">
    <w:nsid w:val="4D32AB86"/>
    <w:multiLevelType w:val="hybridMultilevel"/>
    <w:lvl w:ilvl="0">
      <w:lvlJc w:val="left"/>
      <w:lvlText w:val="(%1)"/>
      <w:numFmt w:val="lowerLetter"/>
      <w:start w:val="1"/>
    </w:lvl>
  </w:abstractNum>
  <w:abstractNum w:abstractNumId="109">
    <w:nsid w:val="3F07ACC3"/>
    <w:multiLevelType w:val="hybridMultilevel"/>
    <w:lvl w:ilvl="0">
      <w:lvlJc w:val="left"/>
      <w:lvlText w:val="(%1)"/>
      <w:numFmt w:val="lowerLetter"/>
      <w:start w:val="1"/>
    </w:lvl>
  </w:abstractNum>
  <w:abstractNum w:abstractNumId="110">
    <w:nsid w:val="6B47F63E"/>
    <w:multiLevelType w:val="hybridMultilevel"/>
    <w:lvl w:ilvl="0">
      <w:lvlJc w:val="left"/>
      <w:lvlText w:val="(%1)"/>
      <w:numFmt w:val="lowerLetter"/>
      <w:start w:val="1"/>
    </w:lvl>
  </w:abstractNum>
  <w:abstractNum w:abstractNumId="111">
    <w:nsid w:val="5CB44A05"/>
    <w:multiLevelType w:val="hybridMultilevel"/>
    <w:lvl w:ilvl="0">
      <w:lvlJc w:val="left"/>
      <w:lvlText w:val="(%1)"/>
      <w:numFmt w:val="lowerLetter"/>
      <w:start w:val="1"/>
    </w:lvl>
  </w:abstractNum>
  <w:abstractNum w:abstractNumId="112">
    <w:nsid w:val="16CF80F1"/>
    <w:multiLevelType w:val="hybridMultilevel"/>
    <w:lvl w:ilvl="0">
      <w:lvlJc w:val="left"/>
      <w:lvlText w:val="(%1)"/>
      <w:numFmt w:val="lowerLetter"/>
      <w:start w:val="2"/>
    </w:lvl>
  </w:abstractNum>
  <w:abstractNum w:abstractNumId="113">
    <w:nsid w:val="1C695DEC"/>
    <w:multiLevelType w:val="hybridMultilevel"/>
    <w:lvl w:ilvl="0">
      <w:lvlJc w:val="left"/>
      <w:lvlText w:val="(%1)"/>
      <w:numFmt w:val="lowerLetter"/>
      <w:start w:val="1"/>
    </w:lvl>
  </w:abstractNum>
  <w:abstractNum w:abstractNumId="114">
    <w:nsid w:val="3FCFAED9"/>
    <w:multiLevelType w:val="hybridMultilevel"/>
    <w:lvl w:ilvl="0">
      <w:lvlJc w:val="left"/>
      <w:lvlText w:val="(%1)"/>
      <w:numFmt w:val="lowerLetter"/>
      <w:start w:val="7"/>
    </w:lvl>
  </w:abstractNum>
  <w:abstractNum w:abstractNumId="115">
    <w:nsid w:val="F856867"/>
    <w:multiLevelType w:val="hybridMultilevel"/>
    <w:lvl w:ilvl="0">
      <w:lvlJc w:val="left"/>
      <w:lvlText w:val="(%1)"/>
      <w:numFmt w:val="lowerLetter"/>
      <w:start w:val="1"/>
    </w:lvl>
  </w:abstractNum>
  <w:abstractNum w:abstractNumId="116">
    <w:nsid w:val="11B1CC33"/>
    <w:multiLevelType w:val="hybridMultilevel"/>
    <w:lvl w:ilvl="0">
      <w:lvlJc w:val="left"/>
      <w:lvlText w:val="(%1)"/>
      <w:numFmt w:val="lowerLetter"/>
      <w:start w:val="2"/>
    </w:lvl>
  </w:abstractNum>
  <w:abstractNum w:abstractNumId="117">
    <w:nsid w:val="2E22FBB7"/>
    <w:multiLevelType w:val="hybridMultilevel"/>
    <w:lvl w:ilvl="0">
      <w:lvlJc w:val="left"/>
      <w:lvlText w:val="(%1)"/>
      <w:numFmt w:val="lowerLetter"/>
      <w:start w:val="1"/>
    </w:lvl>
  </w:abstractNum>
  <w:abstractNum w:abstractNumId="118">
    <w:nsid w:val="29934699"/>
    <w:multiLevelType w:val="hybridMultilevel"/>
    <w:lvl w:ilvl="0">
      <w:lvlJc w:val="left"/>
      <w:lvlText w:val="(%1)"/>
      <w:numFmt w:val="lowerLetter"/>
      <w:start w:val="4"/>
    </w:lvl>
  </w:abstractNum>
  <w:abstractNum w:abstractNumId="119">
    <w:nsid w:val="77485850"/>
    <w:multiLevelType w:val="hybridMultilevel"/>
    <w:lvl w:ilvl="0">
      <w:lvlJc w:val="left"/>
      <w:lvlText w:val="(%1)"/>
      <w:numFmt w:val="lowerLetter"/>
      <w:start w:val="1"/>
    </w:lvl>
  </w:abstractNum>
  <w:abstractNum w:abstractNumId="120">
    <w:nsid w:val="744939A3"/>
    <w:multiLevelType w:val="hybridMultilevel"/>
    <w:lvl w:ilvl="0">
      <w:lvlJc w:val="left"/>
      <w:lvlText w:val="(%1)"/>
      <w:numFmt w:val="lowerLetter"/>
      <w:start w:val="2"/>
    </w:lvl>
  </w:abstractNum>
  <w:abstractNum w:abstractNumId="121">
    <w:nsid w:val="4FA0D2E3"/>
    <w:multiLevelType w:val="hybridMultilevel"/>
    <w:lvl w:ilvl="0">
      <w:lvlJc w:val="left"/>
      <w:lvlText w:val="(%1)"/>
      <w:numFmt w:val="lowerLetter"/>
      <w:start w:val="4"/>
    </w:lvl>
  </w:abstractNum>
  <w:abstractNum w:abstractNumId="122">
    <w:nsid w:val="6B1D2C14"/>
    <w:multiLevelType w:val="hybridMultilevel"/>
    <w:lvl w:ilvl="0">
      <w:lvlJc w:val="left"/>
      <w:lvlText w:val="(%1)"/>
      <w:numFmt w:val="lowerLetter"/>
      <w:start w:val="1"/>
    </w:lvl>
  </w:abstractNum>
  <w:abstractNum w:abstractNumId="123">
    <w:nsid w:val="68B867D3"/>
    <w:multiLevelType w:val="hybridMultilevel"/>
    <w:lvl w:ilvl="0">
      <w:lvlJc w:val="left"/>
      <w:lvlText w:val="(%1)"/>
      <w:numFmt w:val="lowerRoman"/>
      <w:start w:val="1"/>
    </w:lvl>
  </w:abstractNum>
  <w:abstractNum w:abstractNumId="124">
    <w:nsid w:val="3F7F5DD9"/>
    <w:multiLevelType w:val="hybridMultilevel"/>
    <w:lvl w:ilvl="0">
      <w:lvlJc w:val="left"/>
      <w:lvlText w:val="(%1)"/>
      <w:numFmt w:val="lowerRoman"/>
      <w:start w:val="3"/>
    </w:lvl>
  </w:abstractNum>
  <w:abstractNum w:abstractNumId="125">
    <w:nsid w:val="2AE05A34"/>
    <w:multiLevelType w:val="hybridMultilevel"/>
    <w:lvl w:ilvl="0">
      <w:lvlJc w:val="left"/>
      <w:lvlText w:val="(%1)"/>
      <w:numFmt w:val="lowerLetter"/>
      <w:start w:val="3"/>
    </w:lvl>
  </w:abstractNum>
  <w:abstractNum w:abstractNumId="126">
    <w:nsid w:val="32794FF7"/>
    <w:multiLevelType w:val="hybridMultilevel"/>
    <w:lvl w:ilvl="0">
      <w:lvlJc w:val="left"/>
      <w:lvlText w:val="%1."/>
      <w:numFmt w:val="decimal"/>
      <w:start w:val="1"/>
    </w:lvl>
  </w:abstractNum>
  <w:abstractNum w:abstractNumId="127">
    <w:nsid w:val="5454945E"/>
    <w:multiLevelType w:val="hybridMultilevel"/>
    <w:lvl w:ilvl="0">
      <w:lvlJc w:val="left"/>
      <w:lvlText w:val="(%1)"/>
      <w:numFmt w:val="lowerLetter"/>
      <w:start w:val="1"/>
    </w:lvl>
  </w:abstractNum>
  <w:abstractNum w:abstractNumId="128">
    <w:nsid w:val="4DEFDFA0"/>
    <w:multiLevelType w:val="hybridMultilevel"/>
    <w:lvl w:ilvl="0">
      <w:lvlJc w:val="left"/>
      <w:lvlText w:val="(%1)"/>
      <w:numFmt w:val="upperLetter"/>
      <w:start w:val="1"/>
    </w:lvl>
  </w:abstractNum>
  <w:abstractNum w:abstractNumId="129">
    <w:nsid w:val="2123D5F2"/>
    <w:multiLevelType w:val="hybridMultilevel"/>
    <w:lvl w:ilvl="0">
      <w:lvlJc w:val="left"/>
      <w:lvlText w:val="(%1)"/>
      <w:numFmt w:val="lowerRoman"/>
      <w:start w:val="2"/>
    </w:lvl>
  </w:abstractNum>
  <w:abstractNum w:abstractNumId="130">
    <w:nsid w:val="135B8110"/>
    <w:multiLevelType w:val="hybridMultilevel"/>
    <w:lvl w:ilvl="0">
      <w:lvlJc w:val="left"/>
      <w:lvlText w:val="%1."/>
      <w:numFmt w:val="decimal"/>
      <w:start w:val="3"/>
    </w:lvl>
  </w:abstractNum>
  <w:abstractNum w:abstractNumId="131">
    <w:nsid w:val="94927A8"/>
    <w:multiLevelType w:val="hybridMultilevel"/>
    <w:lvl w:ilvl="0">
      <w:lvlJc w:val="left"/>
      <w:lvlText w:val="(%1)"/>
      <w:numFmt w:val="lowerLetter"/>
      <w:start w:val="1"/>
    </w:lvl>
  </w:abstractNum>
  <w:abstractNum w:abstractNumId="132">
    <w:nsid w:val="DCDF8F6"/>
    <w:multiLevelType w:val="hybridMultilevel"/>
    <w:lvl w:ilvl="0">
      <w:lvlJc w:val="left"/>
      <w:lvlText w:val="(%1)"/>
      <w:numFmt w:val="lowerLetter"/>
      <w:start w:val="2"/>
    </w:lvl>
  </w:abstractNum>
  <w:abstractNum w:abstractNumId="133">
    <w:nsid w:val="52D7B105"/>
    <w:multiLevelType w:val="hybridMultilevel"/>
    <w:lvl w:ilvl="0">
      <w:lvlJc w:val="left"/>
      <w:lvlText w:val="%1."/>
      <w:numFmt w:val="decimal"/>
      <w:start w:val="4"/>
    </w:lvl>
  </w:abstractNum>
  <w:abstractNum w:abstractNumId="134">
    <w:nsid w:val="2E8A6394"/>
    <w:multiLevelType w:val="hybridMultilevel"/>
    <w:lvl w:ilvl="0">
      <w:lvlJc w:val="left"/>
      <w:lvlText w:val="(%1)"/>
      <w:numFmt w:val="lowerLetter"/>
      <w:start w:val="1"/>
    </w:lvl>
  </w:abstractNum>
  <w:abstractNum w:abstractNumId="135">
    <w:nsid w:val="24E60401"/>
    <w:multiLevelType w:val="hybridMultilevel"/>
    <w:lvl w:ilvl="0">
      <w:lvlJc w:val="left"/>
      <w:lvlText w:val="(%1)"/>
      <w:numFmt w:val="lowerRoman"/>
      <w:start w:val="1"/>
    </w:lvl>
  </w:abstractNum>
  <w:abstractNum w:abstractNumId="136">
    <w:nsid w:val="2A6AD9BE"/>
    <w:multiLevelType w:val="hybridMultilevel"/>
    <w:lvl w:ilvl="0">
      <w:lvlJc w:val="left"/>
      <w:lvlText w:val="(%1)"/>
      <w:numFmt w:val="lowerRoman"/>
      <w:start w:val="3"/>
    </w:lvl>
  </w:abstractNum>
  <w:abstractNum w:abstractNumId="137">
    <w:nsid w:val="BAAC1B4"/>
    <w:multiLevelType w:val="hybridMultilevel"/>
    <w:lvl w:ilvl="0">
      <w:lvlJc w:val="left"/>
      <w:lvlText w:val="%1."/>
      <w:numFmt w:val="decimal"/>
      <w:start w:val="6"/>
    </w:lvl>
  </w:abstractNum>
  <w:abstractNum w:abstractNumId="138">
    <w:nsid w:val="36B2ACBC"/>
    <w:multiLevelType w:val="hybridMultilevel"/>
    <w:lvl w:ilvl="0">
      <w:lvlJc w:val="left"/>
      <w:lvlText w:val="(%1)"/>
      <w:numFmt w:val="lowerLetter"/>
      <w:start w:val="1"/>
    </w:lvl>
  </w:abstractNum>
  <w:abstractNum w:abstractNumId="139">
    <w:nsid w:val="779D8544"/>
    <w:multiLevelType w:val="hybridMultilevel"/>
    <w:lvl w:ilvl="0">
      <w:lvlJc w:val="left"/>
      <w:lvlText w:val="(%1)"/>
      <w:numFmt w:val="lowerRoman"/>
      <w:start w:val="1"/>
    </w:lvl>
  </w:abstractNum>
  <w:abstractNum w:abstractNumId="140">
    <w:nsid w:val="4AB26E78"/>
    <w:multiLevelType w:val="hybridMultilevel"/>
    <w:lvl w:ilvl="0">
      <w:lvlJc w:val="left"/>
      <w:lvlText w:val="(%1)"/>
      <w:numFmt w:val="lowerRoman"/>
      <w:start w:val="3"/>
    </w:lvl>
  </w:abstractNum>
  <w:abstractNum w:abstractNumId="141">
    <w:nsid w:val="21FAA2FA"/>
    <w:multiLevelType w:val="hybridMultilevel"/>
    <w:lvl w:ilvl="0">
      <w:lvlJc w:val="left"/>
      <w:lvlText w:val="(%1)"/>
      <w:numFmt w:val="upperLetter"/>
      <w:start w:val="1"/>
    </w:lvl>
  </w:abstractNum>
  <w:abstractNum w:abstractNumId="142">
    <w:nsid w:val="5451CF49"/>
    <w:multiLevelType w:val="hybridMultilevel"/>
    <w:lvl w:ilvl="0">
      <w:lvlJc w:val="left"/>
      <w:lvlText w:val="(%1)"/>
      <w:numFmt w:val="lowerRoman"/>
      <w:start w:val="4"/>
    </w:lvl>
  </w:abstractNum>
  <w:abstractNum w:abstractNumId="143">
    <w:nsid w:val="6181EF69"/>
    <w:multiLevelType w:val="hybridMultilevel"/>
    <w:lvl w:ilvl="0">
      <w:lvlJc w:val="left"/>
      <w:lvlText w:val="(%1)"/>
      <w:numFmt w:val="lowerLetter"/>
      <w:start w:val="2"/>
    </w:lvl>
  </w:abstractNum>
  <w:abstractNum w:abstractNumId="144">
    <w:nsid w:val="3E6400E6"/>
    <w:multiLevelType w:val="hybridMultilevel"/>
    <w:lvl w:ilvl="0">
      <w:lvlJc w:val="left"/>
      <w:lvlText w:val="(%1)"/>
      <w:numFmt w:val="lowerRoman"/>
      <w:start w:val="1"/>
    </w:lvl>
  </w:abstractNum>
  <w:abstractNum w:abstractNumId="145">
    <w:nsid w:val="14217E23"/>
    <w:multiLevelType w:val="hybridMultilevel"/>
    <w:lvl w:ilvl="0">
      <w:lvlJc w:val="left"/>
      <w:lvlText w:val="(%1)"/>
      <w:numFmt w:val="lowerRoman"/>
      <w:start w:val="3"/>
    </w:lvl>
  </w:abstractNum>
  <w:abstractNum w:abstractNumId="146">
    <w:nsid w:val="710757D0"/>
    <w:multiLevelType w:val="hybridMultilevel"/>
    <w:lvl w:ilvl="0">
      <w:lvlJc w:val="left"/>
      <w:lvlText w:val="(%1)"/>
      <w:numFmt w:val="upperLetter"/>
      <w:start w:val="1"/>
    </w:lvl>
  </w:abstractNum>
  <w:abstractNum w:abstractNumId="147">
    <w:nsid w:val="5015CD1A"/>
    <w:multiLevelType w:val="hybridMultilevel"/>
    <w:lvl w:ilvl="0">
      <w:lvlJc w:val="left"/>
      <w:lvlText w:val="(%1)"/>
      <w:numFmt w:val="lowerRoman"/>
      <w:start w:val="4"/>
    </w:lvl>
  </w:abstractNum>
  <w:abstractNum w:abstractNumId="148">
    <w:nsid w:val="424479DA"/>
    <w:multiLevelType w:val="hybridMultilevel"/>
    <w:lvl w:ilvl="0">
      <w:lvlJc w:val="left"/>
      <w:lvlText w:val="(%1)"/>
      <w:numFmt w:val="lowerLetter"/>
      <w:start w:val="3"/>
    </w:lvl>
  </w:abstractNum>
  <w:abstractNum w:abstractNumId="149">
    <w:nsid w:val="1A9A9E69"/>
    <w:multiLevelType w:val="hybridMultilevel"/>
    <w:lvl w:ilvl="0">
      <w:lvlJc w:val="left"/>
      <w:lvlText w:val="(%1)"/>
      <w:numFmt w:val="lowerLetter"/>
      <w:start w:val="6"/>
    </w:lvl>
  </w:abstractNum>
  <w:abstractNum w:abstractNumId="150">
    <w:nsid w:val="475E256A"/>
    <w:multiLevelType w:val="hybridMultilevel"/>
    <w:lvl w:ilvl="0">
      <w:lvlJc w:val="left"/>
      <w:lvlText w:val="(%1)"/>
      <w:numFmt w:val="lowerRoman"/>
      <w:start w:val="1"/>
    </w:lvl>
  </w:abstractNum>
  <w:abstractNum w:abstractNumId="151">
    <w:nsid w:val="368DB37E"/>
    <w:multiLevelType w:val="hybridMultilevel"/>
    <w:lvl w:ilvl="0">
      <w:lvlJc w:val="left"/>
      <w:lvlText w:val="(%1)"/>
      <w:numFmt w:val="upperLetter"/>
      <w:start w:val="1"/>
    </w:lvl>
  </w:abstractNum>
  <w:abstractNum w:abstractNumId="152">
    <w:nsid w:val="6A3B714C"/>
    <w:multiLevelType w:val="hybridMultilevel"/>
    <w:lvl w:ilvl="0">
      <w:lvlJc w:val="left"/>
      <w:lvlText w:val="(%1)"/>
      <w:numFmt w:val="upperLetter"/>
      <w:start w:val="2"/>
    </w:lvl>
  </w:abstractNum>
  <w:abstractNum w:abstractNumId="153">
    <w:nsid w:val="327B517E"/>
    <w:multiLevelType w:val="hybridMultilevel"/>
    <w:lvl w:ilvl="0">
      <w:lvlJc w:val="left"/>
      <w:lvlText w:val="(%1)"/>
      <w:numFmt w:val="lowerRoman"/>
      <w:start w:val="3"/>
    </w:lvl>
  </w:abstractNum>
  <w:abstractNum w:abstractNumId="154">
    <w:nsid w:val="1F461B51"/>
    <w:multiLevelType w:val="hybridMultilevel"/>
    <w:lvl w:ilvl="0">
      <w:lvlJc w:val="left"/>
      <w:lvlText w:val="(%1)"/>
      <w:numFmt w:val="upperLetter"/>
      <w:start w:val="1"/>
    </w:lvl>
  </w:abstractNum>
  <w:abstractNum w:abstractNumId="155">
    <w:nsid w:val="29BACF25"/>
    <w:multiLevelType w:val="hybridMultilevel"/>
    <w:lvl w:ilvl="0">
      <w:lvlJc w:val="left"/>
      <w:lvlText w:val="%1."/>
      <w:numFmt w:val="decimal"/>
      <w:start w:val="7"/>
    </w:lvl>
  </w:abstractNum>
  <w:abstractNum w:abstractNumId="156">
    <w:nsid w:val="5D5BABB3"/>
    <w:multiLevelType w:val="hybridMultilevel"/>
    <w:lvl w:ilvl="0">
      <w:lvlJc w:val="left"/>
      <w:lvlText w:val="%1."/>
      <w:numFmt w:val="decimal"/>
      <w:start w:val="8"/>
    </w:lvl>
  </w:abstractNum>
  <w:abstractNum w:abstractNumId="157">
    <w:nsid w:val="51BF6B48"/>
    <w:multiLevelType w:val="hybridMultilevel"/>
    <w:lvl w:ilvl="0">
      <w:lvlJc w:val="left"/>
      <w:lvlText w:val="%1."/>
      <w:numFmt w:val="decimal"/>
      <w:start w:val="1"/>
    </w:lvl>
  </w:abstractNum>
  <w:abstractNum w:abstractNumId="158">
    <w:nsid w:val="7E0F6384"/>
    <w:multiLevelType w:val="hybridMultilevel"/>
    <w:lvl w:ilvl="0">
      <w:lvlJc w:val="left"/>
      <w:lvlText w:val="%1."/>
      <w:numFmt w:val="decimal"/>
      <w:start w:val="2"/>
    </w:lvl>
  </w:abstractNum>
  <w:abstractNum w:abstractNumId="159">
    <w:nsid w:val="2B4B8B53"/>
    <w:multiLevelType w:val="hybridMultilevel"/>
    <w:lvl w:ilvl="0">
      <w:lvlJc w:val="left"/>
      <w:lvlText w:val="(%1)"/>
      <w:numFmt w:val="lowerLetter"/>
      <w:start w:val="1"/>
    </w:lvl>
  </w:abstractNum>
  <w:abstractNum w:abstractNumId="160">
    <w:nsid w:val="72E3413A"/>
    <w:multiLevelType w:val="hybridMultilevel"/>
    <w:lvl w:ilvl="0">
      <w:lvlJc w:val="left"/>
      <w:lvlText w:val="(%1)"/>
      <w:numFmt w:val="lowerRoman"/>
      <w:start w:val="1"/>
    </w:lvl>
  </w:abstractNum>
  <w:abstractNum w:abstractNumId="161">
    <w:nsid w:val="116AE494"/>
    <w:multiLevelType w:val="hybridMultilevel"/>
    <w:lvl w:ilvl="0">
      <w:lvlJc w:val="left"/>
      <w:lvlText w:val="(%1)"/>
      <w:numFmt w:val="lowerRoman"/>
      <w:start w:val="2"/>
    </w:lvl>
  </w:abstractNum>
  <w:abstractNum w:abstractNumId="162">
    <w:nsid w:val="3494B2FB"/>
    <w:multiLevelType w:val="hybridMultilevel"/>
    <w:lvl w:ilvl="0">
      <w:lvlJc w:val="left"/>
      <w:lvlText w:val="(%1)"/>
      <w:numFmt w:val="lowerLetter"/>
      <w:start w:val="4"/>
    </w:lvl>
  </w:abstractNum>
  <w:abstractNum w:abstractNumId="163">
    <w:nsid w:val="B13A31"/>
    <w:multiLevelType w:val="hybridMultilevel"/>
    <w:lvl w:ilvl="0">
      <w:lvlJc w:val="left"/>
      <w:lvlText w:val="(%1)"/>
      <w:numFmt w:val="lowerLetter"/>
      <w:start w:val="1"/>
    </w:lvl>
  </w:abstractNum>
  <w:abstractNum w:abstractNumId="164">
    <w:nsid w:val="64429599"/>
    <w:multiLevelType w:val="hybridMultilevel"/>
    <w:lvl w:ilvl="0">
      <w:lvlJc w:val="left"/>
      <w:lvlText w:val="(%1)"/>
      <w:numFmt w:val="lowerLetter"/>
      <w:start w:val="5"/>
    </w:lvl>
  </w:abstractNum>
  <w:abstractNum w:abstractNumId="165">
    <w:nsid w:val="631F1690"/>
    <w:multiLevelType w:val="hybridMultilevel"/>
    <w:lvl w:ilvl="0">
      <w:lvlJc w:val="left"/>
      <w:lvlText w:val="(%1)"/>
      <w:numFmt w:val="lowerLetter"/>
      <w:start w:val="1"/>
    </w:lvl>
  </w:abstractNum>
  <w:abstractNum w:abstractNumId="166">
    <w:nsid w:val="25973E32"/>
    <w:multiLevelType w:val="hybridMultilevel"/>
    <w:lvl w:ilvl="0">
      <w:lvlJc w:val="left"/>
      <w:lvlText w:val="(%1)"/>
      <w:numFmt w:val="lowerLetter"/>
      <w:start w:val="1"/>
    </w:lvl>
  </w:abstractNum>
  <w:abstractNum w:abstractNumId="167">
    <w:nsid w:val="EAD6F57"/>
    <w:multiLevelType w:val="hybridMultilevel"/>
    <w:lvl w:ilvl="0">
      <w:lvlJc w:val="left"/>
      <w:lvlText w:val="(%1)"/>
      <w:numFmt w:val="lowerLetter"/>
      <w:start w:val="4"/>
    </w:lvl>
  </w:abstractNum>
  <w:abstractNum w:abstractNumId="168">
    <w:nsid w:val="6EC9D844"/>
    <w:multiLevelType w:val="hybridMultilevel"/>
    <w:lvl w:ilvl="0">
      <w:lvlJc w:val="left"/>
      <w:lvlText w:val="(%1)"/>
      <w:numFmt w:val="lowerLetter"/>
      <w:start w:val="1"/>
    </w:lvl>
    <w:lvl w:ilvl="1">
      <w:lvlJc w:val="left"/>
      <w:lvlText w:val="(%2)"/>
      <w:numFmt w:val="lowerRoman"/>
      <w:start w:val="1"/>
    </w:lvl>
  </w:abstractNum>
  <w:abstractNum w:abstractNumId="169">
    <w:nsid w:val="5C49EAEE"/>
    <w:multiLevelType w:val="hybridMultilevel"/>
    <w:lvl w:ilvl="0">
      <w:lvlJc w:val="left"/>
      <w:lvlText w:val="(%1)"/>
      <w:numFmt w:val="lowerLetter"/>
      <w:start w:val="3"/>
    </w:lvl>
  </w:abstractNum>
  <w:abstractNum w:abstractNumId="170">
    <w:nsid w:val="64AF49B"/>
    <w:multiLevelType w:val="hybridMultilevel"/>
    <w:lvl w:ilvl="0">
      <w:lvlJc w:val="left"/>
      <w:lvlText w:val="(%1)"/>
      <w:numFmt w:val="lowerLetter"/>
      <w:start w:val="1"/>
    </w:lvl>
  </w:abstractNum>
  <w:abstractNum w:abstractNumId="171">
    <w:nsid w:val="397C46BC"/>
    <w:multiLevelType w:val="hybridMultilevel"/>
    <w:lvl w:ilvl="0">
      <w:lvlJc w:val="left"/>
      <w:lvlText w:val="(%1)"/>
      <w:numFmt w:val="lowerLetter"/>
      <w:start w:val="1"/>
    </w:lvl>
  </w:abstractNum>
  <w:abstractNum w:abstractNumId="172">
    <w:nsid w:val="7E448DE9"/>
    <w:multiLevelType w:val="hybridMultilevel"/>
    <w:lvl w:ilvl="0">
      <w:lvlJc w:val="left"/>
      <w:lvlText w:val="(%1)"/>
      <w:numFmt w:val="lowerLetter"/>
      <w:start w:val="11"/>
    </w:lvl>
  </w:abstractNum>
  <w:abstractNum w:abstractNumId="173">
    <w:nsid w:val="5A9CC3E5"/>
    <w:multiLevelType w:val="hybridMultilevel"/>
    <w:lvl w:ilvl="0">
      <w:lvlJc w:val="left"/>
      <w:lvlText w:val="(%1)"/>
      <w:numFmt w:val="lowerLetter"/>
      <w:start w:val="1"/>
    </w:lvl>
  </w:abstractNum>
  <w:abstractNum w:abstractNumId="174">
    <w:nsid w:val="1AFE3625"/>
    <w:multiLevelType w:val="hybridMultilevel"/>
    <w:lvl w:ilvl="0">
      <w:lvlJc w:val="left"/>
      <w:lvlText w:val="%1"/>
      <w:numFmt w:val="lowerLetter"/>
      <w:start w:val="1"/>
    </w:lvl>
    <w:lvl w:ilvl="1">
      <w:lvlJc w:val="left"/>
      <w:lvlText w:val="(%2)"/>
      <w:numFmt w:val="lowerLetter"/>
      <w:start w:val="2"/>
    </w:lvl>
  </w:abstractNum>
  <w:abstractNum w:abstractNumId="175">
    <w:nsid w:val="3CA88ECF"/>
    <w:multiLevelType w:val="hybridMultilevel"/>
    <w:lvl w:ilvl="0">
      <w:lvlJc w:val="left"/>
      <w:lvlText w:val="(%1)"/>
      <w:numFmt w:val="lowerLetter"/>
      <w:start w:val="61"/>
    </w:lvl>
    <w:lvl w:ilvl="1">
      <w:lvlJc w:val="left"/>
      <w:lvlText w:val="%2"/>
      <w:numFmt w:val="lowerLetter"/>
      <w:start w:val="1"/>
    </w:lvl>
  </w:abstractNum>
  <w:abstractNum w:abstractNumId="176">
    <w:nsid w:val="6EBE4208"/>
    <w:multiLevelType w:val="hybridMultilevel"/>
    <w:lvl w:ilvl="0">
      <w:lvlJc w:val="left"/>
      <w:lvlText w:val="(%1)"/>
      <w:numFmt w:val="lowerLetter"/>
      <w:start w:val="1"/>
    </w:lvl>
  </w:abstractNum>
  <w:abstractNum w:abstractNumId="177">
    <w:nsid w:val="C058DF5"/>
    <w:multiLevelType w:val="hybridMultilevel"/>
    <w:lvl w:ilvl="0">
      <w:lvlJc w:val="left"/>
      <w:lvlText w:val="(%1)"/>
      <w:numFmt w:val="lowerLetter"/>
      <w:start w:val="1"/>
    </w:lvl>
  </w:abstractNum>
  <w:abstractNum w:abstractNumId="178">
    <w:nsid w:val="CBE5BE9"/>
    <w:multiLevelType w:val="hybridMultilevel"/>
    <w:lvl w:ilvl="0">
      <w:lvlJc w:val="left"/>
      <w:lvlText w:val="(%1)"/>
      <w:numFmt w:val="lowerLetter"/>
      <w:start w:val="2"/>
    </w:lvl>
  </w:abstractNum>
  <w:abstractNum w:abstractNumId="179">
    <w:nsid w:val="3102BBE2"/>
    <w:multiLevelType w:val="hybridMultilevel"/>
    <w:lvl w:ilvl="0">
      <w:lvlJc w:val="left"/>
      <w:lvlText w:val="(%1)"/>
      <w:numFmt w:val="lowerLetter"/>
      <w:start w:val="4"/>
    </w:lvl>
  </w:abstractNum>
  <w:abstractNum w:abstractNumId="180">
    <w:nsid w:val="26A02C5E"/>
    <w:multiLevelType w:val="hybridMultilevel"/>
    <w:lvl w:ilvl="0">
      <w:lvlJc w:val="left"/>
      <w:lvlText w:val="(%1)"/>
      <w:numFmt w:val="lowerLetter"/>
      <w:start w:val="1"/>
    </w:lvl>
  </w:abstractNum>
  <w:abstractNum w:abstractNumId="181">
    <w:nsid w:val="541C8153"/>
    <w:multiLevelType w:val="hybridMultilevel"/>
    <w:lvl w:ilvl="0">
      <w:lvlJc w:val="left"/>
      <w:lvlText w:val="(%1)"/>
      <w:numFmt w:val="lowerLetter"/>
      <w:start w:val="2"/>
    </w:lvl>
  </w:abstractNum>
  <w:abstractNum w:abstractNumId="182">
    <w:nsid w:val="67906F60"/>
    <w:multiLevelType w:val="hybridMultilevel"/>
    <w:lvl w:ilvl="0">
      <w:lvlJc w:val="left"/>
      <w:lvlText w:val="(%1)"/>
      <w:numFmt w:val="lowerRoman"/>
      <w:start w:val="1"/>
    </w:lvl>
  </w:abstractNum>
  <w:abstractNum w:abstractNumId="183">
    <w:nsid w:val="10DB9DAA"/>
    <w:multiLevelType w:val="hybridMultilevel"/>
    <w:lvl w:ilvl="0">
      <w:lvlJc w:val="left"/>
      <w:lvlText w:val="(%1)"/>
      <w:numFmt w:val="lowerRoman"/>
      <w:start w:val="2"/>
    </w:lvl>
  </w:abstractNum>
  <w:abstractNum w:abstractNumId="184">
    <w:nsid w:val="697D2D2"/>
    <w:multiLevelType w:val="hybridMultilevel"/>
    <w:lvl w:ilvl="0">
      <w:lvlJc w:val="left"/>
      <w:lvlText w:val="(%1)"/>
      <w:numFmt w:val="lowerLetter"/>
      <w:start w:val="4"/>
    </w:lvl>
  </w:abstractNum>
  <w:abstractNum w:abstractNumId="185">
    <w:nsid w:val="6D68AB2"/>
    <w:multiLevelType w:val="hybridMultilevel"/>
    <w:lvl w:ilvl="0">
      <w:lvlJc w:val="left"/>
      <w:lvlText w:val="(%1)"/>
      <w:numFmt w:val="lowerLetter"/>
      <w:start w:val="1"/>
    </w:lvl>
  </w:abstractNum>
  <w:abstractNum w:abstractNumId="186">
    <w:nsid w:val="3A966CD0"/>
    <w:multiLevelType w:val="hybridMultilevel"/>
    <w:lvl w:ilvl="0">
      <w:lvlJc w:val="left"/>
      <w:lvlText w:val="%1."/>
      <w:numFmt w:val="decimal"/>
      <w:start w:val="1"/>
    </w:lvl>
  </w:abstractNum>
  <w:abstractNum w:abstractNumId="187">
    <w:nsid w:val="63F37E85"/>
    <w:multiLevelType w:val="hybridMultilevel"/>
    <w:lvl w:ilvl="0">
      <w:lvlJc w:val="left"/>
      <w:lvlText w:val="%1."/>
      <w:numFmt w:val="decimal"/>
      <w:start w:val="2"/>
    </w:lvl>
  </w:abstractNum>
  <w:abstractNum w:abstractNumId="188">
    <w:nsid w:val="5895F5FA"/>
    <w:multiLevelType w:val="hybridMultilevel"/>
    <w:lvl w:ilvl="0">
      <w:lvlJc w:val="left"/>
      <w:lvlText w:val="(%1)"/>
      <w:numFmt w:val="lowerRoman"/>
      <w:start w:val="1"/>
    </w:lvl>
  </w:abstractNum>
  <w:abstractNum w:abstractNumId="189">
    <w:nsid w:val="38A5D054"/>
    <w:multiLevelType w:val="hybridMultilevel"/>
    <w:lvl w:ilvl="0">
      <w:lvlJc w:val="left"/>
      <w:lvlText w:val="(%1)"/>
      <w:numFmt w:val="lowerRoman"/>
      <w:start w:val="2"/>
    </w:lvl>
  </w:abstractNum>
  <w:abstractNum w:abstractNumId="190">
    <w:nsid w:val="F3F09D8"/>
    <w:multiLevelType w:val="hybridMultilevel"/>
    <w:lvl w:ilvl="0">
      <w:lvlJc w:val="left"/>
      <w:lvlText w:val="(%1)"/>
      <w:numFmt w:val="lowerLetter"/>
      <w:start w:val="2"/>
    </w:lvl>
  </w:abstractNum>
  <w:abstractNum w:abstractNumId="191">
    <w:nsid w:val="4B793735"/>
    <w:multiLevelType w:val="hybridMultilevel"/>
    <w:lvl w:ilvl="0">
      <w:lvlJc w:val="left"/>
      <w:lvlText w:val="%1."/>
      <w:numFmt w:val="decimal"/>
      <w:start w:val="4"/>
    </w:lvl>
    <w:lvl w:ilvl="1">
      <w:lvlJc w:val="left"/>
      <w:lvlText w:val="(%2)"/>
      <w:numFmt w:val="lowerLetter"/>
      <w:start w:val="1"/>
    </w:lvl>
  </w:abstractNum>
  <w:abstractNum w:abstractNumId="192">
    <w:nsid w:val="4A10B4E8"/>
    <w:multiLevelType w:val="hybridMultilevel"/>
    <w:lvl w:ilvl="0">
      <w:lvlJc w:val="left"/>
      <w:lvlText w:val="(%1)"/>
      <w:numFmt w:val="lowerLetter"/>
      <w:start w:val="4"/>
    </w:lvl>
  </w:abstractNum>
  <w:abstractNum w:abstractNumId="193">
    <w:nsid w:val="43D3BCD4"/>
    <w:multiLevelType w:val="hybridMultilevel"/>
    <w:lvl w:ilvl="0">
      <w:lvlJc w:val="left"/>
      <w:lvlText w:val="(%1)"/>
      <w:numFmt w:val="lowerLetter"/>
      <w:start w:val="1"/>
    </w:lvl>
  </w:abstractNum>
  <w:abstractNum w:abstractNumId="194">
    <w:nsid w:val="4C2A7166"/>
    <w:multiLevelType w:val="hybridMultilevel"/>
    <w:lvl w:ilvl="0">
      <w:lvlJc w:val="left"/>
      <w:lvlText w:val="(%1)"/>
      <w:numFmt w:val="lowerRoman"/>
      <w:start w:val="1"/>
    </w:lvl>
  </w:abstractNum>
  <w:abstractNum w:abstractNumId="195">
    <w:nsid w:val="2E534A82"/>
    <w:multiLevelType w:val="hybridMultilevel"/>
    <w:lvl w:ilvl="0">
      <w:lvlJc w:val="left"/>
      <w:lvlText w:val="(%1)"/>
      <w:numFmt w:val="lowerRoman"/>
      <w:start w:val="3"/>
    </w:lvl>
  </w:abstractNum>
  <w:abstractNum w:abstractNumId="196">
    <w:nsid w:val="26F2D364"/>
    <w:multiLevelType w:val="hybridMultilevel"/>
    <w:lvl w:ilvl="0">
      <w:lvlJc w:val="left"/>
      <w:lvlText w:val="(%1)"/>
      <w:numFmt w:val="upperLetter"/>
      <w:start w:val="1"/>
    </w:lvl>
  </w:abstractNum>
  <w:abstractNum w:abstractNumId="197">
    <w:nsid w:val="71C1AF98"/>
    <w:multiLevelType w:val="hybridMultilevel"/>
    <w:lvl w:ilvl="0">
      <w:lvlJc w:val="left"/>
      <w:lvlText w:val="(%1)"/>
      <w:numFmt w:val="lowerRoman"/>
      <w:start w:val="1"/>
    </w:lvl>
  </w:abstractNum>
  <w:abstractNum w:abstractNumId="198">
    <w:nsid w:val="3D00B9D9"/>
    <w:multiLevelType w:val="hybridMultilevel"/>
    <w:lvl w:ilvl="0">
      <w:lvlJc w:val="left"/>
      <w:lvlText w:val="(%1)"/>
      <w:numFmt w:val="lowerRoman"/>
      <w:start w:val="2"/>
    </w:lvl>
  </w:abstractNum>
  <w:abstractNum w:abstractNumId="199">
    <w:nsid w:val="15BCABA8"/>
    <w:multiLevelType w:val="hybridMultilevel"/>
    <w:lvl w:ilvl="0">
      <w:lvlJc w:val="left"/>
      <w:lvlText w:val="(%1)"/>
      <w:numFmt w:val="upperLetter"/>
      <w:start w:val="4"/>
    </w:lvl>
  </w:abstractNum>
  <w:abstractNum w:abstractNumId="200">
    <w:nsid w:val="4E0B9A87"/>
    <w:multiLevelType w:val="hybridMultilevel"/>
    <w:lvl w:ilvl="0">
      <w:lvlJc w:val="left"/>
      <w:lvlText w:val="(%1)"/>
      <w:numFmt w:val="lowerRoman"/>
      <w:start w:val="2"/>
    </w:lvl>
  </w:abstractNum>
  <w:abstractNum w:abstractNumId="201">
    <w:nsid w:val="434BAE75"/>
    <w:multiLevelType w:val="hybridMultilevel"/>
    <w:lvl w:ilvl="0">
      <w:lvlJc w:val="left"/>
      <w:lvlText w:val="(%1)"/>
      <w:numFmt w:val="upperLetter"/>
      <w:start w:val="6"/>
    </w:lvl>
  </w:abstractNum>
  <w:abstractNum w:abstractNumId="202">
    <w:nsid w:val="4F38F265"/>
    <w:multiLevelType w:val="hybridMultilevel"/>
    <w:lvl w:ilvl="0">
      <w:lvlJc w:val="left"/>
      <w:lvlText w:val="(%1)"/>
      <w:numFmt w:val="lowerRoman"/>
      <w:start w:val="1"/>
    </w:lvl>
  </w:abstractNum>
  <w:abstractNum w:abstractNumId="203">
    <w:nsid w:val="4C502870"/>
    <w:multiLevelType w:val="hybridMultilevel"/>
    <w:lvl w:ilvl="0">
      <w:lvlJc w:val="left"/>
      <w:lvlText w:val="%1"/>
      <w:numFmt w:val="upperLetter"/>
      <w:start w:val="1"/>
    </w:lvl>
    <w:lvl w:ilvl="1">
      <w:lvlJc w:val="left"/>
      <w:lvlText w:val="(%2)"/>
      <w:numFmt w:val="lowerRoman"/>
      <w:start w:val="2"/>
    </w:lvl>
  </w:abstractNum>
  <w:abstractNum w:abstractNumId="204">
    <w:nsid w:val="1DE8725A"/>
    <w:multiLevelType w:val="hybridMultilevel"/>
    <w:lvl w:ilvl="0">
      <w:lvlJc w:val="left"/>
      <w:lvlText w:val="(%1)"/>
      <w:numFmt w:val="upperLetter"/>
      <w:start w:val="8"/>
    </w:lvl>
    <w:lvl w:ilvl="1">
      <w:lvlJc w:val="left"/>
      <w:lvlText w:val="%2"/>
      <w:numFmt w:val="lowerRoman"/>
      <w:start w:val="1"/>
    </w:lvl>
  </w:abstractNum>
  <w:abstractNum w:abstractNumId="205">
    <w:nsid w:val="6A37288A"/>
    <w:multiLevelType w:val="hybridMultilevel"/>
    <w:lvl w:ilvl="0">
      <w:lvlJc w:val="left"/>
      <w:lvlText w:val="(%1)"/>
      <w:numFmt w:val="lowerRoman"/>
      <w:start w:val="1"/>
    </w:lvl>
  </w:abstractNum>
  <w:abstractNum w:abstractNumId="206">
    <w:nsid w:val="8F8B73F"/>
    <w:multiLevelType w:val="hybridMultilevel"/>
    <w:lvl w:ilvl="0">
      <w:lvlJc w:val="left"/>
      <w:lvlText w:val="(%1)"/>
      <w:numFmt w:val="upperLetter"/>
      <w:start w:val="10"/>
    </w:lvl>
  </w:abstractNum>
  <w:abstractNum w:abstractNumId="207">
    <w:nsid w:val="CA6B462"/>
    <w:multiLevelType w:val="hybridMultilevel"/>
    <w:lvl w:ilvl="0">
      <w:lvlJc w:val="left"/>
      <w:lvlText w:val="%1."/>
      <w:numFmt w:val="decimal"/>
      <w:start w:val="1"/>
    </w:lvl>
    <w:lvl w:ilvl="1">
      <w:lvlJc w:val="left"/>
      <w:lvlText w:val="%2)"/>
      <w:numFmt w:val="lowerLetter"/>
      <w:start w:val="1"/>
    </w:lvl>
  </w:abstractNum>
  <w:abstractNum w:abstractNumId="208">
    <w:nsid w:val="763CB680"/>
    <w:multiLevelType w:val="hybridMultilevel"/>
    <w:lvl w:ilvl="0">
      <w:lvlJc w:val="left"/>
      <w:lvlText w:val="%1."/>
      <w:numFmt w:val="decimal"/>
      <w:start w:val="1"/>
    </w:lvl>
    <w:lvl w:ilvl="1">
      <w:lvlJc w:val="left"/>
      <w:lvlText w:val="%2)"/>
      <w:numFmt w:val="lowerLetter"/>
      <w:start w:val="1"/>
    </w:lvl>
  </w:abstractNum>
  <w:abstractNum w:abstractNumId="209">
    <w:nsid w:val="15B713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2019-12-10T09:42:23Z</dcterms:created>
  <dcterms:modified xsi:type="dcterms:W3CDTF">2019-12-10T09:42:23Z</dcterms:modified>
</cp:coreProperties>
</file>