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200 East Camperdown Way</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29601</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(800) 822-2651</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 PRI</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119,202,592 shares of the registrant’s common stock, par value $1 per share, outstanding as of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440" w:type="dxa"/>
            <w:vAlign w:val="bottom"/>
            <w:gridSpan w:val="2"/>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2023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2023 filed with the SEC on February 23,</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FinTrust Brokerage Services, LLC and FinTrust Capital Advisors, LLC</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 Bancorp, Inc. and its wholly-owned subsidiary, First National Bank of South Miami</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LIHTC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Low-income housing tax credit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Proportional amortization method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June 30, 2024</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bl>
    <w:p>
      <w:pPr>
        <w:spacing w:after="0" w:line="200" w:lineRule="exact"/>
        <w:rPr>
          <w:sz w:val="20"/>
          <w:szCs w:val="20"/>
          <w:color w:val="auto"/>
        </w:rPr>
      </w:pP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ind w:left="340" w:right="20" w:hanging="332"/>
        <w:spacing w:after="0" w:line="23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situations;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jc w:val="both"/>
        <w:ind w:left="3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Times New Roman" w:cs="Times New Roman" w:eastAsia="Times New Roman" w:hAnsi="Times New Roman"/>
          <w:sz w:val="18"/>
          <w:szCs w:val="18"/>
          <w:color w:val="auto"/>
        </w:rPr>
      </w:pPr>
    </w:p>
    <w:p>
      <w:pPr>
        <w:ind w:left="340" w:right="5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disruptions in our customers’ supply chains, disruptions in transportation, essential utility outages or trade disputes and related tariffs;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2023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803,094</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1,003,875</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3,331,084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$2,004,427 and $2,095,620, respectively)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2,432,941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18,211,193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18,318,755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Allowance for credit losses - loans and leases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17,998,171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378,421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345,371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990,087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(including $116,423 and $111,879 at fair value,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613,873</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27,057,201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27,297,251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6,291,124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6,534,307</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16,690,998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16,776,304</w:t>
            </w:r>
          </w:p>
        </w:tc>
        <w:tc>
          <w:tcPr>
            <w:tcW w:w="0" w:type="dxa"/>
            <w:vAlign w:val="bottom"/>
          </w:tcPr>
          <w:p>
            <w:pPr>
              <w:spacing w:after="0"/>
              <w:rPr>
                <w:sz w:val="1"/>
                <w:szCs w:val="1"/>
                <w:color w:val="auto"/>
              </w:rPr>
            </w:pPr>
          </w:p>
        </w:tc>
      </w:tr>
      <w:tr>
        <w:trPr>
          <w:trHeight w:val="207"/>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22,982,122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324,823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 (including $101,645 and $97,649 at fair value, respectively)</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407,559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400,292</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23,714,568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24,035,726</w:t>
            </w:r>
          </w:p>
        </w:tc>
        <w:tc>
          <w:tcPr>
            <w:tcW w:w="0" w:type="dxa"/>
            <w:vAlign w:val="bottom"/>
          </w:tcPr>
          <w:p>
            <w:pPr>
              <w:spacing w:after="0"/>
              <w:rPr>
                <w:sz w:val="1"/>
                <w:szCs w:val="1"/>
                <w:color w:val="auto"/>
              </w:rPr>
            </w:pPr>
          </w:p>
        </w:tc>
      </w:tr>
      <w:tr>
        <w:trPr>
          <w:trHeight w:val="19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$1 par value: 10,000,000 shares authorized; 3,662 shares Series I issued and</w:t>
            </w: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$25,000 per share liquidation preference</w:t>
            </w:r>
          </w:p>
        </w:tc>
        <w:tc>
          <w:tcPr>
            <w:tcW w:w="2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119,175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119,010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119,174,803 and 119,010,319 shares issued and outstanding, respectively</w:t>
            </w: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issuable: 568,985 and 620,108 shares, respectively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2,699,112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581,219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(239,192)</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3,342,633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3,261,525</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27,057,201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27,297,251</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300" w:type="dxa"/>
            <w:vAlign w:val="bottom"/>
            <w:gridSpan w:val="4"/>
          </w:tcPr>
          <w:p>
            <w:pPr>
              <w:jc w:val="right"/>
              <w:ind w:right="608"/>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10"/>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0"/>
        </w:trPr>
        <w:tc>
          <w:tcPr>
            <w:tcW w:w="5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0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486,915</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Investment securities, including tax exempt of $1,699, $1,731, $3,420 and $3,841, respectively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81,046</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w:t>
            </w:r>
          </w:p>
        </w:tc>
      </w:tr>
      <w:tr>
        <w:trPr>
          <w:trHeight w:val="189"/>
        </w:trPr>
        <w:tc>
          <w:tcPr>
            <w:tcW w:w="59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346,965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295,775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683,693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575,262</w:t>
            </w:r>
          </w:p>
        </w:tc>
      </w:tr>
      <w:tr>
        <w:trPr>
          <w:trHeight w:val="148"/>
        </w:trPr>
        <w:tc>
          <w:tcPr>
            <w:tcW w:w="5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147,078</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r>
      <w:tr>
        <w:trPr>
          <w:trHeight w:val="196"/>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7,670</w:t>
            </w:r>
          </w:p>
        </w:tc>
      </w:tr>
      <w:tr>
        <w:trPr>
          <w:trHeight w:val="203"/>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163,506</w:t>
            </w:r>
          </w:p>
        </w:tc>
      </w:tr>
      <w:tr>
        <w:trPr>
          <w:trHeight w:val="189"/>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411,756</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44,536</w:t>
            </w:r>
          </w:p>
        </w:tc>
      </w:tr>
      <w:tr>
        <w:trPr>
          <w:trHeight w:val="189"/>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177,533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382,715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367,220</w:t>
            </w:r>
          </w:p>
        </w:tc>
      </w:tr>
      <w:tr>
        <w:trPr>
          <w:trHeight w:val="148"/>
        </w:trPr>
        <w:tc>
          <w:tcPr>
            <w:tcW w:w="5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18,476</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11,105</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11,324</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Gains from sales of other loans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losses, net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16,120</w:t>
            </w:r>
          </w:p>
        </w:tc>
      </w:tr>
      <w:tr>
        <w:trPr>
          <w:trHeight w:val="190"/>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36,556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36,387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66,596</w:t>
            </w:r>
          </w:p>
        </w:tc>
      </w:tr>
      <w:tr>
        <w:trPr>
          <w:trHeight w:val="19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458,858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433,816</w:t>
            </w:r>
          </w:p>
        </w:tc>
      </w:tr>
      <w:tr>
        <w:trPr>
          <w:trHeight w:val="148"/>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154,948</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20,752</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20,083</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12,664</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w:t>
            </w:r>
          </w:p>
        </w:tc>
      </w:tr>
      <w:tr>
        <w:trPr>
          <w:trHeight w:val="190"/>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147,044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132,407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292,046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272,212</w:t>
            </w:r>
          </w:p>
        </w:tc>
      </w:tr>
      <w:tr>
        <w:trPr>
          <w:trHeight w:val="203"/>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161,604</w:t>
            </w:r>
          </w:p>
        </w:tc>
      </w:tr>
      <w:tr>
        <w:trPr>
          <w:trHeight w:val="196"/>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19,362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37,566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36,016</w:t>
            </w:r>
          </w:p>
        </w:tc>
      </w:tr>
      <w:tr>
        <w:trPr>
          <w:trHeight w:val="228"/>
        </w:trPr>
        <w:tc>
          <w:tcPr>
            <w:tcW w:w="5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129,246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8"/>
        </w:trPr>
        <w:tc>
          <w:tcPr>
            <w:tcW w:w="5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0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115,614</w:t>
            </w:r>
          </w:p>
        </w:tc>
      </w:tr>
      <w:tr>
        <w:trPr>
          <w:trHeight w:val="188"/>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115,795</w:t>
            </w:r>
          </w:p>
        </w:tc>
      </w:tr>
    </w:tbl>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Before-tax</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gridSpan w:val="3"/>
            <w:vMerge w:val="continue"/>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2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8"/>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129,246</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0" w:type="dxa"/>
            <w:vAlign w:val="bottom"/>
          </w:tcPr>
          <w:p>
            <w:pPr>
              <w:spacing w:after="0"/>
              <w:rPr>
                <w:sz w:val="1"/>
                <w:szCs w:val="1"/>
                <w:color w:val="auto"/>
              </w:rPr>
            </w:pPr>
          </w:p>
        </w:tc>
      </w:tr>
      <w:tr>
        <w:trPr>
          <w:trHeight w:val="148"/>
        </w:trPr>
        <w:tc>
          <w:tcPr>
            <w:tcW w:w="5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Unrealized holding gains on derivatives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2,671</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(2,147)</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94"/>
        </w:trPr>
        <w:tc>
          <w:tcPr>
            <w:tcW w:w="58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4,655</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gridSpan w:val="2"/>
            <w:shd w:val="clear" w:color="auto" w:fill="CCEEFF"/>
          </w:tcPr>
          <w:p>
            <w:pPr>
              <w:ind w:left="360"/>
              <w:spacing w:after="0" w:line="172" w:lineRule="exact"/>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89,407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(20,694)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68,713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173,789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(39,888)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133,901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125,588</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(losses)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(losses) gains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18,024</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losses included in net income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(losses) gains</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(14,971)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25,170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(5,876)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19,294</w:t>
            </w:r>
          </w:p>
        </w:tc>
        <w:tc>
          <w:tcPr>
            <w:tcW w:w="0" w:type="dxa"/>
            <w:vAlign w:val="bottom"/>
          </w:tcPr>
          <w:p>
            <w:pPr>
              <w:spacing w:after="0"/>
              <w:rPr>
                <w:sz w:val="1"/>
                <w:szCs w:val="1"/>
                <w:color w:val="auto"/>
              </w:rPr>
            </w:pPr>
          </w:p>
        </w:tc>
      </w:tr>
      <w:tr>
        <w:trPr>
          <w:trHeight w:val="151"/>
        </w:trPr>
        <w:tc>
          <w:tcPr>
            <w:tcW w:w="5820" w:type="dxa"/>
            <w:vAlign w:val="bottom"/>
            <w:gridSpan w:val="2"/>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4,162</w:t>
            </w:r>
          </w:p>
        </w:tc>
        <w:tc>
          <w:tcPr>
            <w:tcW w:w="0" w:type="dxa"/>
            <w:vAlign w:val="bottom"/>
          </w:tcPr>
          <w:p>
            <w:pPr>
              <w:spacing w:after="0"/>
              <w:rPr>
                <w:sz w:val="1"/>
                <w:szCs w:val="1"/>
                <w:color w:val="auto"/>
              </w:rPr>
            </w:pPr>
          </w:p>
        </w:tc>
      </w:tr>
      <w:tr>
        <w:trPr>
          <w:trHeight w:val="20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gains on derivatives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1,565</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(1,531)</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(loss)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23,581</w:t>
            </w:r>
          </w:p>
        </w:tc>
        <w:tc>
          <w:tcPr>
            <w:tcW w:w="0" w:type="dxa"/>
            <w:vAlign w:val="bottom"/>
          </w:tcPr>
          <w:p>
            <w:pPr>
              <w:spacing w:after="0"/>
              <w:rPr>
                <w:sz w:val="1"/>
                <w:szCs w:val="1"/>
                <w:color w:val="auto"/>
              </w:rPr>
            </w:pPr>
          </w:p>
        </w:tc>
      </w:tr>
      <w:tr>
        <w:trPr>
          <w:trHeight w:val="198"/>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(14,590)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51,818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192,427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(43,258)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149,169</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1040"/>
        <w:spacing w:after="0" w:line="313" w:lineRule="auto"/>
        <w:rPr>
          <w:sz w:val="20"/>
          <w:szCs w:val="20"/>
          <w:color w:val="auto"/>
        </w:rPr>
      </w:pPr>
      <w:r>
        <w:rPr>
          <w:rFonts w:ascii="Times New Roman" w:cs="Times New Roman" w:eastAsia="Times New Roman" w:hAnsi="Times New Roman"/>
          <w:sz w:val="14"/>
          <w:szCs w:val="14"/>
          <w:b w:val="1"/>
          <w:bCs w:val="1"/>
          <w:color w:val="auto"/>
        </w:rPr>
        <w:t xml:space="preserve">Balance at March 31, 2023 </w:t>
      </w:r>
      <w:r>
        <w:rPr>
          <w:rFonts w:ascii="Times New Roman" w:cs="Times New Roman" w:eastAsia="Times New Roman" w:hAnsi="Times New Roman"/>
          <w:sz w:val="14"/>
          <w:szCs w:val="14"/>
          <w:color w:val="auto"/>
        </w:rPr>
        <w:t>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Preferred stock dividends</w:t>
      </w:r>
    </w:p>
    <w:p>
      <w:pPr>
        <w:spacing w:after="0" w:line="42" w:lineRule="exact"/>
        <w:rPr>
          <w:sz w:val="20"/>
          <w:szCs w:val="20"/>
          <w:color w:val="auto"/>
        </w:rPr>
      </w:pPr>
    </w:p>
    <w:p>
      <w:pPr>
        <w:ind w:left="40" w:right="180"/>
        <w:spacing w:after="0" w:line="301" w:lineRule="auto"/>
        <w:rPr>
          <w:sz w:val="20"/>
          <w:szCs w:val="20"/>
          <w:color w:val="auto"/>
        </w:rPr>
      </w:pPr>
      <w:r>
        <w:rPr>
          <w:rFonts w:ascii="Times New Roman" w:cs="Times New Roman" w:eastAsia="Times New Roman" w:hAnsi="Times New Roman"/>
          <w:sz w:val="14"/>
          <w:szCs w:val="14"/>
          <w:color w:val="auto"/>
        </w:rPr>
        <w:t>Common stock dividends ($0.23 per share) Purchases of preferred stock</w:t>
      </w:r>
    </w:p>
    <w:p>
      <w:pPr>
        <w:spacing w:after="0" w:line="1" w:lineRule="exact"/>
        <w:rPr>
          <w:sz w:val="20"/>
          <w:szCs w:val="20"/>
          <w:color w:val="auto"/>
        </w:rPr>
      </w:pPr>
    </w:p>
    <w:p>
      <w:pPr>
        <w:ind w:left="40"/>
        <w:spacing w:after="0" w:line="300" w:lineRule="auto"/>
        <w:rPr>
          <w:sz w:val="20"/>
          <w:szCs w:val="20"/>
          <w:color w:val="auto"/>
        </w:rPr>
      </w:pPr>
      <w:r>
        <w:rPr>
          <w:rFonts w:ascii="Times New Roman" w:cs="Times New Roman" w:eastAsia="Times New Roman" w:hAnsi="Times New Roman"/>
          <w:sz w:val="14"/>
          <w:szCs w:val="14"/>
          <w:color w:val="auto"/>
        </w:rPr>
        <w:t>Impact of equity-based compensation awards Impact of other United sponsored equity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30, 2023</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115,151,566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2,606,403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542,606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(294,437)</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3,078,123</w:t>
            </w: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63,288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(26,859)</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115,265,912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96,165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115,266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2,610,523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577,316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(305,907)</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3,105,591</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-1207770</wp:posOffset>
            </wp:positionV>
            <wp:extent cx="70980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-942340</wp:posOffset>
            </wp:positionV>
            <wp:extent cx="709803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-685165</wp:posOffset>
            </wp:positionV>
            <wp:extent cx="70980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-427990</wp:posOffset>
            </wp:positionV>
            <wp:extent cx="709803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-170815</wp:posOffset>
            </wp:positionV>
            <wp:extent cx="70980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340"/>
            <w:col w:w="8160"/>
          </w:cols>
          <w:pgMar w:left="340" w:top="974" w:right="359" w:bottom="1440" w:gutter="0" w:footer="0" w:header="0"/>
          <w:type w:val="continuous"/>
        </w:sectPr>
      </w:pP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119,136,518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2,702,807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614,612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3,300,110</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66,615</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($0.23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(27,415)</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119,174,803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2,705,345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652,239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(234,537)</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3,342,633</w:t>
            </w: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106,222,758</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106,223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2,306,366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508,844</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(329,488)</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2,700,674</w:t>
            </w:r>
          </w:p>
        </w:tc>
      </w:tr>
      <w:tr>
        <w:trPr>
          <w:trHeight w:val="20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125,588</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23,581</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acquisitions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8,770,531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306,461</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preferred stock</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($0.46 per share)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(53,678)</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w:t>
            </w:r>
          </w:p>
        </w:tc>
      </w:tr>
      <w:tr>
        <w:trPr>
          <w:trHeight w:val="196"/>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2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115,265,912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577,316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(305,907)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3,105,591</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119,010,319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2,699,112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581,219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(239,192)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3,261,525</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129,246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129,246</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($0.46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(55,080)</w:t>
            </w: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119,174,803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2,705,345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652,239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(234,537)</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3,342,633</w:t>
            </w: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00" w:type="dxa"/>
            <w:vAlign w:val="bottom"/>
          </w:tcPr>
          <w:p>
            <w:pPr>
              <w:spacing w:after="0"/>
              <w:rPr>
                <w:sz w:val="17"/>
                <w:szCs w:val="17"/>
                <w:color w:val="auto"/>
              </w:rPr>
            </w:pP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8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129,246</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125,588</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accretion,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23,592</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44,536</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4,790</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5,599</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Securities losses, net</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1,644</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from sales of other loans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(4,221)</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FinTrust goodwill write-down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(2,962)</w:t>
            </w:r>
          </w:p>
        </w:tc>
      </w:tr>
      <w:tr>
        <w:trPr>
          <w:trHeight w:val="205"/>
        </w:trPr>
        <w:tc>
          <w:tcPr>
            <w:tcW w:w="8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(2,128)</w:t>
            </w:r>
          </w:p>
        </w:tc>
      </w:tr>
      <w:tr>
        <w:trPr>
          <w:trHeight w:val="200"/>
        </w:trPr>
        <w:tc>
          <w:tcPr>
            <w:tcW w:w="8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Loans held for sale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(16,307)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(11,417)</w:t>
            </w:r>
          </w:p>
        </w:tc>
      </w:tr>
      <w:tr>
        <w:trPr>
          <w:trHeight w:val="19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193,901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185,021</w:t>
            </w:r>
          </w:p>
        </w:tc>
      </w:tr>
      <w:tr>
        <w:trPr>
          <w:trHeight w:val="18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Debt securities held-to-maturity:</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63,602</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Debt securities available-for-sale: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380,661</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356,110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179,586</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(635,039)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(186,810)</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decrease (increase) in loans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(618,464)</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(122,923)</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122,576</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sales of premises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2,169</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Purchases of premises and equipment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(43,809)</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received in acquisition</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57,101</w:t>
            </w:r>
          </w:p>
        </w:tc>
      </w:tr>
      <w:tr>
        <w:trPr>
          <w:trHeight w:val="200"/>
        </w:trPr>
        <w:tc>
          <w:tcPr>
            <w:tcW w:w="8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Other investing inflows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9,772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2,846</w:t>
            </w:r>
          </w:p>
        </w:tc>
      </w:tr>
      <w:tr>
        <w:trPr>
          <w:trHeight w:val="19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(247,269)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(163,465)</w:t>
            </w:r>
          </w:p>
        </w:tc>
      </w:tr>
      <w:tr>
        <w:trPr>
          <w:trHeight w:val="18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(decrease) increase in deposits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(329,119)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1,040,034</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decrease in short-term borrowings</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(299,951)</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from FHLB advances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2,225,000</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(2,870,000)</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Cash dividends on common stock</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(50,493)</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dividends on preferred stock</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(3,438)</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Other financing inflows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3,116</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financing outflows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(1,941)</w:t>
            </w:r>
          </w:p>
        </w:tc>
      </w:tr>
      <w:tr>
        <w:trPr>
          <w:trHeight w:val="194"/>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(387,644)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42,327</w:t>
            </w:r>
          </w:p>
        </w:tc>
      </w:tr>
      <w:tr>
        <w:trPr>
          <w:trHeight w:val="185"/>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(441,012)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63,883</w:t>
            </w:r>
          </w:p>
        </w:tc>
      </w:tr>
      <w:tr>
        <w:trPr>
          <w:trHeight w:val="203"/>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2"/>
        </w:trPr>
        <w:tc>
          <w:tcPr>
            <w:tcW w:w="83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1,003,875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646,853</w:t>
            </w:r>
          </w:p>
        </w:tc>
      </w:tr>
      <w:tr>
        <w:trPr>
          <w:trHeight w:val="183"/>
        </w:trPr>
        <w:tc>
          <w:tcPr>
            <w:tcW w:w="8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562,863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710,736</w:t>
            </w:r>
          </w:p>
        </w:tc>
      </w:tr>
      <w:tr>
        <w:trPr>
          <w:trHeight w:val="21"/>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2023 10-K.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2023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United officially moved its Holding Company headquarters from Blairsville, Georgia to Greenville, South Carolina.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 June 2024, the Bank changed its primary federal regulator from the FDIC to the Federal Reserve.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6, 2024, United transferred the listing of its securities from NASDAQ to the New York Stock Exchange. The common shares are now listed under the trading symbol UCB and the preferred Series I depositary shares are now listed under the trading symbol UCB PRI.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Revision of Previously Issued Financial Statements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this Form 10-Q, management corrected an immaterial error related to the loan vintage disclosure reported in previously issued financial statements for the period presented in the 2023 10-K. The error relates to the incorrect determination of the vintage year for a population of term loans and gross charge-offs. The correction of this error resulted in the reclassification of certain term loans and gross charge-offs to older vintage categories than originally reported. The correction of this error did not result in any reclassification between risk categories presented. The revision did not change the total amount of loans or gross charge-offs reported and did not affect the Company's net income, cash flows or equity.</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evaluated the aggregate effects of this error to our previously issued financial statements in accordance with SEC Staff Accounting Bulletins No. 99 and No. 108 and, based upon quantitative and qualitative factors, determined that the error was not material to the previously issued financial statements and disclosures included in our 2023 10-K.</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Adopted Accounting Standards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FASB issued ASU No.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Structures Using the Proportional Amortization Method</w:t>
      </w:r>
      <w:r>
        <w:rPr>
          <w:rFonts w:ascii="Times New Roman" w:cs="Times New Roman" w:eastAsia="Times New Roman" w:hAnsi="Times New Roman"/>
          <w:sz w:val="18"/>
          <w:szCs w:val="18"/>
          <w:color w:val="auto"/>
        </w:rPr>
        <w:t>. The update broadens the application of PAM and related disclosures to tax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LIHTC, providing certain conditions are met. The election to apply PAM must be made on a tax-credit-program by tax-credit-program basis rather than at the reporting entity level or to individual investments. United adopted this update using a modified retrospective transition method as of January 1, 2024, with no impact to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schedule of significant non-cash investing and financing activities for the six months ended June 30, 2024 and 2023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fund other investments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1,903,930</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1,597,022</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306,908</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issued and options converted</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306,461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First Miami</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2023, United acquired all of the outstanding common stock of First Miami in a stock transaction. Information related to the fair value of assets and liabilities acquired is included in the 2023 10-K. During the first quarter of 2024, within the one-year measurement period related to the acquisition of First Miami, United received additional information regarding the lack of realizability of certain tax credits. As a result, the provisional fair value assigned to acquired other assets was adjusted to $18.8 million, other liabilities was adjusted to $16.9 million and goodwill was adjusted to $24.5 million, which represents a decrease of $2.06 million, a decrease of $726,000 and an increase of $1.34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 forma information - Progress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2023 United acquired all of the outstanding common stock of Progress in a stock transaction. The following table discloses certain pro forma information as if Progress had been acquired on January 1, 2022. These results combine the historical results of Progress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Merger-related costs related to the Progress acquisition for the three and six months ended June 30, 2023 of $2.29 million and $9.78 million, respectively, have been excluded from the pro forma information for those periods presented below. The actual results and pro forma information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00" w:type="dxa"/>
            <w:vAlign w:val="bottom"/>
          </w:tcPr>
          <w:p>
            <w:pPr>
              <w:spacing w:after="0"/>
              <w:rPr>
                <w:sz w:val="18"/>
                <w:szCs w:val="18"/>
                <w:color w:val="auto"/>
              </w:rPr>
            </w:pPr>
          </w:p>
        </w:tc>
        <w:tc>
          <w:tcPr>
            <w:tcW w:w="244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Progress results included in statement of income since acquisition date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Progress had been acquired January 1, 2022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213,509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HTM debt securities as of the dates indicated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82,306</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236,345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1,108,963</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546,769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2,432,941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428,521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2,004,427</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242,439</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1,176,974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562,394</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2,095,620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AFS debt securities as of the dates indicated are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485,422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472,664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312,407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159,535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1,225,585</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304,605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785,177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194,408</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130,990</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3,861,424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3,604,769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398,021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387,349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164,049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1,190,352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317,246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618,060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201,222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161,712</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3,331,084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with a carrying value of $2.80 billion and $4.12 billion, respectively, were pledged, primarily to secure public deposits at June 30, 2024 and to secure public deposits and provide contingent liquidity through the Bank Term Funding Program at the Federal Reserve Bank, at December 31, 2023. The Bank Term Funding Program was discontinued in the first quarter of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HTM debt securities in an unrealized loss position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225,151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1,981,636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428,206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2,003,426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428,521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118,539</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2,072,315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395,423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AFS debt securities in an unrealized loss position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344,223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447,682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17,063</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2,490,959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3,274,793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258,078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103,535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2,587,704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2,893,970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250,621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there were 638 AFS debt securities and 325 HTM debt securities that were in an unrealized loss position. United does not intend to sell nor does it believe it will be required to sell securities in an unrealized loss position prior to the recovery of their amortized cost basis. Unrealized losses at June 30, 2024 were primarily attributable to changes in interest rates.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and December 31, 2023,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June 30, 2024 or December 31, 2023. In addition, based on the assessments performed at June 30, 2024 and December 31, 2023, there was no ACL required related to the AFS portfolio.</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accrued interest receivable on HTM and AFS debt securities, which was excluded from the estimate of credit losses,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4"/>
        </w:trPr>
        <w:tc>
          <w:tcPr>
            <w:tcW w:w="4820" w:type="dxa"/>
            <w:vAlign w:val="bottom"/>
          </w:tcPr>
          <w:p>
            <w:pPr>
              <w:ind w:left="26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w:t>
            </w:r>
          </w:p>
        </w:tc>
        <w:tc>
          <w:tcPr>
            <w:tcW w:w="2680" w:type="dxa"/>
            <w:vAlign w:val="bottom"/>
          </w:tcPr>
          <w:p>
            <w:pPr>
              <w:spacing w:after="0"/>
              <w:rPr>
                <w:sz w:val="18"/>
                <w:szCs w:val="18"/>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June 30, 2024, by contractual maturity,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147,487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179,716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17,819</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23,939</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551,383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522,032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45,517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41,758</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61,206</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46,782</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12,225</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242,444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120,213</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21,100</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162,930</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234,260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184,030</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1,108,963</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546,769</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2,465,755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1,655,732</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3,861,424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3,604,769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2,432,941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2,004,427</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securities sold. The following table summarizes AFS securities sales activity for the three and six months ended June 30, 2024 and 2023</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70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11"/>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380,661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2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37"/>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losses,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attributable to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the dates indicated.</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480" w:type="dxa"/>
            <w:vAlign w:val="bottom"/>
            <w:tcBorders>
              <w:top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FHLB Stock</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1460" w:type="dxa"/>
            <w:vAlign w:val="bottom"/>
            <w:tcBorders>
              <w:top w:val="single" w:sz="8" w:color="CCEEFF"/>
            </w:tcBorders>
            <w:shd w:val="clear" w:color="auto" w:fill="CCEEFF"/>
          </w:tcPr>
          <w:p>
            <w:pPr>
              <w:spacing w:after="0"/>
              <w:rPr>
                <w:sz w:val="18"/>
                <w:szCs w:val="18"/>
                <w:color w:val="auto"/>
              </w:rPr>
            </w:pPr>
          </w:p>
        </w:tc>
      </w:tr>
      <w:tr>
        <w:trPr>
          <w:trHeight w:val="213"/>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FRB Stock</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2"/>
          </w:tcPr>
          <w:p>
            <w:pPr>
              <w:jc w:val="right"/>
              <w:ind w:right="15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4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146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w:t>
      </w:r>
    </w:p>
    <w:p>
      <w:pPr>
        <w:spacing w:after="0" w:line="8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2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Owner occupied CRE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3,296,793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3,264,051</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Income producing CRE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4,263,952</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2,411,045</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1,859,538</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Equipment financing</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1,541,120</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13,248,886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13,339,706</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mortgage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3,198,928</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Home equity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984,967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958,987</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301,650</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Manufactured housing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336,474</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181,117</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 excluding fair value hedge basis adjustment</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18,214,946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18,316,862</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18,211,193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18,318,755</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ACL - loans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1160" w:type="dxa"/>
            <w:vAlign w:val="bottom"/>
            <w:shd w:val="clear" w:color="auto" w:fill="CCEEFF"/>
          </w:tcPr>
          <w:p>
            <w:pPr>
              <w:spacing w:after="0"/>
              <w:rPr>
                <w:sz w:val="19"/>
                <w:szCs w:val="19"/>
                <w:color w:val="auto"/>
              </w:rPr>
            </w:pPr>
          </w:p>
        </w:tc>
      </w:tr>
      <w:tr>
        <w:trPr>
          <w:trHeight w:val="210"/>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17,998,171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1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4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$66.8 million and $67.0 million on June 30, 2024 and December 31, 2023,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loan portfolio included certain loans specifically pledged to the Federal Reserve as well as loans covered by a blanket lien on qualifying loan types with the FHLB to secure contingent funding sources.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indicated. The gains on these loan sales were included in noninterest income on the consolidated statements of income.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14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43,842</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39,274</w:t>
            </w:r>
          </w:p>
        </w:tc>
      </w:tr>
      <w:tr>
        <w:trPr>
          <w:trHeight w:val="237"/>
        </w:trPr>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equipment financing receivables included leases of $79.6 million and $68.9 million, respectively. The components of the net investment in leases, which included both sales-type and direct financing, are presented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75,198</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68,921</w:t>
            </w:r>
          </w:p>
        </w:tc>
        <w:tc>
          <w:tcPr>
            <w:tcW w:w="1620" w:type="dxa"/>
            <w:vAlign w:val="bottom"/>
          </w:tcPr>
          <w:p>
            <w:pPr>
              <w:spacing w:after="0"/>
              <w:rPr>
                <w:sz w:val="18"/>
                <w:szCs w:val="18"/>
                <w:color w:val="auto"/>
              </w:rPr>
            </w:pPr>
          </w:p>
        </w:tc>
      </w:tr>
      <w:tr>
        <w:trPr>
          <w:trHeight w:val="21"/>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June 30, 2024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Remainder of 2024</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27,016</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87,333</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3,286,682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3,296,793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4,022,552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4,058,076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2,299,009</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2,013,672</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1,581,336</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13,155,025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13,884</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13,248,886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3,265,818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978,546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984,967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211,448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320,774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183,053</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18,053,145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18,214,946</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3,258,015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3,264,051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4,263,952</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2,411,045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1,859,538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1,541,120</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13,256,853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13,339,706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3,198,928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958,987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301,650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336,474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181,117</w:t>
            </w:r>
          </w:p>
        </w:tc>
        <w:tc>
          <w:tcPr>
            <w:tcW w:w="0" w:type="dxa"/>
            <w:vAlign w:val="bottom"/>
          </w:tcPr>
          <w:p>
            <w:pPr>
              <w:spacing w:after="0"/>
              <w:rPr>
                <w:sz w:val="1"/>
                <w:szCs w:val="1"/>
                <w:color w:val="auto"/>
              </w:rPr>
            </w:pPr>
          </w:p>
        </w:tc>
      </w:tr>
      <w:tr>
        <w:trPr>
          <w:trHeight w:val="210"/>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18,171,292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18,316,862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June 30, 2024 and December 31, 2023, United had $62.2 million and $48.5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nonaccrual loans held for investment by loan class for the periods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0" w:type="dxa"/>
            <w:vAlign w:val="bottom"/>
          </w:tcPr>
          <w:p>
            <w:pPr>
              <w:spacing w:after="0"/>
              <w:rPr>
                <w:sz w:val="1"/>
                <w:szCs w:val="1"/>
                <w:color w:val="auto"/>
              </w:rPr>
            </w:pPr>
          </w:p>
        </w:tc>
      </w:tr>
      <w:tr>
        <w:trPr>
          <w:trHeight w:val="20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75,292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114,478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91,687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categorizes commercial loans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 / fail grading system to all consumer purpose loans. Under this system, loans that are on nonaccrual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and gross charge-offs by vintage year, which is the year of origination or most recent renewal, as of the date indicated. See Note 1 for description of revisions to December 31, 2023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203,509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571,318</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636,763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600,078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533,462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508,040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117,945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3,188,829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60,578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12,902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47,386</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667,004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619,833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3,296,793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150,897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416,384</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865,687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821,078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704,597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753,181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3,771,711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96,358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12,974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43,723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98,993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190,007</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462,494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905,182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825,664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736,751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877,027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4,058,076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204,233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472,293</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348,857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245,826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137,009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219,709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512,033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2,147,935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76,528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22,896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74,546</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262,487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228,945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2,299,009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228,487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518,348</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676,319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360,532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73,221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77,321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1,996,167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7,597</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9,908</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522,241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679,477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360,929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2,013,672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367,197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535,699</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408,606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172,520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56,633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1,567,080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4,427</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9,829</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367,369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413,406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1,581,336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13,893</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59,264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320,686</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1,032,241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1,028,897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420,718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377,977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3,242,880</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22,938</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61,233</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323,269</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1,036,989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1,030,797</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422,489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387,674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3,265,818</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952,634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980,727</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952,634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32,333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984,967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98,195</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62,977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211,193</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98,195</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63,121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15,051</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211,448</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42,377</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298,915</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21,859</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320,774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53,462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59,035</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182,891</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53,462</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59,057</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11,288</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8,712</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183,053</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restart"/>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 (revised)</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100" w:type="dxa"/>
            <w:vAlign w:val="bottom"/>
            <w:vMerge w:val="restart"/>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592,932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654,845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618,811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577,916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117,212</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18,671</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3,169,650</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33,991</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60,410</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597,506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670,650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639,052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118,733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3,264,051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464,979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904,015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863,308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795,143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362,139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13,247</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3,980,458</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132,622</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150,872</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826,796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425,493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4,263,952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573,391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280,372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581,871</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13,332</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2,273,773</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35,755</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46,282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101,517</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581,571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643,014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2,411,045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20" w:type="dxa"/>
            <w:vAlign w:val="bottom"/>
          </w:tcPr>
          <w:p>
            <w:pPr>
              <w:spacing w:after="0"/>
              <w:rPr>
                <w:sz w:val="13"/>
                <w:szCs w:val="13"/>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25,538</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525,988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647,516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396,958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111,045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66,635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62,370</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1,840,380</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1,859,538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673,201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496,336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233,422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83,507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1,531,241</w:t>
            </w:r>
          </w:p>
        </w:tc>
        <w:tc>
          <w:tcPr>
            <w:tcW w:w="0" w:type="dxa"/>
            <w:vAlign w:val="bottom"/>
          </w:tcPr>
          <w:p>
            <w:pPr>
              <w:spacing w:after="0"/>
              <w:rPr>
                <w:sz w:val="1"/>
                <w:szCs w:val="1"/>
                <w:color w:val="auto"/>
              </w:rPr>
            </w:pPr>
          </w:p>
        </w:tc>
      </w:tr>
      <w:tr>
        <w:trPr>
          <w:trHeight w:val="19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9,879</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674,672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500,477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235,909</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1,541,120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24,206</w:t>
            </w:r>
          </w:p>
        </w:tc>
        <w:tc>
          <w:tcPr>
            <w:tcW w:w="0" w:type="dxa"/>
            <w:vAlign w:val="bottom"/>
          </w:tcPr>
          <w:p>
            <w:pPr>
              <w:spacing w:after="0"/>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975,957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440,287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280,357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3,182,186</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16,742</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3,198,928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926,596</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28,412</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955,008</w:t>
            </w:r>
          </w:p>
        </w:tc>
        <w:tc>
          <w:tcPr>
            <w:tcW w:w="0" w:type="dxa"/>
            <w:vAlign w:val="bottom"/>
          </w:tcPr>
          <w:p>
            <w:pPr>
              <w:spacing w:after="0"/>
              <w:rPr>
                <w:sz w:val="1"/>
                <w:szCs w:val="1"/>
                <w:color w:val="auto"/>
              </w:rPr>
            </w:pPr>
          </w:p>
        </w:tc>
      </w:tr>
      <w:tr>
        <w:trPr>
          <w:trHeight w:val="191"/>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926,596</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32,391</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958,987</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300,590</w:t>
            </w:r>
          </w:p>
        </w:tc>
        <w:tc>
          <w:tcPr>
            <w:tcW w:w="0" w:type="dxa"/>
            <w:vAlign w:val="bottom"/>
          </w:tcPr>
          <w:p>
            <w:pPr>
              <w:spacing w:after="0"/>
              <w:rPr>
                <w:sz w:val="1"/>
                <w:szCs w:val="1"/>
                <w:color w:val="auto"/>
              </w:rPr>
            </w:pPr>
          </w:p>
        </w:tc>
      </w:tr>
      <w:tr>
        <w:trPr>
          <w:trHeight w:val="182"/>
        </w:trPr>
        <w:tc>
          <w:tcPr>
            <w:tcW w:w="2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301,650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45,065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318,643</w:t>
            </w:r>
          </w:p>
        </w:tc>
        <w:tc>
          <w:tcPr>
            <w:tcW w:w="0" w:type="dxa"/>
            <w:vAlign w:val="bottom"/>
          </w:tcPr>
          <w:p>
            <w:pPr>
              <w:spacing w:after="0"/>
              <w:rPr>
                <w:sz w:val="1"/>
                <w:szCs w:val="1"/>
                <w:color w:val="auto"/>
              </w:rPr>
            </w:pPr>
          </w:p>
        </w:tc>
      </w:tr>
      <w:tr>
        <w:trPr>
          <w:trHeight w:val="19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17,831</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46,143</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52,384</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336,474</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0" w:type="dxa"/>
            <w:vAlign w:val="bottom"/>
          </w:tcPr>
          <w:p>
            <w:pPr>
              <w:spacing w:after="0"/>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180,884</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3,245</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2"/>
                <w:szCs w:val="12"/>
                <w:color w:val="auto"/>
              </w:rPr>
            </w:pPr>
          </w:p>
        </w:tc>
        <w:tc>
          <w:tcPr>
            <w:tcW w:w="200" w:type="dxa"/>
            <w:vAlign w:val="bottom"/>
          </w:tcPr>
          <w:p>
            <w:pPr>
              <w:jc w:val="right"/>
              <w:ind w:right="5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66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17" w:right="6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the six months ended June 30, 2024 and 2023 are presented in the following tables</w:t>
      </w:r>
      <w:r>
        <w:rPr>
          <w:rFonts w:ascii="Times New Roman" w:cs="Times New Roman" w:eastAsia="Times New Roman" w:hAnsi="Times New Roman"/>
          <w:sz w:val="18"/>
          <w:szCs w:val="18"/>
          <w:i w:val="1"/>
          <w:iCs w:val="1"/>
          <w:color w:val="auto"/>
        </w:rPr>
        <w:t>.</w:t>
      </w: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33655</wp:posOffset>
            </wp:positionV>
            <wp:extent cx="55118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New FDMs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60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3"/>
                <w:szCs w:val="13"/>
                <w:color w:val="auto"/>
              </w:rPr>
            </w:pPr>
          </w:p>
        </w:tc>
        <w:tc>
          <w:tcPr>
            <w:tcW w:w="1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3"/>
                <w:szCs w:val="13"/>
                <w:color w:val="auto"/>
              </w:rPr>
            </w:pPr>
          </w:p>
        </w:tc>
        <w:tc>
          <w:tcPr>
            <w:tcW w:w="18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 of Total Class of</w:t>
            </w:r>
          </w:p>
        </w:tc>
        <w:tc>
          <w:tcPr>
            <w:tcW w:w="29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Defaults within 12 months</w:t>
            </w:r>
          </w:p>
        </w:tc>
        <w:tc>
          <w:tcPr>
            <w:tcW w:w="0" w:type="dxa"/>
            <w:vAlign w:val="bottom"/>
          </w:tcPr>
          <w:p>
            <w:pPr>
              <w:spacing w:after="0"/>
              <w:rPr>
                <w:sz w:val="1"/>
                <w:szCs w:val="1"/>
                <w:color w:val="auto"/>
              </w:rPr>
            </w:pPr>
          </w:p>
        </w:tc>
      </w:tr>
      <w:tr>
        <w:trPr>
          <w:trHeight w:val="195"/>
        </w:trPr>
        <w:tc>
          <w:tcPr>
            <w:tcW w:w="4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40" w:type="dxa"/>
            <w:vAlign w:val="bottom"/>
          </w:tcPr>
          <w:p>
            <w:pPr>
              <w:spacing w:after="0"/>
              <w:rPr>
                <w:sz w:val="16"/>
                <w:szCs w:val="16"/>
                <w:color w:val="auto"/>
              </w:rPr>
            </w:pP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of modification</w:t>
            </w:r>
          </w:p>
        </w:tc>
        <w:tc>
          <w:tcPr>
            <w:tcW w:w="0" w:type="dxa"/>
            <w:vAlign w:val="bottom"/>
          </w:tcPr>
          <w:p>
            <w:pPr>
              <w:spacing w:after="0"/>
              <w:rPr>
                <w:sz w:val="1"/>
                <w:szCs w:val="1"/>
                <w:color w:val="auto"/>
              </w:rPr>
            </w:pPr>
          </w:p>
        </w:tc>
      </w:tr>
      <w:tr>
        <w:trPr>
          <w:trHeight w:val="201"/>
        </w:trPr>
        <w:tc>
          <w:tcPr>
            <w:tcW w:w="4600" w:type="dxa"/>
            <w:vAlign w:val="bottom"/>
            <w:tcBorders>
              <w:top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Owner occupied CRE</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Income producing CRE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28,553</w:t>
            </w:r>
          </w:p>
        </w:tc>
        <w:tc>
          <w:tcPr>
            <w:tcW w:w="1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27,603</w:t>
            </w:r>
          </w:p>
        </w:tc>
        <w:tc>
          <w:tcPr>
            <w:tcW w:w="1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0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Equipment financing</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0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Manufactured housing</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7"/>
                <w:szCs w:val="17"/>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70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600" w:type="dxa"/>
            <w:vAlign w:val="bottom"/>
            <w:tcBorders>
              <w:top w:val="single" w:sz="8" w:color="CCEEFF"/>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65,263</w:t>
            </w:r>
          </w:p>
        </w:tc>
        <w:tc>
          <w:tcPr>
            <w:tcW w:w="1920" w:type="dxa"/>
            <w:vAlign w:val="bottom"/>
            <w:tcBorders>
              <w:top w:val="single" w:sz="8" w:color="CCEEFF"/>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6300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FDMs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Borders>
              <w:bottom w:val="single" w:sz="8" w:color="CCEEFF"/>
            </w:tcBorders>
          </w:tcPr>
          <w:p>
            <w:pPr>
              <w:spacing w:after="0"/>
              <w:rPr>
                <w:sz w:val="18"/>
                <w:szCs w:val="18"/>
                <w:color w:val="auto"/>
              </w:rPr>
            </w:pPr>
          </w:p>
        </w:tc>
        <w:tc>
          <w:tcPr>
            <w:tcW w:w="36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top w:val="single" w:sz="8" w:color="auto"/>
              <w:bottom w:val="single" w:sz="8" w:color="CCEEFF"/>
            </w:tcBorders>
          </w:tcPr>
          <w:p>
            <w:pPr>
              <w:spacing w:after="0"/>
              <w:rPr>
                <w:sz w:val="18"/>
                <w:szCs w:val="18"/>
                <w:color w:val="auto"/>
              </w:rPr>
            </w:pPr>
          </w:p>
        </w:tc>
        <w:tc>
          <w:tcPr>
            <w:tcW w:w="4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Modification</w:t>
            </w: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Owner occupied CRE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6"/>
                <w:szCs w:val="16"/>
                <w:color w:val="auto"/>
              </w:rPr>
            </w:pPr>
          </w:p>
        </w:tc>
        <w:tc>
          <w:tcPr>
            <w:tcW w:w="53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6 months</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23,284</w:t>
            </w:r>
          </w:p>
        </w:tc>
        <w:tc>
          <w:tcPr>
            <w:tcW w:w="14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4"/>
                <w:szCs w:val="14"/>
                <w:color w:val="auto"/>
              </w:rPr>
              <w:t>11 months</w:t>
            </w: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bottom w:val="single" w:sz="8" w:color="CCEEFF"/>
            </w:tcBorders>
          </w:tcPr>
          <w:p>
            <w:pPr>
              <w:spacing w:after="0"/>
              <w:rPr>
                <w:sz w:val="17"/>
                <w:szCs w:val="17"/>
                <w:color w:val="auto"/>
              </w:rPr>
            </w:pPr>
          </w:p>
        </w:tc>
        <w:tc>
          <w:tcPr>
            <w:tcW w:w="5380" w:type="dxa"/>
            <w:vAlign w:val="bottom"/>
            <w:tcBorders>
              <w:bottom w:val="single" w:sz="8" w:color="CCEEFF"/>
            </w:tcBorders>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1 year</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23,507</w:t>
            </w: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Owner occupied CRE </w:t>
            </w:r>
            <w:r>
              <w:rPr>
                <w:rFonts w:ascii="Times New Roman" w:cs="Times New Roman" w:eastAsia="Times New Roman" w:hAnsi="Times New Roman"/>
                <w:sz w:val="9"/>
                <w:szCs w:val="9"/>
                <w:color w:val="auto"/>
              </w:rPr>
              <w:t>(1)</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40" w:type="dxa"/>
            <w:vAlign w:val="bottom"/>
          </w:tcPr>
          <w:p>
            <w:pPr>
              <w:spacing w:after="0"/>
              <w:rPr>
                <w:sz w:val="16"/>
                <w:szCs w:val="16"/>
                <w:color w:val="auto"/>
              </w:rPr>
            </w:pPr>
          </w:p>
        </w:tc>
        <w:tc>
          <w:tcPr>
            <w:tcW w:w="53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4 months</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Income producing CRE </w:t>
            </w:r>
            <w:r>
              <w:rPr>
                <w:rFonts w:ascii="Times New Roman" w:cs="Times New Roman" w:eastAsia="Times New Roman" w:hAnsi="Times New Roman"/>
                <w:sz w:val="9"/>
                <w:szCs w:val="9"/>
                <w:color w:val="auto"/>
              </w:rPr>
              <w:t>(2)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28,553</w:t>
            </w:r>
          </w:p>
        </w:tc>
        <w:tc>
          <w:tcPr>
            <w:tcW w:w="14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4"/>
                <w:szCs w:val="14"/>
                <w:color w:val="auto"/>
              </w:rPr>
              <w:t>1 year</w:t>
            </w: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Commercial &amp; industrial </w:t>
            </w:r>
            <w:r>
              <w:rPr>
                <w:rFonts w:ascii="Times New Roman" w:cs="Times New Roman" w:eastAsia="Times New Roman" w:hAnsi="Times New Roman"/>
                <w:sz w:val="9"/>
                <w:szCs w:val="9"/>
                <w:color w:val="auto"/>
              </w:rPr>
              <w:t>(1)</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Borders>
              <w:bottom w:val="single" w:sz="8" w:color="CCEEFF"/>
            </w:tcBorders>
          </w:tcPr>
          <w:p>
            <w:pPr>
              <w:spacing w:after="0"/>
              <w:rPr>
                <w:sz w:val="17"/>
                <w:szCs w:val="17"/>
                <w:color w:val="auto"/>
              </w:rPr>
            </w:pPr>
          </w:p>
        </w:tc>
        <w:tc>
          <w:tcPr>
            <w:tcW w:w="5380" w:type="dxa"/>
            <w:vAlign w:val="bottom"/>
            <w:tcBorders>
              <w:bottom w:val="single" w:sz="8" w:color="CCEEFF"/>
            </w:tcBorders>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6 months</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29,604</w:t>
            </w: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40" w:type="dxa"/>
            <w:vAlign w:val="bottom"/>
          </w:tcPr>
          <w:p>
            <w:pPr>
              <w:spacing w:after="0"/>
              <w:rPr>
                <w:sz w:val="16"/>
                <w:szCs w:val="16"/>
                <w:color w:val="auto"/>
              </w:rPr>
            </w:pPr>
          </w:p>
        </w:tc>
        <w:tc>
          <w:tcPr>
            <w:tcW w:w="53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50 basis points</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Delay and Extension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4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4"/>
                <w:szCs w:val="14"/>
                <w:color w:val="auto"/>
              </w:rPr>
              <w:t>Payment delay: 4 months; Extension: 3 years</w:t>
            </w: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40" w:type="dxa"/>
            <w:vAlign w:val="bottom"/>
            <w:tcBorders>
              <w:bottom w:val="single" w:sz="8" w:color="CCEEFF"/>
            </w:tcBorders>
          </w:tcPr>
          <w:p>
            <w:pPr>
              <w:spacing w:after="0"/>
              <w:rPr>
                <w:sz w:val="17"/>
                <w:szCs w:val="17"/>
                <w:color w:val="auto"/>
              </w:rPr>
            </w:pPr>
          </w:p>
        </w:tc>
        <w:tc>
          <w:tcPr>
            <w:tcW w:w="5380" w:type="dxa"/>
            <w:vAlign w:val="bottom"/>
            <w:tcBorders>
              <w:bottom w:val="single" w:sz="8" w:color="CCEEFF"/>
            </w:tcBorders>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Extension and payment delay: 8 months</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Rate Reduction and Extension</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40" w:type="dxa"/>
            <w:vAlign w:val="bottom"/>
          </w:tcPr>
          <w:p>
            <w:pPr>
              <w:spacing w:after="0"/>
              <w:rPr>
                <w:sz w:val="16"/>
                <w:szCs w:val="16"/>
                <w:color w:val="auto"/>
              </w:rPr>
            </w:pPr>
          </w:p>
        </w:tc>
        <w:tc>
          <w:tcPr>
            <w:tcW w:w="53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Rate reduction: 471 basis points; Extension: 2.6 years</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4"/>
                <w:szCs w:val="14"/>
                <w:color w:val="auto"/>
              </w:rPr>
              <w:t>Rate reduction: 624 basis points; Extension: 6 years</w:t>
            </w:r>
          </w:p>
        </w:tc>
        <w:tc>
          <w:tcPr>
            <w:tcW w:w="0" w:type="dxa"/>
            <w:vAlign w:val="bottom"/>
          </w:tcPr>
          <w:p>
            <w:pPr>
              <w:spacing w:after="0"/>
              <w:rPr>
                <w:sz w:val="1"/>
                <w:szCs w:val="1"/>
                <w:color w:val="auto"/>
              </w:rPr>
            </w:pPr>
          </w:p>
        </w:tc>
      </w:tr>
      <w:tr>
        <w:trPr>
          <w:trHeight w:val="190"/>
        </w:trPr>
        <w:tc>
          <w:tcPr>
            <w:tcW w:w="6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4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Rate Reduction and Payment Delay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Owner occupied CRE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4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4"/>
                <w:szCs w:val="14"/>
                <w:color w:val="auto"/>
              </w:rPr>
              <w:t>Rate reduction: 75 basis points; Payment delay: 6 months</w:t>
            </w: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tcBorders>
              <w:bottom w:val="single" w:sz="8" w:color="CCEEFF"/>
            </w:tcBorders>
          </w:tcPr>
          <w:p>
            <w:pPr>
              <w:spacing w:after="0"/>
              <w:rPr>
                <w:sz w:val="17"/>
                <w:szCs w:val="17"/>
                <w:color w:val="auto"/>
              </w:rPr>
            </w:pPr>
          </w:p>
        </w:tc>
        <w:tc>
          <w:tcPr>
            <w:tcW w:w="5380" w:type="dxa"/>
            <w:vAlign w:val="bottom"/>
            <w:tcBorders>
              <w:bottom w:val="single" w:sz="8" w:color="CCEEFF"/>
            </w:tcBorders>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Rate reduction: 150 basis points; Payment delay: 6 months</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Rate Reduction, Payment Delay and Extension</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36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Owner occupied CRE</w:t>
            </w:r>
          </w:p>
        </w:tc>
        <w:tc>
          <w:tcPr>
            <w:tcW w:w="1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spacing w:after="0"/>
              <w:rPr>
                <w:sz w:val="12"/>
                <w:szCs w:val="12"/>
                <w:color w:val="auto"/>
              </w:rPr>
            </w:pPr>
          </w:p>
        </w:tc>
        <w:tc>
          <w:tcPr>
            <w:tcW w:w="538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4"/>
                <w:szCs w:val="14"/>
                <w:color w:val="auto"/>
              </w:rPr>
              <w:t>Rate reduction: 75 basis points; Payment delay: 6 months;</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Extension: 3 years</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36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40" w:type="dxa"/>
            <w:vAlign w:val="bottom"/>
            <w:shd w:val="clear" w:color="auto" w:fill="CCEEFF"/>
          </w:tcPr>
          <w:p>
            <w:pPr>
              <w:spacing w:after="0"/>
              <w:rPr>
                <w:sz w:val="12"/>
                <w:szCs w:val="12"/>
                <w:color w:val="auto"/>
              </w:rPr>
            </w:pPr>
          </w:p>
        </w:tc>
        <w:tc>
          <w:tcPr>
            <w:tcW w:w="5380" w:type="dxa"/>
            <w:vAlign w:val="bottom"/>
            <w:gridSpan w:val="2"/>
            <w:shd w:val="clear" w:color="auto" w:fill="CCEEFF"/>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Rate reduction: 267 basis points; Payment delay: 6 months;</w:t>
            </w:r>
          </w:p>
        </w:tc>
        <w:tc>
          <w:tcPr>
            <w:tcW w:w="0" w:type="dxa"/>
            <w:vAlign w:val="bottom"/>
          </w:tcPr>
          <w:p>
            <w:pPr>
              <w:spacing w:after="0"/>
              <w:rPr>
                <w:sz w:val="1"/>
                <w:szCs w:val="1"/>
                <w:color w:val="auto"/>
              </w:rPr>
            </w:pPr>
          </w:p>
        </w:tc>
      </w:tr>
      <w:tr>
        <w:trPr>
          <w:trHeight w:val="198"/>
        </w:trPr>
        <w:tc>
          <w:tcPr>
            <w:tcW w:w="660" w:type="dxa"/>
            <w:vAlign w:val="bottom"/>
            <w:shd w:val="clear" w:color="auto" w:fill="CCEEFF"/>
          </w:tcPr>
          <w:p>
            <w:pPr>
              <w:spacing w:after="0"/>
              <w:rPr>
                <w:sz w:val="17"/>
                <w:szCs w:val="17"/>
                <w:color w:val="auto"/>
              </w:rPr>
            </w:pPr>
          </w:p>
        </w:tc>
        <w:tc>
          <w:tcPr>
            <w:tcW w:w="364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3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4"/>
                <w:szCs w:val="14"/>
                <w:color w:val="auto"/>
              </w:rPr>
              <w:t>Extension: 4.5 years</w:t>
            </w:r>
          </w:p>
        </w:tc>
        <w:tc>
          <w:tcPr>
            <w:tcW w:w="0" w:type="dxa"/>
            <w:vAlign w:val="bottom"/>
          </w:tcPr>
          <w:p>
            <w:pPr>
              <w:spacing w:after="0"/>
              <w:rPr>
                <w:sz w:val="1"/>
                <w:szCs w:val="1"/>
                <w:color w:val="auto"/>
              </w:rPr>
            </w:pPr>
          </w:p>
        </w:tc>
      </w:tr>
      <w:tr>
        <w:trPr>
          <w:trHeight w:val="190"/>
        </w:trPr>
        <w:tc>
          <w:tcPr>
            <w:tcW w:w="6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4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65,263</w:t>
            </w:r>
          </w:p>
        </w:tc>
        <w:tc>
          <w:tcPr>
            <w:tcW w:w="1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delay FDMs in bankruptcy are excluded from the weighted average payment delay calculation.</w:t>
      </w:r>
    </w:p>
    <w:p>
      <w:pPr>
        <w:spacing w:after="0" w:line="65" w:lineRule="exact"/>
        <w:rPr>
          <w:rFonts w:ascii="Times New Roman" w:cs="Times New Roman" w:eastAsia="Times New Roman" w:hAnsi="Times New Roman"/>
          <w:sz w:val="21"/>
          <w:szCs w:val="21"/>
          <w:color w:val="auto"/>
          <w:vertAlign w:val="superscript"/>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Payment delays in this category reflect principal payment delays, while interest payments continue in accordance with loan terms.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New FDMs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 by Type of Modification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Defaults within 12</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4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10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Rate Reduction &amp;</w:t>
            </w:r>
          </w:p>
        </w:tc>
        <w:tc>
          <w:tcPr>
            <w:tcW w:w="300" w:type="dxa"/>
            <w:vAlign w:val="bottom"/>
          </w:tcPr>
          <w:p>
            <w:pPr>
              <w:spacing w:after="0"/>
              <w:rPr>
                <w:sz w:val="14"/>
                <w:szCs w:val="14"/>
                <w:color w:val="auto"/>
              </w:rPr>
            </w:pPr>
          </w:p>
        </w:tc>
        <w:tc>
          <w:tcPr>
            <w:tcW w:w="10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Total Class of</w:t>
            </w:r>
          </w:p>
        </w:tc>
        <w:tc>
          <w:tcPr>
            <w:tcW w:w="10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months of</w:t>
            </w:r>
          </w:p>
        </w:tc>
        <w:tc>
          <w:tcPr>
            <w:tcW w:w="0" w:type="dxa"/>
            <w:vAlign w:val="bottom"/>
          </w:tcPr>
          <w:p>
            <w:pPr>
              <w:spacing w:after="0"/>
              <w:rPr>
                <w:sz w:val="1"/>
                <w:szCs w:val="1"/>
                <w:color w:val="auto"/>
              </w:rPr>
            </w:pPr>
          </w:p>
        </w:tc>
      </w:tr>
      <w:tr>
        <w:trPr>
          <w:trHeight w:val="198"/>
        </w:trPr>
        <w:tc>
          <w:tcPr>
            <w:tcW w:w="2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7"/>
                <w:szCs w:val="17"/>
                <w:color w:val="auto"/>
              </w:rPr>
            </w:pPr>
          </w:p>
        </w:tc>
        <w:tc>
          <w:tcPr>
            <w:tcW w:w="12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modification</w:t>
            </w:r>
          </w:p>
        </w:tc>
        <w:tc>
          <w:tcPr>
            <w:tcW w:w="0" w:type="dxa"/>
            <w:vAlign w:val="bottom"/>
          </w:tcPr>
          <w:p>
            <w:pPr>
              <w:spacing w:after="0"/>
              <w:rPr>
                <w:sz w:val="1"/>
                <w:szCs w:val="1"/>
                <w:color w:val="auto"/>
              </w:rPr>
            </w:pPr>
          </w:p>
        </w:tc>
      </w:tr>
      <w:tr>
        <w:trPr>
          <w:trHeight w:val="20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producing CRE</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38,138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59,340</w:t>
            </w:r>
          </w:p>
        </w:tc>
        <w:tc>
          <w:tcPr>
            <w:tcW w:w="1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32,235</w:t>
            </w:r>
          </w:p>
        </w:tc>
        <w:tc>
          <w:tcPr>
            <w:tcW w:w="1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financing</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6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60" w:type="dxa"/>
            <w:vAlign w:val="bottom"/>
          </w:tcPr>
          <w:p>
            <w:pPr>
              <w:spacing w:after="0"/>
              <w:rPr>
                <w:sz w:val="16"/>
                <w:szCs w:val="16"/>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Manufactured housing</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48,982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22,091</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100,590</w:t>
            </w:r>
          </w:p>
        </w:tc>
        <w:tc>
          <w:tcPr>
            <w:tcW w:w="1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further describe the terms of FDMs executed during the six months ended June 30, 2023:</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Extensions for equipment financing FDMs typically consist of one or more three-month extensions beyond the original maturity date. For the remainder of extension FDMs occurring during the first six months of 2023, the weighted average extension granted was approximately eight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and industrial payment delay FDMs include $22.7 million of loans in bankruptcy status. Excluding bankruptcy status loans, the remainder of FDMs in this category had a weighted average payment delay of approximately three months.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FDMs categorized as rate reduction and extensions in the income producing CRE category resulted in a decrease in weighted average interest rate of 57 basis points and extended the weighted average maturity by three years. Residential mortgage and manufactured housing FDMs resulted in a decrease in the weighted average interest rate on these FDMs of 576 basis points and extended the weighted average maturity by 15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both June 30, 2024 and December 31, 2023,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charge-off experience to produce an expected default rate, with the results subject to a floor. At June 30, 2024, United elected to adjust the model assumption regarding the look-back period used to determine the starting value for the expected default rate, thus lessening the need for model overlays, which in combination did not have a material impact on the ACL.</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commercial &amp; industrial loans, at June 30, 2024, the expected default rate was adjusted by a model overlay based on expectations of future performance.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2024, the third party vendor’s baseline economic forecast was similar to the forecast at December 31, 2023. At June 30, 2024, United applied qualitative adjustments to the model output for the residential mortgage, owner occupied CRE and income producing CRE portfolios.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15"/>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2"/>
                <w:szCs w:val="12"/>
                <w:color w:val="auto"/>
              </w:rPr>
            </w:pPr>
          </w:p>
        </w:tc>
        <w:tc>
          <w:tcPr>
            <w:tcW w:w="70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80" w:type="dxa"/>
            <w:vAlign w:val="bottom"/>
          </w:tcPr>
          <w:p>
            <w:pPr>
              <w:spacing w:after="0"/>
              <w:rPr>
                <w:sz w:val="12"/>
                <w:szCs w:val="12"/>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80" w:type="dxa"/>
            <w:vAlign w:val="bottom"/>
          </w:tcPr>
          <w:p>
            <w:pPr>
              <w:spacing w:after="0"/>
              <w:rPr>
                <w:sz w:val="12"/>
                <w:szCs w:val="12"/>
                <w:color w:val="auto"/>
              </w:rPr>
            </w:pPr>
          </w:p>
        </w:tc>
        <w:tc>
          <w:tcPr>
            <w:tcW w:w="840" w:type="dxa"/>
            <w:vAlign w:val="bottom"/>
            <w:gridSpan w:val="4"/>
          </w:tcPr>
          <w:p>
            <w:pPr>
              <w:ind w:left="80"/>
              <w:spacing w:after="0" w:line="146" w:lineRule="exact"/>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40" w:type="dxa"/>
            <w:vAlign w:val="bottom"/>
            <w:gridSpan w:val="3"/>
          </w:tcPr>
          <w:p>
            <w:pPr>
              <w:jc w:val="center"/>
              <w:ind w:right="41"/>
              <w:spacing w:after="0" w:line="146" w:lineRule="exact"/>
              <w:rPr>
                <w:sz w:val="20"/>
                <w:szCs w:val="20"/>
                <w:color w:val="auto"/>
              </w:rPr>
            </w:pPr>
            <w:r>
              <w:rPr>
                <w:rFonts w:ascii="Times New Roman" w:cs="Times New Roman" w:eastAsia="Times New Roman" w:hAnsi="Times New Roman"/>
                <w:sz w:val="16"/>
                <w:szCs w:val="16"/>
                <w:b w:val="1"/>
                <w:bCs w:val="1"/>
                <w:color w:val="auto"/>
                <w:w w:val="96"/>
              </w:rPr>
              <w:t>Ending</w:t>
            </w:r>
          </w:p>
        </w:tc>
        <w:tc>
          <w:tcPr>
            <w:tcW w:w="80" w:type="dxa"/>
            <w:vAlign w:val="bottom"/>
          </w:tcPr>
          <w:p>
            <w:pPr>
              <w:spacing w:after="0"/>
              <w:rPr>
                <w:sz w:val="12"/>
                <w:szCs w:val="12"/>
                <w:color w:val="auto"/>
              </w:rPr>
            </w:pPr>
          </w:p>
        </w:tc>
        <w:tc>
          <w:tcPr>
            <w:tcW w:w="820" w:type="dxa"/>
            <w:vAlign w:val="bottom"/>
            <w:gridSpan w:val="5"/>
          </w:tcPr>
          <w:p>
            <w:pPr>
              <w:jc w:val="right"/>
              <w:ind w:right="120"/>
              <w:spacing w:after="0" w:line="146"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60" w:type="dxa"/>
            <w:vAlign w:val="bottom"/>
          </w:tcPr>
          <w:p>
            <w:pPr>
              <w:spacing w:after="0"/>
              <w:rPr>
                <w:sz w:val="12"/>
                <w:szCs w:val="12"/>
                <w:color w:val="auto"/>
              </w:rPr>
            </w:pPr>
          </w:p>
        </w:tc>
        <w:tc>
          <w:tcPr>
            <w:tcW w:w="740" w:type="dxa"/>
            <w:vAlign w:val="bottom"/>
            <w:gridSpan w:val="5"/>
          </w:tcPr>
          <w:p>
            <w:pPr>
              <w:jc w:val="right"/>
              <w:ind w:right="180"/>
              <w:spacing w:after="0" w:line="146"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0" w:type="dxa"/>
            <w:vAlign w:val="bottom"/>
          </w:tcPr>
          <w:p>
            <w:pPr>
              <w:spacing w:after="0"/>
              <w:rPr>
                <w:sz w:val="12"/>
                <w:szCs w:val="12"/>
                <w:color w:val="auto"/>
              </w:rPr>
            </w:pPr>
          </w:p>
        </w:tc>
        <w:tc>
          <w:tcPr>
            <w:tcW w:w="800" w:type="dxa"/>
            <w:vAlign w:val="bottom"/>
            <w:gridSpan w:val="5"/>
          </w:tcPr>
          <w:p>
            <w:pPr>
              <w:ind w:left="40"/>
              <w:spacing w:after="0" w:line="146" w:lineRule="exact"/>
              <w:rPr>
                <w:sz w:val="20"/>
                <w:szCs w:val="20"/>
                <w:color w:val="auto"/>
              </w:rPr>
            </w:pPr>
            <w:r>
              <w:rPr>
                <w:rFonts w:ascii="Times New Roman" w:cs="Times New Roman" w:eastAsia="Times New Roman" w:hAnsi="Times New Roman"/>
                <w:sz w:val="16"/>
                <w:szCs w:val="16"/>
                <w:b w:val="1"/>
                <w:bCs w:val="1"/>
                <w:color w:val="auto"/>
              </w:rPr>
              <w:t>(Release)</w:t>
            </w:r>
          </w:p>
        </w:tc>
        <w:tc>
          <w:tcPr>
            <w:tcW w:w="60" w:type="dxa"/>
            <w:vAlign w:val="bottom"/>
          </w:tcPr>
          <w:p>
            <w:pPr>
              <w:spacing w:after="0"/>
              <w:rPr>
                <w:sz w:val="12"/>
                <w:szCs w:val="12"/>
                <w:color w:val="auto"/>
              </w:rPr>
            </w:pPr>
          </w:p>
        </w:tc>
        <w:tc>
          <w:tcPr>
            <w:tcW w:w="6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4"/>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4"/>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Offs</w:t>
            </w:r>
          </w:p>
        </w:tc>
        <w:tc>
          <w:tcPr>
            <w:tcW w:w="80" w:type="dxa"/>
            <w:vAlign w:val="bottom"/>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7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4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1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19,658</w:t>
            </w:r>
          </w:p>
        </w:tc>
        <w:tc>
          <w:tcPr>
            <w:tcW w:w="28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21,788</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w w:val="95"/>
              </w:rPr>
              <w:t>46,798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8"/>
              </w:rPr>
              <w:t>(3,129)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42,894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33,607</w:t>
            </w:r>
          </w:p>
        </w:tc>
        <w:tc>
          <w:tcPr>
            <w:tcW w:w="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38,775</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31,858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28,312</w:t>
            </w:r>
          </w:p>
        </w:tc>
        <w:tc>
          <w:tcPr>
            <w:tcW w:w="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w w:val="95"/>
              </w:rPr>
              <w:t>20,023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19,617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22,073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22,276</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39,982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(6,604)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10,635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26,195</w:t>
            </w:r>
          </w:p>
        </w:tc>
        <w:tc>
          <w:tcPr>
            <w:tcW w:w="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28,604</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w w:val="95"/>
              </w:rPr>
              <w:t>28,636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3"/>
              </w:rPr>
              <w:t>113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28,612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25,431</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1,529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12,044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0" w:type="dxa"/>
            <w:vAlign w:val="bottom"/>
          </w:tcPr>
          <w:p>
            <w:pPr>
              <w:spacing w:after="0"/>
              <w:rPr>
                <w:sz w:val="1"/>
                <w:szCs w:val="1"/>
                <w:color w:val="auto"/>
              </w:rPr>
            </w:pPr>
          </w:p>
        </w:tc>
      </w:tr>
      <w:tr>
        <w:trPr>
          <w:trHeight w:val="211"/>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4"/>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4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210,934</w:t>
            </w: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13,702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176,534</w:t>
            </w: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22,570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190,705</w:t>
            </w:r>
          </w:p>
        </w:tc>
        <w:tc>
          <w:tcPr>
            <w:tcW w:w="0" w:type="dxa"/>
            <w:vAlign w:val="bottom"/>
          </w:tcPr>
          <w:p>
            <w:pPr>
              <w:spacing w:after="0"/>
              <w:rPr>
                <w:sz w:val="1"/>
                <w:szCs w:val="1"/>
                <w:color w:val="auto"/>
              </w:rPr>
            </w:pPr>
          </w:p>
        </w:tc>
      </w:tr>
      <w:tr>
        <w:trPr>
          <w:trHeight w:val="211"/>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w w:val="95"/>
              </w:rPr>
              <w:t>13,185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11,718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21,389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21,572</w:t>
            </w:r>
          </w:p>
        </w:tc>
        <w:tc>
          <w:tcPr>
            <w:tcW w:w="0" w:type="dxa"/>
            <w:vAlign w:val="bottom"/>
          </w:tcPr>
          <w:p>
            <w:pPr>
              <w:spacing w:after="0"/>
              <w:rPr>
                <w:sz w:val="1"/>
                <w:szCs w:val="1"/>
                <w:color w:val="auto"/>
              </w:rPr>
            </w:pPr>
          </w:p>
        </w:tc>
      </w:tr>
      <w:tr>
        <w:trPr>
          <w:trHeight w:val="239"/>
        </w:trPr>
        <w:tc>
          <w:tcPr>
            <w:tcW w:w="2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$ 224,119</w:t>
            </w:r>
          </w:p>
        </w:tc>
        <w:tc>
          <w:tcPr>
            <w:tcW w:w="78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(15,601)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12,235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$ 224,740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$ 197,923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(12,172)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22,753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212,277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7"/>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6"/>
                <w:szCs w:val="16"/>
                <w:b w:val="1"/>
                <w:bCs w:val="1"/>
                <w:color w:val="auto"/>
              </w:rPr>
              <w:t>Initial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14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Beginning  Charge-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(Release)</w:t>
            </w:r>
          </w:p>
        </w:tc>
        <w:tc>
          <w:tcPr>
            <w:tcW w:w="8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6"/>
                <w:szCs w:val="16"/>
                <w:b w:val="1"/>
                <w:bCs w:val="1"/>
                <w:color w:val="auto"/>
                <w:w w:val="97"/>
              </w:rPr>
              <w:t>ACL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8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8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PCD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4"/>
              </w:rPr>
              <w:t>Recoveries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Provision</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8"/>
                <w:szCs w:val="18"/>
                <w:color w:val="auto"/>
              </w:rPr>
            </w:pPr>
          </w:p>
        </w:tc>
        <w:tc>
          <w:tcPr>
            <w:tcW w:w="600" w:type="dxa"/>
            <w:vAlign w:val="bottom"/>
            <w:gridSpan w:val="3"/>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loans </w:t>
            </w:r>
            <w:r>
              <w:rPr>
                <w:rFonts w:ascii="Times New Roman" w:cs="Times New Roman" w:eastAsia="Times New Roman" w:hAnsi="Times New Roman"/>
                <w:sz w:val="20"/>
                <w:szCs w:val="20"/>
                <w:b w:val="1"/>
                <w:bCs w:val="1"/>
                <w:color w:val="auto"/>
                <w:w w:val="90"/>
                <w:vertAlign w:val="superscript"/>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23,542</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$ 21,787</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19,834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21,788</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47,755</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42,894</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32,082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38,775</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20,120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22,276</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23,596</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45,115</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28,604</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270</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20,809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25,431</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29,473</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2,704</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5"/>
              </w:rPr>
              <w:t>(21,696)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6,213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44,127</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190,705</w:t>
            </w:r>
          </w:p>
        </w:tc>
        <w:tc>
          <w:tcPr>
            <w:tcW w:w="0" w:type="dxa"/>
            <w:vAlign w:val="bottom"/>
          </w:tcPr>
          <w:p>
            <w:pPr>
              <w:spacing w:after="0"/>
              <w:rPr>
                <w:sz w:val="1"/>
                <w:szCs w:val="1"/>
                <w:color w:val="auto"/>
              </w:rPr>
            </w:pPr>
          </w:p>
        </w:tc>
      </w:tr>
      <w:tr>
        <w:trPr>
          <w:trHeight w:val="211"/>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11,718</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21,163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21,572</w:t>
            </w:r>
          </w:p>
        </w:tc>
        <w:tc>
          <w:tcPr>
            <w:tcW w:w="0" w:type="dxa"/>
            <w:vAlign w:val="bottom"/>
          </w:tcPr>
          <w:p>
            <w:pPr>
              <w:spacing w:after="0"/>
              <w:rPr>
                <w:sz w:val="1"/>
                <w:szCs w:val="1"/>
                <w:color w:val="auto"/>
              </w:rPr>
            </w:pPr>
          </w:p>
        </w:tc>
      </w:tr>
      <w:tr>
        <w:trPr>
          <w:trHeight w:val="239"/>
        </w:trPr>
        <w:tc>
          <w:tcPr>
            <w:tcW w:w="2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$ 224,128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$(31,010)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$224,740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$ 180,520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$(21,696)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212,277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Progress transaction.</w:t>
      </w:r>
    </w:p>
    <w:p>
      <w:pPr>
        <w:spacing w:after="0" w:line="200" w:lineRule="exact"/>
        <w:rPr>
          <w:rFonts w:ascii="Times New Roman" w:cs="Times New Roman" w:eastAsia="Times New Roman" w:hAnsi="Times New Roman"/>
          <w:sz w:val="19"/>
          <w:szCs w:val="19"/>
          <w:color w:val="auto"/>
          <w:vertAlign w:val="superscript"/>
        </w:rPr>
      </w:pPr>
    </w:p>
    <w:p>
      <w:pPr>
        <w:spacing w:after="0" w:line="38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which are included in other assets and other liabilities on the consolidated balance sheet, as of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hedges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hedges of AFS debt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hedges of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2,560,628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925,511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68,384</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1,197,364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2,659,562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38,518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2,699,229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5,220,190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3,624,740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June 30, 2024 and December 31, 2023,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$5.05 million of gains from AOCI into earnings related to these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uses interest rate derivatives to manage its exposure to changes in fair value attributable to changes in interest rates on certain of its fixed-rate financial instruments.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first half of 2024, United entered into additional fair value hedges on stated amounts of closed portfolios of loans and investment securities using the portfolio layer method.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all of which are interest rate contracts, on net interest income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180" w:type="dxa"/>
            <w:vAlign w:val="bottom"/>
          </w:tcPr>
          <w:p>
            <w:pPr>
              <w:spacing w:after="0"/>
              <w:rPr>
                <w:sz w:val="18"/>
                <w:szCs w:val="18"/>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380" w:type="dxa"/>
            <w:vAlign w:val="bottom"/>
            <w:gridSpan w:val="4"/>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4"/>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20" w:type="dxa"/>
            <w:vAlign w:val="bottom"/>
            <w:gridSpan w:val="2"/>
            <w:vMerge w:val="continue"/>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vMerge w:val="restart"/>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line="20" w:lineRule="exact"/>
              <w:rPr>
                <w:sz w:val="1"/>
                <w:szCs w:val="1"/>
                <w:color w:val="auto"/>
              </w:rPr>
            </w:pPr>
          </w:p>
        </w:tc>
      </w:tr>
      <w:tr>
        <w:trPr>
          <w:trHeight w:val="212"/>
        </w:trPr>
        <w:tc>
          <w:tcPr>
            <w:tcW w:w="3080" w:type="dxa"/>
            <w:vAlign w:val="bottom"/>
            <w:vMerge w:val="continue"/>
          </w:tcPr>
          <w:p>
            <w:pPr>
              <w:spacing w:after="0"/>
              <w:rPr>
                <w:sz w:val="18"/>
                <w:szCs w:val="18"/>
                <w:color w:val="auto"/>
              </w:rPr>
            </w:pP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Increase/(Decrease) to Earnings</w:t>
            </w: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AFS securities:</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auto"/>
                <w:w w:val="99"/>
              </w:rPr>
              <w:t>5,976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16"/>
        </w:trPr>
        <w:tc>
          <w:tcPr>
            <w:tcW w:w="3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recognized on derivative</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9,852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Gain (loss) recognized on hedged items</w:t>
            </w:r>
          </w:p>
        </w:tc>
        <w:tc>
          <w:tcPr>
            <w:tcW w:w="2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w w:val="98"/>
              </w:rPr>
              <w:t>(9,488)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(15,289)</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6"/>
                <w:szCs w:val="16"/>
                <w:color w:val="auto"/>
              </w:rPr>
              <w:t>Net income recognized on AFS</w:t>
            </w:r>
          </w:p>
        </w:tc>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investment securities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6,340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securities fair value hedges</w:t>
            </w:r>
          </w:p>
        </w:tc>
        <w:tc>
          <w:tcPr>
            <w:tcW w:w="282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8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4,963</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recognized on derivatives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w w:val="99"/>
              </w:rPr>
              <w:t>5,625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recognized on hedged items</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8"/>
              </w:rPr>
              <w:t>(5,646)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308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Net income recognized on loan fair value</w:t>
            </w:r>
          </w:p>
        </w:tc>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2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auto"/>
                <w:w w:val="99"/>
              </w:rPr>
              <w:t>4,942</w:t>
            </w:r>
          </w:p>
        </w:tc>
        <w:tc>
          <w:tcPr>
            <w:tcW w:w="10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hedges</w:t>
            </w:r>
          </w:p>
        </w:tc>
        <w:tc>
          <w:tcPr>
            <w:tcW w:w="28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color w:val="auto"/>
                <w:vertAlign w:val="superscript"/>
              </w:rPr>
              <w:t>(1)</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long 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2,878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51"/>
        <w:spacing w:after="0" w:line="232" w:lineRule="auto"/>
        <w:tabs>
          <w:tab w:leader="none" w:pos="22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premium amortization expense excluded from the assessment of hedge effectiveness of $235,000 and $229,000 for the six months ended June 30, 2024 and 2023, respectively.</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carrying amount of hedged items and cumulative fair value hedging basis adjustments for the periods presented. All fair value hedges of AFS debt securities and loans at </w:t>
      </w:r>
      <w:r>
        <w:rPr>
          <w:rFonts w:ascii="Times New Roman" w:cs="Times New Roman" w:eastAsia="Times New Roman" w:hAnsi="Times New Roman"/>
          <w:sz w:val="16"/>
          <w:szCs w:val="16"/>
          <w:color w:val="auto"/>
        </w:rPr>
        <w:t>June 30, 2024 and</w:t>
      </w:r>
      <w:r>
        <w:rPr>
          <w:rFonts w:ascii="Times New Roman" w:cs="Times New Roman" w:eastAsia="Times New Roman" w:hAnsi="Times New Roman"/>
          <w:sz w:val="18"/>
          <w:szCs w:val="18"/>
          <w:color w:val="auto"/>
        </w:rPr>
        <w:t xml:space="preserve"> December 31, 2023 were designated under the portfolio layer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00" w:type="dxa"/>
            <w:vAlign w:val="bottom"/>
          </w:tcPr>
          <w:p>
            <w:pPr>
              <w:spacing w:after="0"/>
              <w:rPr>
                <w:sz w:val="13"/>
                <w:szCs w:val="13"/>
                <w:color w:val="auto"/>
              </w:rPr>
            </w:pPr>
          </w:p>
        </w:tc>
        <w:tc>
          <w:tcPr>
            <w:tcW w:w="13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20" w:type="dxa"/>
            <w:vAlign w:val="bottom"/>
          </w:tcPr>
          <w:p>
            <w:pPr>
              <w:spacing w:after="0"/>
              <w:rPr>
                <w:sz w:val="13"/>
                <w:szCs w:val="13"/>
                <w:color w:val="auto"/>
              </w:rPr>
            </w:pPr>
          </w:p>
        </w:tc>
        <w:tc>
          <w:tcPr>
            <w:tcW w:w="13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214"/>
        </w:trPr>
        <w:tc>
          <w:tcPr>
            <w:tcW w:w="21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11"/>
        </w:trPr>
        <w:tc>
          <w:tcPr>
            <w:tcW w:w="200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790,628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789,908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655,511</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and leases held for</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5,240,360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1,017,379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for AFS debt securities reflects amortized cost, which excludes the hedge accounting basis adjustment.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and therefore provide an economic hedge.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1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 Derivatives</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100" w:type="dxa"/>
            <w:vAlign w:val="bottom"/>
            <w:gridSpan w:val="4"/>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2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line="20" w:lineRule="exact"/>
              <w:rPr>
                <w:sz w:val="1"/>
                <w:szCs w:val="1"/>
                <w:color w:val="auto"/>
              </w:rPr>
            </w:pPr>
          </w:p>
        </w:tc>
      </w:tr>
      <w:tr>
        <w:trPr>
          <w:trHeight w:val="214"/>
        </w:trPr>
        <w:tc>
          <w:tcPr>
            <w:tcW w:w="3740" w:type="dxa"/>
            <w:vAlign w:val="bottom"/>
            <w:vMerge w:val="continue"/>
          </w:tcPr>
          <w:p>
            <w:pPr>
              <w:spacing w:after="0"/>
              <w:rPr>
                <w:sz w:val="18"/>
                <w:szCs w:val="18"/>
                <w:color w:val="auto"/>
              </w:rPr>
            </w:pPr>
          </w:p>
        </w:tc>
        <w:tc>
          <w:tcPr>
            <w:tcW w:w="28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Income on Derivatives</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545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7"/>
              </w:rPr>
              <w:t>(474)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revenue</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174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w w:val="99"/>
              </w:rPr>
              <w:t>154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399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and other intangible assets as of the dates indicated is summarized below</w:t>
      </w:r>
      <w:r>
        <w:rPr>
          <w:rFonts w:ascii="Times New Roman" w:cs="Times New Roman" w:eastAsia="Times New Roman" w:hAnsi="Times New Roman"/>
          <w:sz w:val="18"/>
          <w:szCs w:val="18"/>
          <w:i w:val="1"/>
          <w:iCs w:val="1"/>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104,174</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(40,495)</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63,679</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line="213" w:lineRule="exact"/>
              <w:rPr>
                <w:sz w:val="20"/>
                <w:szCs w:val="20"/>
                <w:color w:val="auto"/>
              </w:rPr>
            </w:pPr>
            <w:r>
              <w:rPr>
                <w:rFonts w:ascii="Times New Roman" w:cs="Times New Roman" w:eastAsia="Times New Roman" w:hAnsi="Times New Roman"/>
                <w:sz w:val="16"/>
                <w:szCs w:val="16"/>
                <w:color w:val="auto"/>
              </w:rPr>
              <w:t xml:space="preserve">Total intangibles subject to amortization, net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70,173</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916,153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919,914</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990,087</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FinTrust met the criteria to be classified as held for sale. As a result, the carrying amount of FinTrust’s net assets held for sale was compared to fair value, less cost to sell, which resulted in a $5.10 million write-down to the goodwill associated with FinTrust. The write-down is reflected in other noninterest expense in the Consolidated Statements of Income. As of June 30, 2024, FinTrust had total assets of $16.0 million, including $9.06 million of goodwill and a $6.02 million customer list intangible, and $690,000 of liabilities. In second quarter 2024, United entered into an agreement to sell FinTrust, which is expected to close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amounts of goodwill for the periods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4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r>
      <w:tr>
        <w:trPr>
          <w:trHeight w:val="21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Balance, beginning of period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921,253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896,718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145,544</w:t>
            </w:r>
          </w:p>
        </w:tc>
      </w:tr>
      <w:tr>
        <w:trPr>
          <w:trHeight w:val="219"/>
        </w:trPr>
        <w:tc>
          <w:tcPr>
            <w:tcW w:w="4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 - First Miami </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2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916,153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896,718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896,718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Goodwill balances are shown net of accumulated impairment losses of $306 million incurred prior to 2023.</w:t>
      </w:r>
    </w:p>
    <w:p>
      <w:pPr>
        <w:spacing w:after="0" w:line="70" w:lineRule="exact"/>
        <w:rPr>
          <w:rFonts w:ascii="Times New Roman" w:cs="Times New Roman" w:eastAsia="Times New Roman" w:hAnsi="Times New Roman"/>
          <w:sz w:val="19"/>
          <w:szCs w:val="19"/>
          <w:color w:val="auto"/>
          <w:vertAlign w:val="superscript"/>
        </w:rPr>
      </w:pPr>
    </w:p>
    <w:p>
      <w:pPr>
        <w:ind w:left="180" w:hanging="172"/>
        <w:spacing w:after="0" w:line="211" w:lineRule="auto"/>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4 for further details.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future periods for finite-lived intangibles, excluding the customer relationship intangible associated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FinTrust, is as follows:</w:t>
      </w:r>
    </w:p>
    <w:p>
      <w:pPr>
        <w:spacing w:after="0" w:line="3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3500" w:type="dxa"/>
            <w:vAlign w:val="bottom"/>
            <w:tcBorders>
              <w:top w:val="single" w:sz="8" w:color="CCEEFF"/>
            </w:tcBorders>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11,637</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56,468</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Assets and Liabilities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those assumptions, United uses a fair value hierarchy that distinguishes between assumptions based on market data obtained from sources independent of the reporting entity (observable inputs that are classified within Levels 1 and 2 of the hierarchy) and the reporting entity’s own assumptions (unobservable inputs classified within Level 3 of the hierarchy). United has processes in place to review the significant valuation inputs and to reassess how the instruments are classified in the valuation framework.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purchased to provide returns mirroring those promised to participants in the employee deferred compensation plan. These assets are mutual funds classified as Level 1. Deferred compensation liabilities, also classified as Level 1, are carried at the fair value of the obligation to the participant, which mirrors the fair value of the invested assets and is included in other liabilities in the consolidated balance sheet. Deferred compensation plan liabilities are unsecured general obligations of United.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when management’s assessment indicates that the CVA is a significant input, the related derivative is disclosed as a Level 3 value. In other cases, derivatives are categorized as Level 3 when there is not an observable forward-rate curve available for the duration of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Residential and SBA/USDA Loans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as of the dates indicated, aggregated by the level in the fair value hierarchy within which those measurements fall.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472,664</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312,407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312,407</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159,535</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1,530,190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1,530,190</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804,575</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192,211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194,408</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130,990</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7,703</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49,315</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38,014</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51,843</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492,195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3,219,921</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58,391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3,770,507</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0" w:type="dxa"/>
            <w:vAlign w:val="bottom"/>
          </w:tcPr>
          <w:p>
            <w:pPr>
              <w:spacing w:after="0"/>
              <w:rPr>
                <w:sz w:val="1"/>
                <w:szCs w:val="1"/>
                <w:color w:val="auto"/>
              </w:rPr>
            </w:pP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88,034</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101,645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387,349</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267,500</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164,049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164,049</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1,507,598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1,507,598</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641,654</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201,222</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161,712</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33,008</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50,352</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405,907</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3,015,876</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3,475,971</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0" w:type="dxa"/>
            <w:vAlign w:val="bottom"/>
          </w:tcPr>
          <w:p>
            <w:pPr>
              <w:spacing w:after="0"/>
              <w:rPr>
                <w:sz w:val="1"/>
                <w:szCs w:val="1"/>
                <w:color w:val="auto"/>
              </w:rPr>
            </w:pP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73,639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84,811</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97,649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the periods indicated for assets measured at fair value on a recurring basis using significant unobservable inputs that are classified as Level 3 values.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5"/>
                <w:szCs w:val="15"/>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Bonds</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June</w:t>
            </w:r>
          </w:p>
        </w:tc>
        <w:tc>
          <w:tcPr>
            <w:tcW w:w="8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30,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w:t>
            </w:r>
          </w:p>
        </w:tc>
        <w:tc>
          <w:tcPr>
            <w:tcW w:w="0" w:type="dxa"/>
            <w:vAlign w:val="bottom"/>
          </w:tcPr>
          <w:p>
            <w:pPr>
              <w:spacing w:after="0"/>
              <w:rPr>
                <w:sz w:val="1"/>
                <w:szCs w:val="1"/>
                <w:color w:val="auto"/>
              </w:rPr>
            </w:pPr>
          </w:p>
        </w:tc>
      </w:tr>
      <w:tr>
        <w:trPr>
          <w:trHeight w:val="17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5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29"/>
        </w:trPr>
        <w:tc>
          <w:tcPr>
            <w:tcW w:w="150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5,247</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38,014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0" w:type="dxa"/>
            <w:vAlign w:val="bottom"/>
          </w:tcPr>
          <w:p>
            <w:pPr>
              <w:spacing w:after="0"/>
              <w:rPr>
                <w:sz w:val="1"/>
                <w:szCs w:val="1"/>
                <w:color w:val="auto"/>
              </w:rPr>
            </w:pPr>
          </w:p>
        </w:tc>
      </w:tr>
      <w:tr>
        <w:trPr>
          <w:trHeight w:val="17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Business combinations</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Transfers from Level 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5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29"/>
        </w:trPr>
        <w:tc>
          <w:tcPr>
            <w:tcW w:w="1500" w:type="dxa"/>
            <w:vAlign w:val="bottom"/>
            <w:gridSpan w:val="2"/>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Fair value adjustments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5,247</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38,014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significant Level 3 inputs for fair value on a recurring basis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gridSpan w:val="4"/>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44"/>
        </w:trPr>
        <w:tc>
          <w:tcPr>
            <w:tcW w:w="24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- 24.5%</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1.9 - 39.0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3.5 - 37.4</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Residential mortgage servicing</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10.0 - 12.5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10.0 - 15.0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6.5 - 61.3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6.5 - 29.9</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5"/>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7.1 - 7.3</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6.1 - 6.7</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Derivative assets and liabilities -</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Dealer priced</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50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2"/>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gridSpan w:val="2"/>
            <w:vMerge w:val="continue"/>
            <w:shd w:val="clear" w:color="auto" w:fill="CCEEFF"/>
          </w:tcPr>
          <w:p>
            <w:pPr>
              <w:spacing w:after="0"/>
              <w:rPr>
                <w:sz w:val="11"/>
                <w:szCs w:val="11"/>
                <w:color w:val="auto"/>
              </w:rPr>
            </w:pPr>
          </w:p>
        </w:tc>
        <w:tc>
          <w:tcPr>
            <w:tcW w:w="2120" w:type="dxa"/>
            <w:vAlign w:val="bottom"/>
            <w:gridSpan w:val="2"/>
            <w:vMerge w:val="continue"/>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Pr>
          <w:p>
            <w:pPr>
              <w:spacing w:after="0"/>
              <w:rPr>
                <w:sz w:val="18"/>
                <w:szCs w:val="18"/>
                <w:color w:val="auto"/>
              </w:rPr>
            </w:pPr>
          </w:p>
        </w:tc>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20" w:type="dxa"/>
            <w:vAlign w:val="bottom"/>
          </w:tcPr>
          <w:p>
            <w:pPr>
              <w:spacing w:after="0"/>
              <w:rPr>
                <w:sz w:val="18"/>
                <w:szCs w:val="18"/>
                <w:color w:val="auto"/>
              </w:rPr>
            </w:pPr>
          </w:p>
        </w:tc>
      </w:tr>
      <w:tr>
        <w:trPr>
          <w:trHeight w:val="211"/>
        </w:trPr>
        <w:tc>
          <w:tcPr>
            <w:tcW w:w="17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31,788</w:t>
            </w:r>
          </w:p>
        </w:tc>
        <w:tc>
          <w:tcPr>
            <w:tcW w:w="1720" w:type="dxa"/>
            <w:vAlign w:val="bottom"/>
            <w:tcBorders>
              <w:top w:val="single" w:sz="8" w:color="CCEEFF"/>
            </w:tcBorders>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3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1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3820" w:type="dxa"/>
            <w:vAlign w:val="bottom"/>
            <w:tcBorders>
              <w:top w:val="single" w:sz="8" w:color="auto"/>
            </w:tcBorders>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5"/>
          </w:tcPr>
          <w:p>
            <w:pPr>
              <w:jc w:val="center"/>
              <w:ind w:right="36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4"/>
          </w:tcPr>
          <w:p>
            <w:pPr>
              <w:jc w:val="center"/>
              <w:ind w:right="219"/>
              <w:spacing w:after="0" w:line="161"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2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20" w:type="dxa"/>
            <w:vAlign w:val="bottom"/>
            <w:shd w:val="clear" w:color="auto" w:fill="CCEEFF"/>
          </w:tcPr>
          <w:p>
            <w:pPr>
              <w:spacing w:after="0"/>
              <w:rPr>
                <w:sz w:val="18"/>
                <w:szCs w:val="18"/>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June 30, 2024 and December 31, 2023, for which a nonrecurring fair value adjustment was recorded during the year-to-date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26,133</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FinTrust net assets held for sale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1720" w:type="dxa"/>
            <w:vAlign w:val="bottom"/>
            <w:shd w:val="clear" w:color="auto" w:fill="CCEEFF"/>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4"/>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720" w:type="dxa"/>
            <w:vAlign w:val="bottom"/>
          </w:tcPr>
          <w:p>
            <w:pPr>
              <w:spacing w:after="0"/>
              <w:rPr>
                <w:sz w:val="17"/>
                <w:szCs w:val="17"/>
                <w:color w:val="auto"/>
              </w:rPr>
            </w:pPr>
          </w:p>
        </w:tc>
      </w:tr>
    </w:tbl>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the net assets of FinTrust were classified as held for sale. As a result, the carrying amount of those net assets was compared to fair value, less cost to sell, which resulted in a $5.10 million write-down to the goodwill associated with FinTrust. The fair value, less cost to sell was based on a probability-weighted discounted cash flow valuation of the consideration included in a sales contract executed in June 2024. The valuation of the disposal group is categorized as Level 3 as significant unobservable inputs, most notably the probability assessment of realizing revenue-related contingent consideration, were used in the determination of fair value.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values associated with these instruments are immaterial.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and fair values as of the dates indicated for other financial instruments that are not measured at fair value on a recurring basis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1,986,608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2,004,427</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17,998,171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17,499,616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17,499,616</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22,982,122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22,968,706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22,968,706</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310,645</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2,077,670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2,095,620</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17,585,073</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23,305,223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23,305,223</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310,060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share-based compensation. The general terms of the plan include a vesting period (usually four years) with an exercise period not to exceed ten years. Certain options and restricted stock unit awards provide for accelerated vesting if there is a change in control (as defined in the plan document). As of June 30, 2024, the plan covered 2.08 million shares that could be issued pursuant to additional awards granted under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 and option activity for the six months ended June 30,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394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($000)</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Outstanding at December</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929,367</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406,737</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31, 2023</w:t>
            </w:r>
          </w:p>
        </w:tc>
        <w:tc>
          <w:tcPr>
            <w:tcW w:w="11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 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Outstanding at June 30,</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1,012,210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25,771</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Vested / Exercisable at June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30, 2024</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compensation expense relating to options was included in earnings for the six months ended June 30, 2024 and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2023, expense of $4.63 million and $4.46 million, respectively, was recognized related to restricted stock unit and performance stock unit awards granted to United employees, which was included in salaries and employee benefits expense. In addition, for the six months ended June 30, 2024 and 2023, $360,000 and $331,000, respectively, was recognized in other expense for restricted stock unit awards granted to members of United’s Board.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$1.26 million and $1.22 million was included in the determination of income tax expense for the six months ended June 30, 2024 and 2023, respectively. As of June 30, 2024, there was $21.0 million of unrecognized expense related to non-vested restricted stock unit and performance stock unit awards granted under the plan. That cost is expected to be recognized over a weighted-average period of 2.4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Reclassifications Out of AOCI</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details regarding amounts reclassified out of AOCI for the periods indicated. Amounts shown in parentheses reduce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168"/>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4"/>
                <w:szCs w:val="14"/>
                <w:color w:val="auto"/>
              </w:rPr>
            </w:pPr>
          </w:p>
        </w:tc>
        <w:tc>
          <w:tcPr>
            <w:tcW w:w="1800" w:type="dxa"/>
            <w:vAlign w:val="bottom"/>
            <w:gridSpan w:val="4"/>
          </w:tcPr>
          <w:p>
            <w:pPr>
              <w:jc w:val="right"/>
              <w:ind w:right="279"/>
              <w:spacing w:after="0" w:line="16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3260" w:type="dxa"/>
            <w:vAlign w:val="bottom"/>
          </w:tcPr>
          <w:p>
            <w:pPr>
              <w:spacing w:after="0"/>
              <w:rPr>
                <w:sz w:val="14"/>
                <w:szCs w:val="14"/>
                <w:color w:val="auto"/>
              </w:rPr>
            </w:pPr>
          </w:p>
        </w:tc>
      </w:tr>
      <w:tr>
        <w:trPr>
          <w:trHeight w:val="216"/>
        </w:trPr>
        <w:tc>
          <w:tcPr>
            <w:tcW w:w="3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38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losses on AFS securities: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13"/>
        </w:trPr>
        <w:tc>
          <w:tcPr>
            <w:tcW w:w="3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losses, net</w:t>
            </w:r>
          </w:p>
        </w:tc>
      </w:tr>
      <w:tr>
        <w:trPr>
          <w:trHeight w:val="219"/>
        </w:trPr>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0"/>
        </w:trPr>
        <w:tc>
          <w:tcPr>
            <w:tcW w:w="38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r>
      <w:tr>
        <w:trPr>
          <w:trHeight w:val="213"/>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9"/>
        </w:trPr>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3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82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60" w:type="dxa"/>
            <w:vAlign w:val="bottom"/>
          </w:tcPr>
          <w:p>
            <w:pPr>
              <w:spacing w:after="0"/>
              <w:rPr>
                <w:sz w:val="14"/>
                <w:szCs w:val="14"/>
                <w:color w:val="auto"/>
              </w:rPr>
            </w:pPr>
          </w:p>
        </w:tc>
      </w:tr>
      <w:tr>
        <w:trPr>
          <w:trHeight w:val="216"/>
        </w:trPr>
        <w:tc>
          <w:tcPr>
            <w:tcW w:w="5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3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3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213"/>
        </w:trPr>
        <w:tc>
          <w:tcPr>
            <w:tcW w:w="59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3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4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1"/>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125,588</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125,387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121,470</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115,614</w:t>
            </w: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5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2024 and 2023, United excluded from the computation of earnings per share 58,734 and 78,412, respectively, potentially dilutive shares of common stock issuable upon exercise of stock options because of their antidilutive effect.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June 30, 2024,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capital ratios at June 30, 2024 and December 31, 2023, along with the minimum amounts required for capital adequacy purposes and to be well-capitalized under regulatory requirements in effect at such times, are presented below for United and the Bank: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40" w:type="dxa"/>
            <w:vAlign w:val="bottom"/>
          </w:tcPr>
          <w:p>
            <w:pPr>
              <w:spacing w:after="0"/>
              <w:rPr>
                <w:sz w:val="16"/>
                <w:szCs w:val="16"/>
                <w:color w:val="auto"/>
              </w:rPr>
            </w:pPr>
          </w:p>
        </w:tc>
        <w:tc>
          <w:tcPr>
            <w:tcW w:w="25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24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2,518,875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2,432,518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2,530,580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2,435,962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2,607,141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2,520,784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2,530,580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2,435,962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2,969,633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2,898,474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2,737,626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2,638,009</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19,697,147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20,007,236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19,619,786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19,933,429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26,264,213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26,621,561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26,209,793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26,563,946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June 30, 2024 and December 31, 2023 the minimum ratios as presented were subject to an additional capital conservation buffer of 2.50%</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 of off-balance sheet instruments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3,963,860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4,305,483</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61,808</w:t>
            </w: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Credit and Certain Equity Investments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investment balance, any future funding commitments and the balance of any related loans to the entity. Loans to these entities are underwritten in substantially the same manner as other loans and are generally secured.</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invested by United and any future funding commitments.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 of the dates indicated, tax credit and certain equity method investments: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2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6"/>
                <w:szCs w:val="16"/>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620" w:type="dxa"/>
            <w:vAlign w:val="bottom"/>
            <w:vMerge w:val="continue"/>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3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Lending exposure</w:t>
            </w:r>
          </w:p>
        </w:tc>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Renewable energy investments: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18,631</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Amount of future funding commitments </w:t>
            </w:r>
            <w:r>
              <w:rPr>
                <w:rFonts w:ascii="Times New Roman" w:cs="Times New Roman" w:eastAsia="Times New Roman" w:hAnsi="Times New Roman"/>
                <w:sz w:val="21"/>
                <w:szCs w:val="21"/>
                <w:color w:val="auto"/>
                <w:vertAlign w:val="superscript"/>
              </w:rPr>
              <w:t>(1)</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Fintech funds and certain other equity method investments: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33,720</w:t>
            </w:r>
          </w:p>
        </w:tc>
        <w:tc>
          <w:tcPr>
            <w:tcW w:w="0" w:type="dxa"/>
            <w:vAlign w:val="bottom"/>
          </w:tcPr>
          <w:p>
            <w:pPr>
              <w:spacing w:after="0"/>
              <w:rPr>
                <w:sz w:val="1"/>
                <w:szCs w:val="1"/>
                <w:color w:val="auto"/>
              </w:rPr>
            </w:pPr>
          </w:p>
        </w:tc>
      </w:tr>
      <w:tr>
        <w:trPr>
          <w:trHeight w:val="210"/>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not included in carrying amount</w:t>
            </w:r>
          </w:p>
        </w:tc>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firstLine="8"/>
        <w:spacing w:after="0" w:line="232" w:lineRule="auto"/>
        <w:tabs>
          <w:tab w:leader="none" w:pos="2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Starting in 2024, United no longer records future funding commitments related to its renewable energy investments on the balance sheet. Prior to 2024, these commitments were included in other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tax credits and amortization expense associated with the United’s tax credit investment activity. Activity related to renewable energy investments was not material to the financials for the period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840" w:type="dxa"/>
            <w:vAlign w:val="bottom"/>
          </w:tcPr>
          <w:p>
            <w:pPr>
              <w:jc w:val="center"/>
              <w:ind w:right="135"/>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140" w:type="dxa"/>
            <w:vAlign w:val="bottom"/>
          </w:tcPr>
          <w:p>
            <w:pPr>
              <w:spacing w:after="0"/>
              <w:rPr>
                <w:sz w:val="20"/>
                <w:szCs w:val="20"/>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20"/>
                <w:szCs w:val="20"/>
                <w:color w:val="auto"/>
              </w:rPr>
            </w:pPr>
          </w:p>
        </w:tc>
        <w:tc>
          <w:tcPr>
            <w:tcW w:w="184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9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2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13"/>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credits and other income tax benefits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rPr>
              <w:t>(3,993)</w:t>
            </w:r>
          </w:p>
        </w:tc>
      </w:tr>
      <w:tr>
        <w:trPr>
          <w:trHeight w:val="21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2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rPr>
              <w:t>3,567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June 30, 2024 and December 31, 2023 and our results of operations for the three and six months ended June 30, 2024 and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2023 10-K and the other reports we have filed with the SEC after we filed the 2023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primarily through a 203 branch network throughout Georgia, South Carolina, North Carolina, Tennessee, Florida and Alabama. We have grown organically as well as through strategic acquisitions. At June 30, 2024, we had consolidated total assets of $27.1 billion and 3,070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Effective May 2024, we officially moved our holding company headquarters from Blairsville, Georgia to Greenville, South Carolina.</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June 2024, the Bank changed its primary federal regulator from the FDIC to the Federal Reserve.</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6, 2024, we transferred the listing of our securities from NASDAQ to the New York Stock Exchange. Our common shares are now listed under the trading symbol UCB and our preferred Series I depositary shares are now listed under the trading symbol UCB PRI.</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we entered into an agreement to sell FinTrust, which we expect to close in the third quarter of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4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$66.6 million and $0.54, respectively, for the second quarter of 2024, compared to $63.3 million and $0.53, respectively, for the same period in 2023. The increase in net income resulted primarily from higher net interest revenue and a decrease in provision for credit losses, which were partly offset by higher noninterest expense.</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revenue increased to $209 million for the second quarter of 2024, compared to $200 million for the second quarter of 2023. The increase in interest revenue was provided by loan growth, including loans acquired from First Miami, higher interest rates earned on our average loan and securities portfolios, partly resulting from the replacement of lower-yielding fixed rate asset runoff with higher-yielding market rate instruments, and earnings from fair value hedges on certain AFS investment securities and loans. The increase in interest revenue was partially offset by increases in interest expense resulting from higher rates paid on deposits, including deposits received through the First Miami acquisition. Our net interest spread decreased 15 basis points to 2.32%, reflecting a steeper increase in rates paid on deposits compared to that of loans since the second quarter of 2023. Our net interest margin, which was 3.37% for the second quarters of 2024 and 2023, was also impacted by rising deposit rates, but was partially mitigated by the benefit of noninterest-bearing funding sources which, aside from some balance attrition, were unaffected by rising interest rates, thereby keeping our net interest margin level with the second quarter of 2023.</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provision for credit losses of $12.2 million for the second quarter of 2024, compared to a provision of $22.8 million for the second quarter of 2023. The provision for credit losses for the second quarter of 2024 reflects slower loan growth and current period net charge offs of $11.6 million. The provision for unfunded commitments for the quarter was a negative $1.47 million due to a decrease in the amount of unfunded commitments.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of $36.6 million for the second quarter of 2024 remained relatively flat compared to that of the second quarter of 2023. We saw increases in several of our noninterest income components, notably services charges and other fees, other investment gains, treasury management income and wealth management fees. These increases were mostly offset by lower gains on sale of other loans, a decrease in customer derivative fees and a decrease in other noninterest income. The decrease in other noninterest income is mostly attributable to the second quarter of 2023 including the gain on sale of a commercial insurance book of business of $1.59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For the second quarter of 2024, noninterest expenses of $147 million increased $14.6 million, or 11%, compared to the same period of 2023. The increase was primarily attributable to a $9.57 million increase in salaries and employee benefits, a $5.10 million goodwill write-down associated with the pending sale of FinTrust, an $1.24 million increase in communications and equipment expense and a $862,000 increase in occupancy expense. The increase in salaries and benefits and occupancy expense was partially attributable to the addition of First Miami employees and branches on July 1, 2023. These increases were partially offset by a $1.49 million decrease in merger-related and other charges.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and 2023, we reported net income of $129 million and $126 million, respectively, and diluted earnings per common share of $1.05 for both periods. Net interest revenue and net interest margin for the six months ended June 30, 2024 were $408 million and 3.28%, respectively, compared to $412 million and 3.49%, respectively, for the same period in 2023. In addition to the factors affecting the second quarter of 2024, results of operations for the six months ended June 30, 2024 include a $1.51 million increase in BOLI income related to death benefits recognized in the first quarter of 2024 and higher FDIC assessment expense of $3.89 million, which is mostly attributable to the FDIC special assessment.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second quarter and first six months of 2024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2023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120" w:type="dxa"/>
            <w:vAlign w:val="bottom"/>
          </w:tcPr>
          <w:p>
            <w:pPr>
              <w:spacing w:after="0"/>
              <w:rPr>
                <w:sz w:val="13"/>
                <w:szCs w:val="13"/>
                <w:color w:val="auto"/>
              </w:rPr>
            </w:pPr>
          </w:p>
        </w:tc>
        <w:tc>
          <w:tcPr>
            <w:tcW w:w="17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rPr>
              <w:t>Quarter</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Second</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2"/>
                <w:szCs w:val="12"/>
                <w:color w:val="auto"/>
              </w:rPr>
            </w:pPr>
          </w:p>
        </w:tc>
        <w:tc>
          <w:tcPr>
            <w:tcW w:w="8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Third</w:t>
            </w:r>
          </w:p>
        </w:tc>
        <w:tc>
          <w:tcPr>
            <w:tcW w:w="160" w:type="dxa"/>
            <w:vAlign w:val="bottom"/>
          </w:tcPr>
          <w:p>
            <w:pPr>
              <w:spacing w:after="0"/>
              <w:rPr>
                <w:sz w:val="12"/>
                <w:szCs w:val="12"/>
                <w:color w:val="auto"/>
              </w:rPr>
            </w:pPr>
          </w:p>
        </w:tc>
        <w:tc>
          <w:tcPr>
            <w:tcW w:w="74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Second</w:t>
            </w:r>
          </w:p>
        </w:tc>
        <w:tc>
          <w:tcPr>
            <w:tcW w:w="900" w:type="dxa"/>
            <w:vAlign w:val="bottom"/>
            <w:gridSpan w:val="2"/>
          </w:tcPr>
          <w:p>
            <w:pPr>
              <w:jc w:val="center"/>
              <w:ind w:left="30"/>
              <w:spacing w:after="0" w:line="146" w:lineRule="exact"/>
              <w:rPr>
                <w:sz w:val="20"/>
                <w:szCs w:val="20"/>
                <w:color w:val="auto"/>
              </w:rPr>
            </w:pPr>
            <w:r>
              <w:rPr>
                <w:rFonts w:ascii="Times New Roman" w:cs="Times New Roman" w:eastAsia="Times New Roman" w:hAnsi="Times New Roman"/>
                <w:sz w:val="14"/>
                <w:szCs w:val="14"/>
                <w:b w:val="1"/>
                <w:bCs w:val="1"/>
                <w:color w:val="auto"/>
              </w:rPr>
              <w:t>2024 - 2023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720" w:type="dxa"/>
            <w:vAlign w:val="bottom"/>
          </w:tcPr>
          <w:p>
            <w:pPr>
              <w:jc w:val="right"/>
              <w:ind w:right="150"/>
              <w:spacing w:after="0" w:line="146"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9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6"/>
                <w:szCs w:val="16"/>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346,965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336,728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338,698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323,147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295,775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683,693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575,262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138,265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137,579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135,245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120,591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95,489</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275,844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163,506</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208,700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199,149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203,453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202,556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200,286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407,849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411,756</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99"/>
              </w:rPr>
              <w:t>(1)%</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12,899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14,626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30,268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22,753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25,134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44,536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36,556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39,587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(23,090)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31,977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36,387</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76,143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66,596</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233,021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225,837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165,737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204,265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213,920</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458,858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433,816</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147,044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145,002</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154,587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144,474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132,407</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292,046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272,212</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85,977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80,835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11,150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59,791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81,513</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166,812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161,604</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19,362</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18,204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(2,940)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11,925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18,225</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37,566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36,016</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66,615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62,631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14,090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47,866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63,288</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129,246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125,588</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items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6,493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67,450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9,168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3,645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8,680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12,276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non-operating items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(1,462)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(16,714)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(1,955)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shd w:val="clear" w:color="auto" w:fill="CCEEFF"/>
          </w:tcPr>
          <w:p>
            <w:pPr>
              <w:ind w:left="14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71,646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64,325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64,826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55,034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66,113</w:t>
            </w:r>
          </w:p>
        </w:tc>
        <w:tc>
          <w:tcPr>
            <w:tcW w:w="90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135,971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135,089</w:t>
            </w: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0.54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Diluted net income - operating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0.55</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1.13</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0.46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25.98</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25.98</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17.83</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17.83</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Return on common equity - GAAP </w:t>
            </w:r>
            <w:r>
              <w:rPr>
                <w:rFonts w:ascii="Times New Roman" w:cs="Times New Roman" w:eastAsia="Times New Roman" w:hAnsi="Times New Roman"/>
                <w:sz w:val="18"/>
                <w:szCs w:val="18"/>
                <w:color w:val="auto"/>
                <w:vertAlign w:val="superscript"/>
              </w:rPr>
              <w:t>(2)(4)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 xml:space="preserve">Return on common equity - operating </w:t>
            </w:r>
            <w:r>
              <w:rPr>
                <w:rFonts w:ascii="Times New Roman" w:cs="Times New Roman" w:eastAsia="Times New Roman" w:hAnsi="Times New Roman"/>
                <w:sz w:val="15"/>
                <w:szCs w:val="15"/>
                <w:color w:val="auto"/>
                <w:vertAlign w:val="superscript"/>
              </w:rPr>
              <w:t>(1)(2)</w:t>
            </w:r>
          </w:p>
        </w:tc>
        <w:tc>
          <w:tcPr>
            <w:tcW w:w="160" w:type="dxa"/>
            <w:vAlign w:val="bottom"/>
          </w:tcPr>
          <w:p>
            <w:pPr>
              <w:spacing w:after="0"/>
              <w:rPr>
                <w:sz w:val="11"/>
                <w:szCs w:val="11"/>
                <w:color w:val="auto"/>
              </w:rPr>
            </w:pP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4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Return on tangible common equity -</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bscript"/>
              </w:rPr>
              <w:t>operating</w:t>
            </w:r>
            <w:r>
              <w:rPr>
                <w:rFonts w:ascii="Times New Roman" w:cs="Times New Roman" w:eastAsia="Times New Roman" w:hAnsi="Times New Roman"/>
                <w:sz w:val="8"/>
                <w:szCs w:val="8"/>
                <w:color w:val="auto"/>
              </w:rPr>
              <w:t xml:space="preserve"> (1)(2)(3)(4)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0.95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0.95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operating </w:t>
            </w:r>
            <w:r>
              <w:rPr>
                <w:rFonts w:ascii="Times New Roman" w:cs="Times New Roman" w:eastAsia="Times New Roman" w:hAnsi="Times New Roman"/>
                <w:sz w:val="18"/>
                <w:szCs w:val="18"/>
                <w:color w:val="auto"/>
                <w:vertAlign w:val="superscript"/>
              </w:rPr>
              <w:t>(1)(4)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0.93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0.92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0.99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60.47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66.33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61.32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55.71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56.46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57.43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54.17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53.92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Tangible common equity to tangible assets</w:t>
            </w:r>
          </w:p>
        </w:tc>
        <w:tc>
          <w:tcPr>
            <w:tcW w:w="160" w:type="dxa"/>
            <w:vAlign w:val="bottom"/>
          </w:tcPr>
          <w:p>
            <w:pPr>
              <w:spacing w:after="0"/>
              <w:rPr>
                <w:sz w:val="11"/>
                <w:szCs w:val="11"/>
                <w:color w:val="auto"/>
              </w:rPr>
            </w:pP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7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116,722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107,230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92,877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90,883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103,737</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116,722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103,737</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213,022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210,934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208,071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201,557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190,705</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213,022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190,705</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12,908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26,638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8,399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24,522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15,483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 xml:space="preserve">Net charge-offs to average loans </w:t>
            </w:r>
            <w:r>
              <w:rPr>
                <w:rFonts w:ascii="Times New Roman" w:cs="Times New Roman" w:eastAsia="Times New Roman" w:hAnsi="Times New Roman"/>
                <w:sz w:val="18"/>
                <w:szCs w:val="18"/>
                <w:color w:val="auto"/>
                <w:vertAlign w:val="superscript"/>
              </w:rPr>
              <w:t>(4)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18,211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18,375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18,319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17,395</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18,211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17,395</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5,914</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6,038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5,914</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27,057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27,365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27,297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26,869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26,120</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27,057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26,120</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22,982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23,332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23,311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22,858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22,252</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22,982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22,252</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3,184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3,106</w:t>
            </w:r>
          </w:p>
        </w:tc>
        <w:tc>
          <w:tcPr>
            <w:tcW w:w="9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3,106</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2"/>
        </w:trPr>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shares outstanding (thousands)</w:t>
            </w:r>
          </w:p>
        </w:tc>
        <w:tc>
          <w:tcPr>
            <w:tcW w:w="1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119,175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119,137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119,010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118,976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115,266</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119,175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115,266</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vertAlign w:val="superscript"/>
        </w:rPr>
        <w:t>(1 )</w:t>
      </w:r>
      <w:r>
        <w:rPr>
          <w:rFonts w:ascii="Times New Roman" w:cs="Times New Roman" w:eastAsia="Times New Roman" w:hAnsi="Times New Roman"/>
          <w:sz w:val="13"/>
          <w:szCs w:val="13"/>
          <w:color w:val="auto"/>
        </w:rPr>
        <w:t>E</w:t>
      </w:r>
      <w:r>
        <w:rPr>
          <w:rFonts w:ascii="Times New Roman" w:cs="Times New Roman" w:eastAsia="Times New Roman" w:hAnsi="Times New Roman"/>
          <w:sz w:val="14"/>
          <w:szCs w:val="14"/>
          <w:color w:val="auto"/>
        </w:rPr>
        <w:t>xcludes non-operating items as detailed on Non-GAAP Performance Measures Reconciliation on next page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Net income less preferred stock dividends, divided by average realized 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 xml:space="preserve">equity, which excludes AOCI. </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xml:space="preserve"> Excludes effect of acquisition related intangibles and associated amortization. </w:t>
      </w:r>
      <w:r>
        <w:rPr>
          <w:rFonts w:ascii="Times New Roman" w:cs="Times New Roman" w:eastAsia="Times New Roman" w:hAnsi="Times New Roman"/>
          <w:sz w:val="9"/>
          <w:szCs w:val="9"/>
          <w:color w:val="auto"/>
        </w:rPr>
        <w:t>(4)</w:t>
      </w:r>
      <w:r>
        <w:rPr>
          <w:rFonts w:ascii="Times New Roman" w:cs="Times New Roman" w:eastAsia="Times New Roman" w:hAnsi="Times New Roman"/>
          <w:sz w:val="14"/>
          <w:szCs w:val="14"/>
          <w:color w:val="auto"/>
        </w:rPr>
        <w:t xml:space="preserve"> Annualized.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1"/>
                <w:szCs w:val="11"/>
                <w:color w:val="auto"/>
              </w:rPr>
            </w:pPr>
          </w:p>
        </w:tc>
        <w:tc>
          <w:tcPr>
            <w:tcW w:w="82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to operating income reconciliation</w:t>
            </w: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66,615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62,631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14,090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47,866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63,288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129,246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125,588</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9,995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12,276</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non-operating items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(16,714)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 operating</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71,646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64,325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64,826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55,034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66,113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135,971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135,089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3"/>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0.45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25.98</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3"/>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11.35 %</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assets (GAAP)</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0.95 %</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3"/>
            <w:vMerge w:val="restart"/>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08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11"/>
                <w:szCs w:val="11"/>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gridSpan w:val="2"/>
            <w:vMerge w:val="continue"/>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2"/>
            <w:vMerge w:val="continue"/>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60.47 %</w:t>
            </w:r>
          </w:p>
        </w:tc>
        <w:tc>
          <w:tcPr>
            <w:tcW w:w="120" w:type="dxa"/>
            <w:vAlign w:val="bottom"/>
          </w:tcPr>
          <w:p>
            <w:pPr>
              <w:spacing w:after="0"/>
              <w:rPr>
                <w:sz w:val="16"/>
                <w:szCs w:val="16"/>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66.33 %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56.46 %</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59.15 %</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59.57 %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54.17 %</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58.08 %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12.06 %</w:t>
            </w:r>
          </w:p>
        </w:tc>
        <w:tc>
          <w:tcPr>
            <w:tcW w:w="120" w:type="dxa"/>
            <w:vAlign w:val="bottom"/>
          </w:tcPr>
          <w:p>
            <w:pPr>
              <w:spacing w:after="0"/>
              <w:rPr>
                <w:sz w:val="16"/>
                <w:szCs w:val="16"/>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11.95 %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11.89 %</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8.49 %</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FTE net interest revenue for the second quarter of 2024 was $210 million, an increase of $8.47 million from the same period in 2023. The increase was primarily driven by the $1.05 billion increase in average loans and a 58 basis point increase in the average rate earned on loans. As a result, loan interest revenue increased $40.9 million compared to the second quarter of 2023. The increase in average loans was provided by the addition of the First Miami loan portfolio on July 1, 2023, which as of the acquisition date had $577 million in loans, while the remaining increase represented organic growth. The increase in yield on average loans was attributable to rising rates, including the impact of the replacement of lower-yielding fixed rate asset runoff with higher-yielding market rate instruments, and $3.78 million in earnings from recent fair value hedges of loans, which were entered into during the fourth quarter of 2023 and the first quarter of 2024. Loan interest revenue for the second quarters of 2024 and 2023 also included $5.34 million and $4.06 million, respectively, of purchased loan discount accretion.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FTE interest revenue on securities increased $8.99 million compared to the same period of last year, driven by an increase in the average interest rate earned on taxable securities of 61 basis points. The increase in yield is mostly attributable to rising interest rates, the bond portfolio restructuring we completed in the fourth quarter of 2023 and the earnings from the fair value hedges of certain AFS securities, which we entered into during the second quarters of 2023 and 2024. In the second quarters of 2024 and 2023, we recognized $3.82 million and $910,000, respectively, in earnings related to the securities fair value hedges.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for the second quarter of 2024 increased $42.8 million compared to the same quarter of 2023. The average daily balance of interest-bearing deposits increased $1.91 billion compared to the second quarter of 2023 and the average rate paid on those deposits increased 82 basis points, resulting in a $45.2 million increase in deposit interest expense. The growth in interest-bearing deposits is attributable to the addition of deposits acquired in the First Miami transaction, organic growth and deposit migration from noninterest-bearing deposit accounts. We have continued to attract and retain deposits by remaining competitive with our interest rate offerings, which has increased our average rate paid on deposits. The growth in our deposit base has allowed us to reduce our utilization of more costly short-term borrowings and FHLB advances, as the average balances of these combined decreased $192 million compared to the second quarter of 2023, resulting in a reduction in interest expense on these types of borrowings of $2.44 million.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interest rate spread decreased 15 basis points to 2.32% while our net interest margin of 3.37% was flat for the second quarter of 2024 compared to 2023. The decrease in net interest rate spread reflects a steeper increase in average rates paid on deposits compared to the increase in rates earned on loans and securities during the second quarter of 2024. Despite compression in our net interest rate spread, the net interest margin remained flat, which reflects the positive effect of our non-interest-bearing funding sources in the rising rate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FTE net interest revenue for the first six months of 2024 was $410 million, a 1% decrease compared to the first six months of 2023. During the first six months of 2024, our net interest spread decreased 42 basis points and our net interest margin decreased by 21 basis points compared to the same period of 2023. The net interest margin for the six months ended June 30, 2024 benefited from higher purchased loan accretion of $1.18 million, $5.43 million in higher earnings from the AFS securities fair value hedges and $4.94 million earnings from the loan fair value hedges. The compression in net interest rate spread and net interest margin for the six months ended 2024 compared to that of 2023 resulted primarily from the steep increase in rates paid on deposits over the last several quarters combined with interest-bearing deposit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June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18,213,384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291,378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17,166,129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250,472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5.85 %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25,028,756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348,026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23,952,708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296,782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1,605,558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1,500,827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27,016,327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25,869,228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27,597</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423,536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16,689,926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14,783,792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17,018,889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138,265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15,304,754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95,489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7,072,760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23,703,350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22,762,838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3,312,977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3,106,390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27,016,327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25,869,228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209,761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201,293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2.47 %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3.37 %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340" w:hanging="332"/>
        <w:spacing w:after="0" w:line="267" w:lineRule="auto"/>
        <w:tabs>
          <w:tab w:leader="none" w:pos="32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$1.06 million and $1.01 million, respectively, for the three months ended June 30, 2024 and 2023. The tax rate used to calculate the adjustment was 25% in 2024 and 26% in 2023,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49" w:lineRule="auto"/>
        <w:tabs>
          <w:tab w:leader="none" w:pos="336" w:val="left"/>
        </w:tabs>
        <w:numPr>
          <w:ilvl w:val="0"/>
          <w:numId w:val="13"/>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losses on AFS securities, including those related to the transfer from AFS to HTM, have been reclassified to other assets. Pretax unrealized losses of $344 million in 2024 and $389 million in 2023 are included in other assets for purposes of this presentation.</w:t>
      </w:r>
    </w:p>
    <w:p>
      <w:pPr>
        <w:ind w:left="320" w:hanging="312"/>
        <w:spacing w:after="0" w:line="192"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43" w:name="page44"/>
    <w:bookmarkEnd w:id="43"/>
    <w:p>
      <w:pPr>
        <w:ind w:left="12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18,256,562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575,338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17,032,493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487,002</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5.77 %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5,890,408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93,079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6,007,471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587,080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25,098,923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685,817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23,902,433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577,374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1,611,928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1,492,926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27,098,972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25,819,539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4,690,798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45,196</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5,966,374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71,639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16,735,947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14,243,351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147,078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tcPr>
          <w:p>
            <w:pPr>
              <w:spacing w:after="0"/>
              <w:rPr>
                <w:sz w:val="17"/>
                <w:szCs w:val="17"/>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17,062,857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275,844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14,945,681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163,506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395,713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23,799,353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22,700,678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3,299,619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3,118,861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27,098,972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25,819,539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409,973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413,868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560"/>
              <w:spacing w:after="0"/>
              <w:rPr>
                <w:sz w:val="20"/>
                <w:szCs w:val="20"/>
                <w:color w:val="auto"/>
              </w:rPr>
            </w:pPr>
            <w:r>
              <w:rPr>
                <w:rFonts w:ascii="Times New Roman" w:cs="Times New Roman" w:eastAsia="Times New Roman" w:hAnsi="Times New Roman"/>
                <w:sz w:val="16"/>
                <w:szCs w:val="16"/>
                <w:color w:val="auto"/>
              </w:rPr>
              <w:t>2.66 %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3.49 %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280" w:hanging="280"/>
        <w:spacing w:after="0" w:line="267" w:lineRule="auto"/>
        <w:tabs>
          <w:tab w:leader="none" w:pos="267"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$2.12 million and $2.11 million, respectively, for the six months ended June 30, 2024 and 2023. The tax rate used to calculate the adjustment was 25% in 2024 and 26% in 2023,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260" w:hanging="260"/>
        <w:spacing w:after="0" w:line="192" w:lineRule="auto"/>
        <w:tabs>
          <w:tab w:leader="none" w:pos="2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4" w:lineRule="exact"/>
        <w:rPr>
          <w:sz w:val="20"/>
          <w:szCs w:val="20"/>
          <w:color w:val="auto"/>
        </w:rPr>
      </w:pPr>
    </w:p>
    <w:p>
      <w:pPr>
        <w:ind w:left="280" w:hanging="258"/>
        <w:spacing w:after="0" w:line="244" w:lineRule="auto"/>
        <w:tabs>
          <w:tab w:leader="none" w:pos="276" w:val="left"/>
        </w:tabs>
        <w:numPr>
          <w:ilvl w:val="0"/>
          <w:numId w:val="15"/>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gains and losses on AFS securities, including those related to the transfer from AFS to HTM, have been reclassified to other assets. Pretax unrealized losses of $333 million and $404 million in 2024 and 2023, respectively, are included in other assets for purposes of this presentation.</w:t>
      </w:r>
    </w:p>
    <w:p>
      <w:pPr>
        <w:ind w:left="260" w:hanging="260"/>
        <w:spacing w:after="0" w:line="200" w:lineRule="auto"/>
        <w:tabs>
          <w:tab w:leader="none" w:pos="2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ectPr>
          <w:pgSz w:w="11900" w:h="16838" w:orient="portrait"/>
          <w:cols w:equalWidth="0" w:num="1">
            <w:col w:w="11340"/>
          </w:cols>
          <w:pgMar w:left="2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68" w:right="339" w:bottom="1440" w:gutter="0" w:footer="0" w:header="0"/>
          <w:type w:val="continuous"/>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Change in Interest Revenue and Expense on a FTE Basis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11"/>
        </w:trPr>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Compared to 2023 Increase (Decrease) Due to Changes in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8"/>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4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(FTE)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15,874</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 (FTE)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4,806</w:t>
            </w:r>
          </w:p>
        </w:tc>
      </w:tr>
      <w:tr>
        <w:trPr>
          <w:trHeight w:val="21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108,443</w:t>
            </w:r>
          </w:p>
        </w:tc>
      </w:tr>
      <w:tr>
        <w:trPr>
          <w:trHeight w:val="253"/>
        </w:trPr>
        <w:tc>
          <w:tcPr>
            <w:tcW w:w="4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44,925</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45,463</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36,855</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w:t>
            </w:r>
          </w:p>
        </w:tc>
      </w:tr>
      <w:tr>
        <w:trPr>
          <w:trHeight w:val="20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121,168</w:t>
            </w:r>
          </w:p>
        </w:tc>
      </w:tr>
      <w:tr>
        <w:trPr>
          <w:trHeight w:val="253"/>
        </w:trPr>
        <w:tc>
          <w:tcPr>
            <w:tcW w:w="4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&amp; other borrowings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7"/>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(8,830)</w:t>
            </w:r>
          </w:p>
        </w:tc>
      </w:tr>
      <w:tr>
        <w:trPr>
          <w:trHeight w:val="21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112,338</w:t>
            </w:r>
          </w:p>
        </w:tc>
      </w:tr>
      <w:tr>
        <w:trPr>
          <w:trHeight w:val="253"/>
        </w:trPr>
        <w:tc>
          <w:tcPr>
            <w:tcW w:w="4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1"/>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Change in net interest revenue (FTE)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 The provision for credit losses recorded in each period was the amount determined by management such that the total ACL reflected the appropriate balance of expected life of loan losses.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provision for credit losses of $12.2 million and $25.1 million, respectively, for the three and six months ended June 30, 2024, compared to $22.8 million and $44.5 million, respectively, for the same periods of 2023. The provision recorded for the first six months of 2023 included the initial provision for credit losses on Progress non-PCD loans and unfunded commitments of $10.4 million. Excluding the provision for credit losses for the initial non-PCD ACL for Progress recorded in the first six months of 2023, provision expense for the first six months of 2024 decreased $8.95 million compared to the same period of 2023. The decrease was mostly driven by slower loan growth and a decline in unfunded commitments, partially offset by an increase in net charge-offs of $9.04 million. See Table 12 in MD&amp;A for further detail on net charge-offs.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5 - Noninterest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8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6"/>
                <w:szCs w:val="16"/>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c>
          <w:tcPr>
            <w:tcW w:w="17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9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Overdraft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ATM and debit card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2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losses, net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derivative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investment gains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2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45"/>
        </w:trPr>
        <w:tc>
          <w:tcPr>
            <w:tcW w:w="2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04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 fees for the second quarter and first half of 2024 increased compared to the same periods of 2023, driven by higher transaction volume.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 gains and related fees consist primarily of fees earned on mortgage originations, gains on the sale of mortgages in the secondary market, mortgage derivative hedging gains and losses and fair value adjustments to our mortgage servicing asset. The change in mortgage income is strongly tied to the interest rate environment and industry conditions. We recognize the majority of fees on mortgages when customers enter into mortgage rate lock commitments, making our mortgage rate lock volume a significant driver of mortgage gains in any given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mortgage loan gains and related fees for the six months ended June 30, 2024 was primarily a result of positive fair value adjustments to our mortgage servicing asset and higher gains on mortgage sales. During the first half of 2024, we recorded a positive fair value adjustment, including decay, to the mortgage servicing rights asset of $1.59 million, compared to an $836,000 negative fair value adjustment, including decay, during the first half of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8"/>
          <w:szCs w:val="18"/>
          <w:b w:val="1"/>
          <w:bCs w:val="1"/>
          <w:color w:val="auto"/>
        </w:rPr>
        <w:t>Table 6 - Mortgage Loan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440" w:type="dxa"/>
            <w:vAlign w:val="bottom"/>
            <w:tcBorders>
              <w:top w:val="single" w:sz="8" w:color="auto"/>
            </w:tcBorders>
          </w:tcPr>
          <w:p>
            <w:pPr>
              <w:spacing w:after="0"/>
              <w:rPr>
                <w:sz w:val="13"/>
                <w:szCs w:val="13"/>
                <w:color w:val="auto"/>
              </w:rPr>
            </w:pPr>
          </w:p>
        </w:tc>
      </w:tr>
      <w:tr>
        <w:trPr>
          <w:trHeight w:val="214"/>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40" w:type="dxa"/>
            <w:vAlign w:val="bottom"/>
            <w:tcBorders>
              <w:bottom w:val="single" w:sz="8" w:color="auto"/>
            </w:tcBorders>
          </w:tcPr>
          <w:p>
            <w:pPr>
              <w:spacing w:after="0"/>
              <w:rPr>
                <w:sz w:val="18"/>
                <w:szCs w:val="18"/>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rate locks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639,471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rate locks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 sold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144,651</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221,024</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mortgage loans sold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191,060</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339,285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425,428</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Refinances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2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214,851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385,836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487,907</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wealth management fees is mostly attributable to the addition of First Miami’s assets under management. Our total assets under management and advisement as of June 30, 2024 totaled $5.33 billion, of which $2.35 billion were attributable to FinTrust.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balance sheet management activities and market pricing. From time to time, we also sell certain equipment financing receivables. The following table presents loans sold and the corresponding gains recognized on the sales for the periods indicated. The decrease in gains on other loan sales is mostly a result of our decision to hold more of our SBA/USDA and equipment financing loan production during 2024 compared to 2023.</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7 - Other Loan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r>
      <w:tr>
        <w:trPr>
          <w:trHeight w:val="208"/>
        </w:trPr>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09"/>
        </w:trPr>
        <w:tc>
          <w:tcPr>
            <w:tcW w:w="3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w:t>
            </w: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r>
      <w:tr>
        <w:trPr>
          <w:trHeight w:val="21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37"/>
        </w:trPr>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other noninterest income include:</w:t>
      </w:r>
    </w:p>
    <w:p>
      <w:pPr>
        <w:spacing w:after="0" w:line="252"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customer derivative fees was mostly attributable to slower loan growth and low demand for the product in the current high interest rate environment.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BOLI income for the six months ended 2024 compared to 2023 is primarily a result of death benefits realized during the first quarter of 2024.</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treasury management income is a result of growth in customer base enrolled in this product. This is reflective of our continued investment in this area, as we have increased our Treasury Management headcount throughout our geographic footprint.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for the second quarter of 2024 decreased compared to 2023 as 2023 included the gain on sale of a commercial insurance book of business of $1.59 million. The six months ended June 30, 2024 includes a lease termination gain of $2.40 million as a result of exiting one of our corporate offices.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8 - Noninterest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040" w:type="dxa"/>
            <w:vAlign w:val="bottom"/>
            <w:gridSpan w:val="4"/>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6"/>
                <w:szCs w:val="16"/>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6"/>
                <w:szCs w:val="16"/>
                <w:color w:val="auto"/>
              </w:rPr>
            </w:pPr>
          </w:p>
        </w:tc>
        <w:tc>
          <w:tcPr>
            <w:tcW w:w="1940" w:type="dxa"/>
            <w:vAlign w:val="bottom"/>
            <w:gridSpan w:val="3"/>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FDIC assessments and other regulatory</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14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16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114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116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14,637</w:t>
            </w:r>
          </w:p>
        </w:tc>
        <w:tc>
          <w:tcPr>
            <w:tcW w:w="11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11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salaries and employee benefits for the second quarter and first half of 2024 compared to the same periods of 2023 was driven by several factors, including the addition of First Miami employees starting in the third quarter of 2023, higher group insurance costs, increases in salaries, lower deferred direct loan origination costs and an increase in bonus expense. The increase in salaries is primarily driven by annual merit increases that went into effect for all employees on April 1, 2024. The decrease in deferred direct loan origination costs is attributable to slower loan growth. These increases were offset by decreases in commissions and incentive pay. In addition, for the six months ended June 30, 2024, we recorded higher deferred compensation plan expense resulting from first quarter gains on deferred compensation plan investments, which are included in other noninterest income. Full time equivalent headcount totaled 3,070 at June 30, 2024, compared to 3,064 at June 30,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and equipment expense increased primarily due to incremental software contract costs and the growth in our network. We also recorded higher depreciation expense related to software and equipment placed into service since the second quarter of 2023, which includes technology equipment for our new Greenville headquarters building, the implementation of a new syndicated loan platform, and new signage associated with our rebranding.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half of the increase in occupancy costs for the second quarter and first six months of 2024 compared to the same periods of 2023 was attributable to the additional branches acquired in the First Miami transaction. The remaining increase was attributable to higher repairs and maintenance costs and depreciation expense, partially offset by a reduction in rent expense.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FDIC assessments and other regulatory charges for the first half of 2024 compared to that of 2023 was driven by growth in our FDIC assessment base and $1.74 million in additional expense related to the FDIC special assessment. The special assessment was formally announced in the fourth quarter of 2023 as part of the FDIC’s efforts to recover losses resulting from the bank failures that occurred in early 2023. Related to the special assessment, we accrued $10.0 million of expense in the fourth quarter of 2023, an additional $2.50 million in the first quarter of 2024 based on a revised estimate of the special assessment and a reduction in accrual of $764,000 in the second quarter of 2024 based on the actual assessment notice we received.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Merger-related and other charges for the second quarter and first half of 2024 primarily consisted of costs associated with our rebranding, branch closure costs, and expenses related to the First Miami acquisition. Merger-related and other charges for the same periods of 2023 were primarily related to the acquisition of Progress.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noninterest expense for the three and six months ended June 30, 2024 was primarily driven by the goodwill write-down of $5.10 million recorded in the second quarter related to the pending sale of FinTrust. The write-down reflects the reduction in book value of FinTrust to the estimated fair value of the sales proceeds, of which a portion is contingent upon achieving certain revenue growth targets. We expect the sale to close in the third quarter of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June 30, 2024 and December 31, 2023 were $27.1 billion and $27.3 billion, respectively. Total liabilities at June 30, 2024 and December 31, 2023 were $23.7 billion and $24.0 billion, respectively. Shareholders’ equity totaled $3.34 billion and $3.26 billion at June 30, 2024 and December 31,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loan portfolio, which as of June 30, 2024 totaled $18.2 billion, is our largest category of interest-earning assets. The following table presents a summary of the loan portfolio by loan type as of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Loan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2880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disaggregation of our Income Producing CRE portfolio as of June 30, 2024. Total loans within this category totaled $4.06 billion at June 30, 2024. Our office income producing CRE portfolio totaled $733 million as of June 30, 2024. The average loan within this category was $1.31 million and the largest loan was $12.2 million. Senior care loans, which we no longer originate, totaled $311 million at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 CRE - Income Producing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6172200" cy="2794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reviews of special mention and substandard performing and nonperforming loans,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2023 10-K for additional information on the ACL.</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ACL for loans at June 30, 2024 increased by $4.95 million, or 2%, compared to December 31, 2023 and the ACL for loans as a percentage of total loans remained relatively consistent. Slower loan growth in the second quarter and first half of 2024 resulted in a relatively stable ACL for loans as of June 30, 2024. Within the loan portfolio, there were increases in the ACL for equipment financing and manufactured housing loans, partially offset by a decrease in the ACL for income producing CRE loans. The increase in the ACL for manufactured housing resulted from an increase in the loss-given-default model assumption for this portfolio driven by recent history, while the increase in the ACL for equipment finance loans was driven mostly by loan growth and recent charge-off history. The decrease in ACL for income producing CRE loans was driven by a net decrease in balances in this loan category since December 31, 2023. Our ACL for unfunded commitments decreased mostly due to a decrease in our construction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Table 11 - Allocation of ACL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21,787</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23,542</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42,894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47,755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32,101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19,617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21,741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45,115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33,383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161,514</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157,311</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28,612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28,219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9,386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1,384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11,522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213,022</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208,071</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11,718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1" w:lineRule="exact"/>
              <w:rPr>
                <w:sz w:val="20"/>
                <w:szCs w:val="20"/>
                <w:color w:val="auto"/>
              </w:rPr>
            </w:pPr>
            <w:r>
              <w:rPr>
                <w:rFonts w:ascii="Times New Roman" w:cs="Times New Roman" w:eastAsia="Times New Roman" w:hAnsi="Times New Roman"/>
                <w:sz w:val="16"/>
                <w:szCs w:val="16"/>
                <w:color w:val="auto"/>
              </w:rPr>
              <w:t>16,057</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224,740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224,128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nonaccrual loans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12 -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0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3,490</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2,971</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5,912</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1,248</w:t>
            </w:r>
          </w:p>
        </w:tc>
      </w:tr>
      <w:tr>
        <w:trPr>
          <w:trHeight w:val="213"/>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1,667</w:t>
            </w: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15,483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3,288,757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3,108,945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3,283,715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3,084,012</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4,113,743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3,620,809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4,168,985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3,599,464</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2,341,253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2,482,414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2,371,413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2,463,105</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1,966,053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1,762,984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1,929,485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1,767,437</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1,555,641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1,470,524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1,547,562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1,469,537</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3,238,225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2,814,980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3,224,620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2,738,090</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972,630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923,217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967,075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925,001</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233,317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475,225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480,924</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4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322,998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331,332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327,220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333,034</w:t>
            </w:r>
          </w:p>
        </w:tc>
      </w:tr>
      <w:tr>
        <w:trPr>
          <w:trHeight w:val="216"/>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180,767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175,699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180,456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171,889</w:t>
            </w:r>
          </w:p>
        </w:tc>
      </w:tr>
      <w:tr>
        <w:trPr>
          <w:trHeight w:val="212"/>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18,213,384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17,166,129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18,256,562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17,032,493</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4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0.02 %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40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0.20</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0.24</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0.81</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0.53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0.25</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0.76</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400" w:type="dxa"/>
            <w:vAlign w:val="bottom"/>
          </w:tcPr>
          <w:p>
            <w:pPr>
              <w:spacing w:after="0"/>
              <w:rPr>
                <w:sz w:val="18"/>
                <w:szCs w:val="18"/>
                <w:color w:val="auto"/>
              </w:rPr>
            </w:pP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2.51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1.96</w:t>
            </w:r>
          </w:p>
        </w:tc>
      </w:tr>
      <w:tr>
        <w:trPr>
          <w:trHeight w:val="21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0.18</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net charge-offs for the second quarter and first half of 2024 compared to the same periods of 2023 was primarily driven by increases in charge-offs in the equipment finance and manufactured housing portfolios. The increase in equipment finance charge-offs is partly attributable to charge-offs related to loans to borrowers in the long-haul trucking industry. The long-haul trucking equipment segment, comprising a small portion of the portfolio, is deemed not representative of the entire equipment financing portfolio. Manufactured housing loans tend to be more sensitive to economic conditions such as inflation and rising interest rates, which contributed to the increase in charge-offs compared to the same periods of 2023. In addition, in the second quarter of 2024, net charge-offs for income producing CRE loans increased compared to the same period of 2023 due to a partial charge-off of one senior care loan. During 2023, we stopped originating new manufactured housing loans, long-haul trucking equipment finance loans and senior care loans.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The increase since December 31, 2023 was primarily driven by net increases in commercial construction, residential mortgage, manufactured housing and income producing CRE nonaccrual loans. Notably, one commercial construction borrower with loans of $4.03 million moved to nonaccrual status during the second quarter of 2024. Also, there was one $6.00 million senior care loan in income producing CRE that moved to nonaccrual status during the second quarter of 2024, which also had a partial charge-off during the period.</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40" w:type="dxa"/>
            <w:vAlign w:val="bottom"/>
            <w:tcBorders>
              <w:bottom w:val="single" w:sz="8" w:color="CCEEFF"/>
            </w:tcBorders>
          </w:tcPr>
          <w:p>
            <w:pPr>
              <w:spacing w:after="0"/>
              <w:rPr>
                <w:sz w:val="18"/>
                <w:szCs w:val="18"/>
                <w:color w:val="auto"/>
              </w:rPr>
            </w:pPr>
          </w:p>
        </w:tc>
      </w:tr>
      <w:tr>
        <w:trPr>
          <w:trHeight w:val="211"/>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114,478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91,687</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Borders>
              <w:bottom w:val="single" w:sz="8" w:color="CCEEFF"/>
            </w:tcBorders>
          </w:tcPr>
          <w:p>
            <w:pPr>
              <w:ind w:left="134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1,190</w:t>
            </w:r>
          </w:p>
        </w:tc>
        <w:tc>
          <w:tcPr>
            <w:tcW w:w="1340" w:type="dxa"/>
            <w:vAlign w:val="bottom"/>
            <w:tcBorders>
              <w:bottom w:val="single" w:sz="8" w:color="CCEEFF"/>
            </w:tcBorders>
          </w:tcPr>
          <w:p>
            <w:pPr>
              <w:spacing w:after="0"/>
              <w:rPr>
                <w:sz w:val="18"/>
                <w:szCs w:val="18"/>
                <w:color w:val="auto"/>
              </w:rPr>
            </w:pPr>
          </w:p>
        </w:tc>
      </w:tr>
      <w:tr>
        <w:trPr>
          <w:trHeight w:val="237"/>
        </w:trPr>
        <w:tc>
          <w:tcPr>
            <w:tcW w:w="66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Total NPAs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116,722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92,877</w:t>
            </w: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1340" w:type="dxa"/>
            <w:vAlign w:val="bottom"/>
            <w:shd w:val="clear" w:color="auto" w:fill="CCEEFF"/>
          </w:tcPr>
          <w:p>
            <w:pPr>
              <w:spacing w:after="0"/>
              <w:rPr>
                <w:sz w:val="18"/>
                <w:szCs w:val="18"/>
                <w:color w:val="auto"/>
              </w:rPr>
            </w:pPr>
          </w:p>
        </w:tc>
      </w:tr>
      <w:tr>
        <w:trPr>
          <w:trHeight w:val="210"/>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1340" w:type="dxa"/>
            <w:vAlign w:val="bottom"/>
          </w:tcPr>
          <w:p>
            <w:pPr>
              <w:spacing w:after="0"/>
              <w:rPr>
                <w:sz w:val="18"/>
                <w:szCs w:val="18"/>
                <w:color w:val="auto"/>
              </w:rPr>
            </w:pPr>
          </w:p>
        </w:tc>
      </w:tr>
    </w:tbl>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loan is placed on nonaccrual status when, in the opinion of management, the full principal and interest on a loan is not likely to be collected, or when the loan becomes 90 days past due. A loan may continue on accrual status after 90 days with senior management approval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of the dates presented. Effective duration represents the expected change in the price of a security when rates change by 100 basis points.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234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3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3,604,769</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3,331,084</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273,685</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2,432,941</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2,490,848</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(57,907)</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6,037,710</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5,821,932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215,778</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and in the second quarter of 2024, we entered into fair value hedges on a portion of our AFS securities portfolio in order to mitigate the impact of any potential future unrealized losses on our tangible common equity. Gains and losses related to the hedge and hedged item are reflected in investment securities interest income. The changes in the fair value of the hedge and the hedged item substantially offset each other. See Note 7 to the financial statements for further detail.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 Investment Securities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HTM debt securities had a fair value of $2.00 billion, indicating net unrealized losses of $429 million. Additional unrealized losses on HTM debt securities of $63.7 million (pre-tax) were included in AOCI as a result of the transfer of AFS debt securities to HTM in 2022. Unrealized losses were primarily attributable to changes in interest rates.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For U.S. Treasury and Government Agency securities, we include a zero loss assumption. At June 30, 2024 and December 31, 2023, calculated credit losses on HTM debt securities were deemed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June 30, 2024 and December 31, 2023, there was no ACL related to the AFS debt securities portfolio. Unrealized losses at June 30, 2024 and December 31, 2023 primarily reflected the effect of changes in interest rates.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hold certain equity investments, which are included in other assets on the consolidated balance sheet. These investments include equity investments with readily determinable fair values, FHLB stock, and as of the second quarter of 2024, FRB stock. During the second quarter of 2024, we purchased $88.0 million of FRB stock in connection with becoming a FRB state member bank.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During the first quarter of 2024, we recorded a measurement period adjustment to the acquisition date fair values of other assets and other liabilities recorded for First Miami. The adjustment related to the lack of realizability of certain tax credits, which resulted in a net increase in goodwill of $1.34 million. See Note 4 to the financial statements for further detail.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2024, we entered into an agreement to sell FinTrust, our registered investment advisor, with the transaction expected to close in the third quarter of 2024. The fair value of the consideration to be received from the sale includes a portion that is contingent upon achieving certain revenue growth targets over a five year period. Because the fair value of the consideration was less than the carrying amount of FinTrust, we recorded a $5.10 million write-down of FinTrust’s goodwill. We do not believe that this goodwill impairment loss is an indicator of impairment of the remaining goodwill on our balance sheet and, therefore, does not represent a triggering event for an interim impairment test of the remaining goodwill on the balance sheet. See Note 8 to the financial statements for further detail.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the net carrying amount of goodwill was $916 million and $920 million, respectively.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of $62.5 million at June 30, 2024, representing the value of acquired deposit and customer relationships, respectively, which are amortizing intangible assets. Amortizing intangible assets are required to be tested for impairment only when events or circumstances indicate that impairment may exist. The balance at June 30, 2024 includes FinTrust’s customer list intangible of $6.02 million, which is included in the asset group held for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Since December 31, 2023, customer deposits decreased $329 million, which was mostly driven by a decrease in NOW and interest-bearing demand deposits due to seasonal outflow of public funds combined with more conservative public funds deposit pricing. In addition, our customer deposit composition changed since the end of 2023 as money market deposit balances increased with offsetting decreases in other customer deposit types. This was driven by higher demand for money market accounts, which are more liquid than time deposits and offer a higher interest rate than demand and savings accounts. As of June 30, 2024, we had approximately $8.77 billion of uninsured deposits, of which $2.67 billion was collateralized by investment securities.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b w:val="1"/>
          <w:bCs w:val="1"/>
          <w:color w:val="auto"/>
        </w:rPr>
        <w:t>Table 16 -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554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6,291,124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6,534,307</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6,155,193</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6,808,394</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Time</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3,510,917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3,649,498</w:t>
            </w:r>
          </w:p>
        </w:tc>
        <w:tc>
          <w:tcPr>
            <w:tcW w:w="1500" w:type="dxa"/>
            <w:vAlign w:val="bottom"/>
            <w:tcBorders>
              <w:bottom w:val="single" w:sz="8" w:color="CCEEFF"/>
            </w:tcBorders>
          </w:tcPr>
          <w:p>
            <w:pPr>
              <w:spacing w:after="0"/>
              <w:rPr>
                <w:sz w:val="18"/>
                <w:szCs w:val="18"/>
                <w:color w:val="auto"/>
              </w:rPr>
            </w:pPr>
          </w:p>
        </w:tc>
      </w:tr>
      <w:tr>
        <w:trPr>
          <w:trHeight w:val="212"/>
        </w:trPr>
        <w:tc>
          <w:tcPr>
            <w:tcW w:w="55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customer deposits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22,817,951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23,147,392</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Brokered deposits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163,219</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22,982,122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both June 30, 2024 and December 31, 2023, we had long-term debt outstanding of $325 million, which includes senior debentures, subordinated debentures, and trust preferred securities. At June 30, 2024 and December 31, 2023 there were no short-term borrowings or FHLB advances outstanding. The need to utilize wholesale funding sources has decreased as our deposit and cash balances have substantially provided for our liquidity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since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23 to the consolidated financial statements included in the 2023 10-K and Note 14 to the consolidated financial statements in this Report for additional information on off-balance sheet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primary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17 - Interest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2.33 %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0.88 %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0.59</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8"/>
                <w:szCs w:val="18"/>
                <w:color w:val="auto"/>
              </w:rPr>
            </w:pPr>
          </w:p>
        </w:tc>
        <w:tc>
          <w:tcPr>
            <w:tcW w:w="10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8"/>
              </w:rPr>
              <w:t>(0.88)</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0.14</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10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0.10</w:t>
            </w:r>
          </w:p>
        </w:tc>
        <w:tc>
          <w:tcPr>
            <w:tcW w:w="1560" w:type="dxa"/>
            <w:vAlign w:val="bottom"/>
          </w:tcPr>
          <w:p>
            <w:pPr>
              <w:spacing w:after="0"/>
              <w:rPr>
                <w:sz w:val="18"/>
                <w:szCs w:val="18"/>
                <w:color w:val="auto"/>
              </w:rPr>
            </w:pPr>
          </w:p>
        </w:tc>
      </w:tr>
    </w:tbl>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period from March 2022 through July 2023 was marked by the most rapid rate increases in decades, which, in part, has made non-bank products, such as U.S. Treasuries and money market funds, more attractive to our deposit customers. For this and other reasons such as the Federal Reserve’s quantitative tightening and the aftermath of COVID stimulus, the banking industry’s deposit base has been shrinking since the first half of 2022. This industry-wide outflow of deposits has increased price competition for bank deposits. As such, industry deposit betas, including ours, have been increasing at a faster pace relative to the last rising rate cycle. Deposit beta is a measure of the change in a bank’s average rate paid on deposits as a percentage of the change in the targeted federal funds rate. Our cumulative total deposit beta for the current rising rate cycle was 44% in the second quarter of 2024. Our cumulative total deposit beta in the last upward rate cycle from November 2015 to July 2019 was 22%. A higher total deposit beta is generally unfavorable in a rising rate environment and favorable if rates are falling.</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interest sensitivity model includes significant key assumptions which may change over time. The scenario results presented in the table above assume parallel movements in the yield curve, which may differ from actual future curve behavior. Although our model generally assumes no change in deposit portfolio size or composition, we have included an assumption for the runoff of surge deposits since 2021. In the second quarter of 2023, in response to the rapid rate increases mentioned above, we increased the beta assumption in our model. As of June 30, 2024, our modeled total deposit beta, which is measured as the change in our overall deposit rate as a percentage of the change in the targeted federal funds rate, was 44% in an up scenario and 39% in a down scenario.</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manage interest rate sensitivity, we have entered into off-balance sheet contracts that are considered derivative financial instruments, which is the primary driver in the change in interest rate shocks and ramps between December 31, 2023 and June 30, 2024 presented in the table above. Derivative financial instruments can be a cost-effective and capital-effective means of modifying the repricing characteristics of on-balance sheet assets and liabilities. These contracts generally consist of interest rate swaps under which we pay a variable rate, (or fixed rate, as the case may be) and receive a fixed rate (or variable rate, as the case may be).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non-customer derivative financial instruments are used only for asset/liability management and as effective economic hedges,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we may require the counterparties to derivative contracts to pledge cash or securities as collateral to cover the net exposure. See Note 7 to the financial statements for further detail.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At June 30, 2024, we had sufficient qualifying collateral to support additional borrowings, which is detailed in the table below.</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18 - Borrowing Capacity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June 30,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FHLB</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2,013,447</w:t>
            </w: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242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2,377,097</w:t>
            </w:r>
          </w:p>
        </w:tc>
        <w:tc>
          <w:tcPr>
            <w:tcW w:w="2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2580"/>
              <w:spacing w:after="0"/>
              <w:rPr>
                <w:sz w:val="20"/>
                <w:szCs w:val="20"/>
                <w:color w:val="auto"/>
              </w:rPr>
            </w:pPr>
            <w:r>
              <w:rPr>
                <w:rFonts w:ascii="Times New Roman" w:cs="Times New Roman" w:eastAsia="Times New Roman" w:hAnsi="Times New Roman"/>
                <w:sz w:val="16"/>
                <w:szCs w:val="16"/>
                <w:color w:val="auto"/>
              </w:rPr>
              <w:t>Total borrowing capacity</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4,390,544</w:t>
            </w:r>
          </w:p>
        </w:tc>
        <w:tc>
          <w:tcPr>
            <w:tcW w:w="2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420"/>
              <w:spacing w:after="0" w:line="162" w:lineRule="exact"/>
              <w:rPr>
                <w:sz w:val="20"/>
                <w:szCs w:val="20"/>
                <w:color w:val="auto"/>
              </w:rPr>
            </w:pPr>
            <w:r>
              <w:rPr>
                <w:rFonts w:ascii="Times New Roman" w:cs="Times New Roman" w:eastAsia="Times New Roman" w:hAnsi="Times New Roman"/>
                <w:sz w:val="16"/>
                <w:szCs w:val="16"/>
                <w:color w:val="auto"/>
              </w:rPr>
              <w:t>Unpledged securities available as collateral for additional</w:t>
            </w: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3,233,495</w:t>
            </w:r>
          </w:p>
        </w:tc>
        <w:tc>
          <w:tcPr>
            <w:tcW w:w="2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borrowings</w:t>
            </w:r>
          </w:p>
        </w:tc>
        <w:tc>
          <w:tcPr>
            <w:tcW w:w="82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the ultimate sources of its liquidity are subsidiary 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uses and sources of cash during the six months ended June 30, 2024 are as follows. See the consolidated statement of cash flows for further detail.</w:t>
      </w:r>
    </w:p>
    <w:p>
      <w:pPr>
        <w:spacing w:after="0" w:line="81"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$194 million reflects net income of $129 million adjusted for non-cash transactions, partly offset by changes in loans held for sale. Significant non-cash transactions for the period included a $25.1 million provision for credit losses and net depreciation, amortization, and accretion of $20.6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$247 million primarily consisted of purchases of AFS securities and other investments totaling $733 million and purchases of premises and equipment of $31.6 million. These uses of cash were partially offset by proceeds from securities sales, maturities and calls of $418 million and a net decrease in loans of $89.1 million.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financing activities of $388 million mostly consisted of a net decrease in deposits of $329 million and dividends paid on common and preferred stock of $58.6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management, our liquidity position at June 30, 2024 was sufficient to meet our expected cash flow requirements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June 30, 2024 was $3.34 billion, an increase of $81.1 million from December 31, 2023 primarily due to year-to-date earnings, partially offset by dividends declared on common and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June 30, 2024 and December 31, 2023. As of June 30, 2024, capital levels remained characterized as “well-capitalized” under regulatory requirements in effect at the time. Additional information related to capital ratios is provided in Note 13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19 - Capital Ratios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9" w:name="page60"/>
    <w:bookmarkEnd w:id="5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June 30, 2024 from that presented in our 2023 10-K. Our interest rate sensitivity position at June 30, 2024 is set forth in Table 17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June 30, 2024.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June 30, 2024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2023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modified or terminated a “Rule 10b5-1 trading arrangement” or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right"/>
        <w:ind w:left="1080" w:right="20"/>
        <w:spacing w:after="0" w:line="222"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right="20"/>
        <w:spacing w:after="0" w:line="222"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sz w:val="20"/>
          <w:szCs w:val="20"/>
          <w:color w:val="auto"/>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sz w:val="20"/>
          <w:szCs w:val="20"/>
          <w:color w:val="auto"/>
        </w:rPr>
      </w:pPr>
    </w:p>
    <w:p>
      <w:pPr>
        <w:jc w:val="both"/>
        <w:ind w:left="1600" w:right="20" w:hanging="557"/>
        <w:spacing w:after="0" w:line="222" w:lineRule="auto"/>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June 30, 2024,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right="20" w:firstLine="5"/>
        <w:spacing w:after="0" w:line="218" w:lineRule="auto"/>
        <w:tabs>
          <w:tab w:leader="none" w:pos="1981" w:val="left"/>
        </w:tabs>
        <w:numPr>
          <w:ilvl w:val="1"/>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1600" w:right="20" w:hanging="557"/>
        <w:spacing w:after="0" w:line="237" w:lineRule="auto"/>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June 30, 2024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927" w:right="339" w:bottom="1440" w:gutter="0" w:footer="0" w:header="0"/>
        </w:sectPr>
      </w:pPr>
    </w:p>
    <w:bookmarkStart w:id="62" w:name="page63"/>
    <w:bookmarkEnd w:id="62"/>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June 30, 2024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9, 2024</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9, 2024</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lvl w:ilvl="1">
      <w:lvlJc w:val="left"/>
      <w:lvlText w:val="(%2)"/>
      <w:numFmt w:val="lowerLetter"/>
      <w:start w:val="2"/>
    </w:lvl>
  </w:abstractNum>
  <w:abstractNum w:abstractNumId="20">
    <w:nsid w:val="6763845E"/>
    <w:multiLevelType w:val="hybridMultilevel"/>
    <w:lvl w:ilvl="0">
      <w:lvlJc w:val="left"/>
      <w:lvlText w:val="(%1)"/>
      <w:numFmt w:val="lowerLetter"/>
      <w:start w:val="4"/>
    </w:lvl>
  </w:abstractNum>
  <w:abstractNum w:abstractNumId="21">
    <w:nsid w:val="75A2A8D4"/>
    <w:multiLevelType w:val="hybridMultilevel"/>
    <w:lvl w:ilvl="0">
      <w:lvlJc w:val="left"/>
      <w:lvlText w:val="%1"/>
      <w:numFmt w:val="decimal"/>
      <w:start w:val="101"/>
    </w:lvl>
    <w:lvl w:ilvl="1">
      <w:lvlJc w:val="left"/>
      <w:lvlText w:val="(%2)"/>
      <w:numFmt w:val="lowerRoman"/>
      <w:start w:val="3"/>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95" Type="http://schemas.openxmlformats.org/officeDocument/2006/relationships/hyperlink" Target="https://www.sec.gov/Archives/edgar/data/857855/000085785521000109/ucbi93021ex31restatedartic.htm" TargetMode="External"/><Relationship Id="rId96" Type="http://schemas.openxmlformats.org/officeDocument/2006/relationships/hyperlink" Target="https://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2024-08-09T11:35:56Z</dcterms:created>
  <dcterms:modified xsi:type="dcterms:W3CDTF">2024-08-09T11:35:56Z</dcterms:modified>
</cp:coreProperties>
</file>