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4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Georgia</w:t>
            </w:r>
          </w:p>
        </w:tc>
        <w:tc>
          <w:tcPr>
            <w:tcW w:w="6080" w:type="dxa"/>
            <w:vAlign w:val="bottom"/>
            <w:gridSpan w:val="5"/>
          </w:tcPr>
          <w:p>
            <w:pPr>
              <w:jc w:val="right"/>
              <w:ind w:right="17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640" w:type="dxa"/>
            <w:vAlign w:val="bottom"/>
            <w:tcBorders>
              <w:top w:val="single" w:sz="8" w:color="auto"/>
            </w:tcBorders>
          </w:tcPr>
          <w:p>
            <w:pPr>
              <w:jc w:val="center"/>
              <w:ind w:left="850"/>
              <w:spacing w:after="0"/>
              <w:rPr>
                <w:sz w:val="20"/>
                <w:szCs w:val="20"/>
                <w:color w:val="auto"/>
              </w:rPr>
            </w:pPr>
            <w:r>
              <w:rPr>
                <w:rFonts w:ascii="Arial" w:cs="Arial" w:eastAsia="Arial" w:hAnsi="Arial"/>
                <w:sz w:val="18"/>
                <w:szCs w:val="18"/>
                <w:b w:val="1"/>
                <w:bCs w:val="1"/>
                <w:color w:val="auto"/>
                <w:w w:val="91"/>
              </w:rPr>
              <w:t>(State of Incorporation)</w:t>
            </w:r>
          </w:p>
        </w:tc>
        <w:tc>
          <w:tcPr>
            <w:tcW w:w="6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64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125 Highway 515 East</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4"/>
        </w:trPr>
        <w:tc>
          <w:tcPr>
            <w:tcW w:w="364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Blairsville, Georgia</w:t>
            </w:r>
          </w:p>
        </w:tc>
        <w:tc>
          <w:tcPr>
            <w:tcW w:w="6080" w:type="dxa"/>
            <w:vAlign w:val="bottom"/>
            <w:gridSpan w:val="5"/>
          </w:tcPr>
          <w:p>
            <w:pPr>
              <w:jc w:val="right"/>
              <w:ind w:right="2010"/>
              <w:spacing w:after="0"/>
              <w:rPr>
                <w:sz w:val="20"/>
                <w:szCs w:val="20"/>
                <w:color w:val="auto"/>
              </w:rPr>
            </w:pPr>
            <w:r>
              <w:rPr>
                <w:rFonts w:ascii="Arial" w:cs="Arial" w:eastAsia="Arial" w:hAnsi="Arial"/>
                <w:sz w:val="18"/>
                <w:szCs w:val="18"/>
                <w:b w:val="1"/>
                <w:bCs w:val="1"/>
                <w:color w:val="auto"/>
              </w:rPr>
              <w:t>30512</w:t>
            </w:r>
          </w:p>
        </w:tc>
      </w:tr>
      <w:tr>
        <w:trPr>
          <w:trHeight w:val="205"/>
        </w:trPr>
        <w:tc>
          <w:tcPr>
            <w:tcW w:w="3640" w:type="dxa"/>
            <w:vAlign w:val="bottom"/>
            <w:tcBorders>
              <w:top w:val="single" w:sz="8" w:color="auto"/>
            </w:tcBorders>
          </w:tcPr>
          <w:p>
            <w:pPr>
              <w:jc w:val="center"/>
              <w:ind w:left="850"/>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6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300" w:type="dxa"/>
            <w:vAlign w:val="bottom"/>
            <w:tcBorders>
              <w:top w:val="single" w:sz="8" w:color="auto"/>
            </w:tcBorders>
          </w:tcPr>
          <w:p>
            <w:pPr>
              <w:jc w:val="center"/>
              <w:ind w:right="250"/>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6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Executive Offices</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92"/>
        </w:trPr>
        <w:tc>
          <w:tcPr>
            <w:tcW w:w="3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(706) 781-2265</w:t>
            </w:r>
          </w:p>
        </w:tc>
        <w:tc>
          <w:tcPr>
            <w:tcW w:w="4300" w:type="dxa"/>
            <w:vAlign w:val="bottom"/>
          </w:tcPr>
          <w:p>
            <w:pPr>
              <w:spacing w:after="0"/>
              <w:rPr>
                <w:sz w:val="24"/>
                <w:szCs w:val="24"/>
                <w:color w:val="auto"/>
              </w:rPr>
            </w:pPr>
          </w:p>
        </w:tc>
      </w:tr>
      <w:tr>
        <w:trPr>
          <w:trHeight w:val="228"/>
        </w:trPr>
        <w:tc>
          <w:tcPr>
            <w:tcW w:w="3640" w:type="dxa"/>
            <w:vAlign w:val="bottom"/>
          </w:tcPr>
          <w:p>
            <w:pPr>
              <w:spacing w:after="0"/>
              <w:rPr>
                <w:sz w:val="19"/>
                <w:szCs w:val="19"/>
                <w:color w:val="auto"/>
              </w:rPr>
            </w:pPr>
          </w:p>
        </w:tc>
        <w:tc>
          <w:tcPr>
            <w:tcW w:w="6080" w:type="dxa"/>
            <w:vAlign w:val="bottom"/>
            <w:gridSpan w:val="5"/>
          </w:tcPr>
          <w:p>
            <w:pPr>
              <w:jc w:val="center"/>
              <w:ind w:right="357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39"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16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27" w:lineRule="exact"/>
        <w:rPr>
          <w:sz w:val="20"/>
          <w:szCs w:val="20"/>
          <w:color w:val="auto"/>
        </w:rPr>
      </w:pPr>
    </w:p>
    <w:p>
      <w:pPr>
        <w:jc w:val="both"/>
        <w:ind w:left="340" w:right="159"/>
        <w:spacing w:after="0" w:line="314" w:lineRule="auto"/>
        <w:rPr>
          <w:sz w:val="20"/>
          <w:szCs w:val="20"/>
          <w:color w:val="auto"/>
        </w:rPr>
      </w:pPr>
      <w:r>
        <w:rPr>
          <w:rFonts w:ascii="Arial" w:cs="Arial" w:eastAsia="Arial" w:hAnsi="Arial"/>
          <w:sz w:val="16"/>
          <w:szCs w:val="16"/>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YES o NO </w:t>
      </w:r>
      <w:r>
        <w:rPr>
          <w:rFonts w:ascii="Arial" w:cs="Arial" w:eastAsia="Arial" w:hAnsi="Arial"/>
          <w:sz w:val="18"/>
          <w:szCs w:val="18"/>
          <w:color w:val="auto"/>
        </w:rPr>
        <w:t>o</w:t>
      </w:r>
    </w:p>
    <w:p>
      <w:pPr>
        <w:spacing w:after="0" w:line="185" w:lineRule="exact"/>
        <w:rPr>
          <w:sz w:val="20"/>
          <w:szCs w:val="20"/>
          <w:color w:val="auto"/>
        </w:rPr>
      </w:pPr>
    </w:p>
    <w:p>
      <w:pPr>
        <w:jc w:val="both"/>
        <w:ind w:left="340" w:right="1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b w:val="1"/>
                <w:bCs w:val="1"/>
                <w:color w:val="auto"/>
                <w:w w:val="97"/>
              </w:rPr>
              <w:t xml:space="preserve">Large accelerated filer </w:t>
            </w:r>
            <w:r>
              <w:rPr>
                <w:rFonts w:ascii="Arial" w:cs="Arial" w:eastAsia="Arial" w:hAnsi="Arial"/>
                <w:sz w:val="18"/>
                <w:szCs w:val="18"/>
                <w:color w:val="auto"/>
                <w:w w:val="97"/>
              </w:rPr>
              <w:t>o</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Accelerated filer</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Non-accelerated filer </w:t>
            </w:r>
            <w:r>
              <w:rPr>
                <w:rFonts w:ascii="Arial" w:cs="Arial" w:eastAsia="Arial" w:hAnsi="Arial"/>
                <w:sz w:val="18"/>
                <w:szCs w:val="18"/>
                <w:color w:val="auto"/>
                <w:w w:val="90"/>
              </w:rPr>
              <w:t>o</w:t>
            </w:r>
          </w:p>
        </w:tc>
        <w:tc>
          <w:tcPr>
            <w:tcW w:w="2440" w:type="dxa"/>
            <w:vAlign w:val="bottom"/>
          </w:tcPr>
          <w:p>
            <w:pPr>
              <w:ind w:left="80"/>
              <w:spacing w:after="0"/>
              <w:rPr>
                <w:sz w:val="20"/>
                <w:szCs w:val="20"/>
                <w:color w:val="auto"/>
              </w:rPr>
            </w:pPr>
            <w:r>
              <w:rPr>
                <w:rFonts w:ascii="Arial" w:cs="Arial" w:eastAsia="Arial" w:hAnsi="Arial"/>
                <w:sz w:val="18"/>
                <w:szCs w:val="18"/>
                <w:b w:val="1"/>
                <w:bCs w:val="1"/>
                <w:color w:val="auto"/>
                <w:w w:val="91"/>
              </w:rPr>
              <w:t xml:space="preserve">Smaller Reporting Company </w:t>
            </w:r>
            <w:r>
              <w:rPr>
                <w:rFonts w:ascii="Arial" w:cs="Arial" w:eastAsia="Arial" w:hAnsi="Arial"/>
                <w:sz w:val="18"/>
                <w:szCs w:val="18"/>
                <w:color w:val="auto"/>
                <w:w w:val="91"/>
              </w:rPr>
              <w:t>o</w:t>
            </w: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1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(Do not check if a smaller reporting company)</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20" w:type="dxa"/>
            <w:vAlign w:val="bottom"/>
            <w:vMerge w:val="continue"/>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156" w:lineRule="exact"/>
        <w:rPr>
          <w:sz w:val="20"/>
          <w:szCs w:val="20"/>
          <w:color w:val="auto"/>
        </w:rPr>
      </w:pPr>
    </w:p>
    <w:p>
      <w:pPr>
        <w:ind w:left="470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rPr>
        <w:t>☑</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Common stock, par value $1 per share 94,495,730 shares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outstanding as of October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060" w:type="dxa"/>
            <w:vAlign w:val="bottom"/>
            <w:gridSpan w:val="30"/>
          </w:tcPr>
          <w:p>
            <w:pPr>
              <w:spacing w:after="0"/>
              <w:rPr>
                <w:sz w:val="20"/>
                <w:szCs w:val="20"/>
                <w:color w:val="auto"/>
              </w:rPr>
            </w:pPr>
            <w:r>
              <w:rPr>
                <w:rFonts w:ascii="Arial" w:cs="Arial" w:eastAsia="Arial" w:hAnsi="Arial"/>
                <w:sz w:val="18"/>
                <w:szCs w:val="18"/>
                <w:b w:val="1"/>
                <w:bCs w:val="1"/>
                <w:color w:val="auto"/>
              </w:rPr>
              <w:t>INDEX</w:t>
            </w:r>
          </w:p>
        </w:tc>
        <w:tc>
          <w:tcPr>
            <w:tcW w:w="202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2560" w:type="dxa"/>
            <w:vAlign w:val="bottom"/>
            <w:tcBorders>
              <w:bottom w:val="single" w:sz="8" w:color="0000EE"/>
            </w:tcBorders>
            <w:gridSpan w:val="16"/>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6500" w:type="dxa"/>
            <w:vAlign w:val="bottom"/>
            <w:gridSpan w:val="14"/>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Item 1. Financial Statements.</w:t>
              </w:r>
            </w:hyperlink>
          </w:p>
        </w:tc>
        <w:tc>
          <w:tcPr>
            <w:tcW w:w="6620" w:type="dxa"/>
            <w:vAlign w:val="bottom"/>
            <w:gridSpan w:val="15"/>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tcBorders>
              <w:bottom w:val="single" w:sz="8" w:color="0000EE"/>
            </w:tcBorders>
            <w:gridSpan w:val="25"/>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Nine Months Ended September 30, 2010 and</w:t>
              </w:r>
            </w:hyperlink>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940" w:type="dxa"/>
            <w:vAlign w:val="bottom"/>
            <w:gridSpan w:val="6"/>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4"/>
              </w:rPr>
            </w:pPr>
            <w:hyperlink w:anchor="page4">
              <w:r>
                <w:rPr>
                  <w:rFonts w:ascii="Arial" w:cs="Arial" w:eastAsia="Arial" w:hAnsi="Arial"/>
                  <w:sz w:val="18"/>
                  <w:szCs w:val="18"/>
                  <w:b w:val="1"/>
                  <w:bCs w:val="1"/>
                  <w:color w:val="0000EE"/>
                  <w:w w:val="84"/>
                </w:rPr>
                <w:t>2009</w:t>
              </w:r>
            </w:hyperlink>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right"/>
              <w:ind w:right="1550"/>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40" w:type="dxa"/>
            <w:vAlign w:val="bottom"/>
            <w:tcBorders>
              <w:bottom w:val="single" w:sz="8" w:color="0000EE"/>
            </w:tcBorders>
            <w:gridSpan w:val="22"/>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at September 30, 2010 (unaudited), December 31, 2009 (audited) and</w:t>
              </w:r>
            </w:hyperlink>
          </w:p>
        </w:tc>
        <w:tc>
          <w:tcPr>
            <w:tcW w:w="1220" w:type="dxa"/>
            <w:vAlign w:val="bottom"/>
            <w:gridSpan w:val="4"/>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60" w:type="dxa"/>
            <w:vAlign w:val="bottom"/>
            <w:gridSpan w:val="25"/>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September 30, 2009 (unaudited)</w:t>
              </w:r>
            </w:hyperlink>
          </w:p>
        </w:tc>
        <w:tc>
          <w:tcPr>
            <w:tcW w:w="2020" w:type="dxa"/>
            <w:vAlign w:val="bottom"/>
          </w:tcPr>
          <w:p>
            <w:pPr>
              <w:jc w:val="right"/>
              <w:ind w:right="1550"/>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Changes in Shareholders’ Equity (unaudited) for the Nine Months Ended</w:t>
              </w:r>
            </w:hyperlink>
          </w:p>
        </w:tc>
        <w:tc>
          <w:tcPr>
            <w:tcW w:w="20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50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September 30, 2010 and 2009</w:t>
              </w:r>
            </w:hyperlink>
          </w:p>
        </w:tc>
        <w:tc>
          <w:tcPr>
            <w:tcW w:w="960" w:type="dxa"/>
            <w:vAlign w:val="bottom"/>
            <w:gridSpan w:val="3"/>
          </w:tcPr>
          <w:p>
            <w:pPr>
              <w:spacing w:after="0"/>
              <w:rPr>
                <w:sz w:val="17"/>
                <w:szCs w:val="17"/>
                <w:color w:val="auto"/>
              </w:rPr>
            </w:pPr>
          </w:p>
        </w:tc>
        <w:tc>
          <w:tcPr>
            <w:tcW w:w="2020" w:type="dxa"/>
            <w:vAlign w:val="bottom"/>
          </w:tcPr>
          <w:p>
            <w:pPr>
              <w:jc w:val="right"/>
              <w:ind w:right="1550"/>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Nine Months Ended September 30, 2010 and 2009</w:t>
              </w:r>
            </w:hyperlink>
          </w:p>
        </w:tc>
        <w:tc>
          <w:tcPr>
            <w:tcW w:w="320" w:type="dxa"/>
            <w:vAlign w:val="bottom"/>
            <w:gridSpan w:val="2"/>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5</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5320" w:type="dxa"/>
            <w:vAlign w:val="bottom"/>
            <w:gridSpan w:val="8"/>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6</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20" w:type="dxa"/>
            <w:vAlign w:val="bottom"/>
            <w:tcBorders>
              <w:bottom w:val="single" w:sz="8" w:color="0000EE"/>
            </w:tcBorders>
            <w:gridSpan w:val="22"/>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Item 2. Management’s Discussion and Analysis of Financial Condition and Results of Operations</w:t>
              </w:r>
            </w:hyperlink>
          </w:p>
        </w:tc>
        <w:tc>
          <w:tcPr>
            <w:tcW w:w="1440" w:type="dxa"/>
            <w:vAlign w:val="bottom"/>
            <w:gridSpan w:val="5"/>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22</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00" w:type="dxa"/>
            <w:vAlign w:val="bottom"/>
            <w:tcBorders>
              <w:bottom w:val="single" w:sz="8" w:color="0000EE"/>
            </w:tcBorders>
            <w:gridSpan w:val="21"/>
          </w:tcPr>
          <w:p>
            <w:pPr>
              <w:spacing w:after="0"/>
              <w:rPr>
                <w:rFonts w:ascii="Arial" w:cs="Arial" w:eastAsia="Arial" w:hAnsi="Arial"/>
                <w:sz w:val="18"/>
                <w:szCs w:val="18"/>
                <w:b w:val="1"/>
                <w:bCs w:val="1"/>
                <w:color w:val="0000EE"/>
                <w:w w:val="91"/>
              </w:rPr>
            </w:pPr>
            <w:hyperlink w:anchor="page53">
              <w:r>
                <w:rPr>
                  <w:rFonts w:ascii="Arial" w:cs="Arial" w:eastAsia="Arial" w:hAnsi="Arial"/>
                  <w:sz w:val="18"/>
                  <w:szCs w:val="18"/>
                  <w:b w:val="1"/>
                  <w:bCs w:val="1"/>
                  <w:color w:val="0000EE"/>
                  <w:w w:val="91"/>
                </w:rPr>
                <w:t>Item 3. Quantitative and Qualitative Disclosures About Market Risk.</w:t>
              </w:r>
            </w:hyperlink>
          </w:p>
        </w:tc>
        <w:tc>
          <w:tcPr>
            <w:tcW w:w="3560" w:type="dxa"/>
            <w:vAlign w:val="bottom"/>
            <w:gridSpan w:val="6"/>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48</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53">
              <w:r>
                <w:rPr>
                  <w:rFonts w:ascii="Arial" w:cs="Arial" w:eastAsia="Arial" w:hAnsi="Arial"/>
                  <w:sz w:val="18"/>
                  <w:szCs w:val="18"/>
                  <w:b w:val="1"/>
                  <w:bCs w:val="1"/>
                  <w:color w:val="0000EE"/>
                  <w:w w:val="89"/>
                </w:rPr>
                <w:t>Item 4. Controls and Procedures.</w:t>
              </w:r>
            </w:hyperlink>
          </w:p>
        </w:tc>
        <w:tc>
          <w:tcPr>
            <w:tcW w:w="6320" w:type="dxa"/>
            <w:vAlign w:val="bottom"/>
            <w:gridSpan w:val="12"/>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48</w:t>
            </w:r>
          </w:p>
        </w:tc>
      </w:tr>
      <w:tr>
        <w:trPr>
          <w:trHeight w:val="412"/>
        </w:trPr>
        <w:tc>
          <w:tcPr>
            <w:tcW w:w="34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 Other Information</w:t>
              </w:r>
            </w:hyperlink>
          </w:p>
        </w:tc>
        <w:tc>
          <w:tcPr>
            <w:tcW w:w="202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1"/>
          </w:tcPr>
          <w:p>
            <w:pPr>
              <w:spacing w:after="0"/>
              <w:rPr>
                <w:rFonts w:ascii="Arial" w:cs="Arial" w:eastAsia="Arial" w:hAnsi="Arial"/>
                <w:sz w:val="18"/>
                <w:szCs w:val="18"/>
                <w:b w:val="1"/>
                <w:bCs w:val="1"/>
                <w:color w:val="0000EE"/>
                <w:w w:val="94"/>
              </w:rPr>
            </w:pPr>
            <w:hyperlink w:anchor="page53">
              <w:r>
                <w:rPr>
                  <w:rFonts w:ascii="Arial" w:cs="Arial" w:eastAsia="Arial" w:hAnsi="Arial"/>
                  <w:sz w:val="18"/>
                  <w:szCs w:val="18"/>
                  <w:b w:val="1"/>
                  <w:bCs w:val="1"/>
                  <w:color w:val="0000EE"/>
                  <w:w w:val="94"/>
                </w:rPr>
                <w:t>Item 1. Legal Proceedings.</w:t>
              </w:r>
            </w:hyperlink>
          </w:p>
        </w:tc>
        <w:tc>
          <w:tcPr>
            <w:tcW w:w="6700" w:type="dxa"/>
            <w:vAlign w:val="bottom"/>
            <w:gridSpan w:val="16"/>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48</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Item 1A. Risk Factors.</w:t>
              </w:r>
            </w:hyperlink>
          </w:p>
        </w:tc>
        <w:tc>
          <w:tcPr>
            <w:tcW w:w="6840" w:type="dxa"/>
            <w:vAlign w:val="bottom"/>
            <w:gridSpan w:val="18"/>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48</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8"/>
                <w:szCs w:val="18"/>
                <w:b w:val="1"/>
                <w:bCs w:val="1"/>
                <w:color w:val="0000EE"/>
                <w:w w:val="88"/>
              </w:rPr>
            </w:pPr>
            <w:hyperlink w:anchor="page54">
              <w:r>
                <w:rPr>
                  <w:rFonts w:ascii="Arial" w:cs="Arial" w:eastAsia="Arial" w:hAnsi="Arial"/>
                  <w:sz w:val="18"/>
                  <w:szCs w:val="18"/>
                  <w:b w:val="1"/>
                  <w:bCs w:val="1"/>
                  <w:color w:val="0000EE"/>
                  <w:w w:val="88"/>
                </w:rPr>
                <w:t>Item 2. Unregistered Sales of Equity Securities and Use of Proceeds.</w:t>
              </w:r>
            </w:hyperlink>
          </w:p>
        </w:tc>
        <w:tc>
          <w:tcPr>
            <w:tcW w:w="3660" w:type="dxa"/>
            <w:vAlign w:val="bottom"/>
            <w:gridSpan w:val="7"/>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49</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gridSpan w:val="27"/>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3. Defaults Upon Senior Securities.</w:t>
              </w:r>
            </w:hyperlink>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49</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4. (Removed and Reserved)</w:t>
              </w:r>
            </w:hyperlink>
          </w:p>
        </w:tc>
        <w:tc>
          <w:tcPr>
            <w:tcW w:w="5800" w:type="dxa"/>
            <w:vAlign w:val="bottom"/>
            <w:gridSpan w:val="9"/>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49</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5. Other Information.</w:t>
              </w:r>
            </w:hyperlink>
          </w:p>
        </w:tc>
        <w:tc>
          <w:tcPr>
            <w:tcW w:w="6360" w:type="dxa"/>
            <w:vAlign w:val="bottom"/>
            <w:gridSpan w:val="13"/>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49</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6. Exhibits.</w:t>
              </w:r>
            </w:hyperlink>
          </w:p>
        </w:tc>
        <w:tc>
          <w:tcPr>
            <w:tcW w:w="6800" w:type="dxa"/>
            <w:vAlign w:val="bottom"/>
            <w:gridSpan w:val="17"/>
          </w:tcPr>
          <w:p>
            <w:pPr>
              <w:spacing w:after="0"/>
              <w:rPr>
                <w:sz w:val="24"/>
                <w:szCs w:val="24"/>
                <w:color w:val="auto"/>
              </w:rPr>
            </w:pPr>
          </w:p>
        </w:tc>
        <w:tc>
          <w:tcPr>
            <w:tcW w:w="2020" w:type="dxa"/>
            <w:vAlign w:val="bottom"/>
          </w:tcPr>
          <w:p>
            <w:pPr>
              <w:jc w:val="right"/>
              <w:ind w:right="1550"/>
              <w:spacing w:after="0"/>
              <w:rPr>
                <w:sz w:val="20"/>
                <w:szCs w:val="20"/>
                <w:color w:val="auto"/>
              </w:rPr>
            </w:pPr>
            <w:r>
              <w:rPr>
                <w:rFonts w:ascii="Arial" w:cs="Arial" w:eastAsia="Arial" w:hAnsi="Arial"/>
                <w:sz w:val="18"/>
                <w:szCs w:val="18"/>
                <w:b w:val="1"/>
                <w:bCs w:val="1"/>
                <w:color w:val="auto"/>
              </w:rPr>
              <w:t>49</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0" w:type="dxa"/>
            <w:vAlign w:val="bottom"/>
            <w:gridSpan w:val="2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Exhibit 31.1</w:t>
            </w:r>
          </w:p>
        </w:tc>
        <w:tc>
          <w:tcPr>
            <w:tcW w:w="8140" w:type="dxa"/>
            <w:vAlign w:val="bottom"/>
            <w:gridSpan w:val="22"/>
          </w:tcPr>
          <w:p>
            <w:pPr>
              <w:spacing w:after="0"/>
              <w:rPr>
                <w:sz w:val="24"/>
                <w:szCs w:val="24"/>
                <w:color w:val="auto"/>
              </w:rPr>
            </w:pPr>
          </w:p>
        </w:tc>
        <w:tc>
          <w:tcPr>
            <w:tcW w:w="20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0000EE"/>
              </w:rPr>
              <w:t>Exhibit 31.2</w:t>
            </w:r>
          </w:p>
        </w:tc>
        <w:tc>
          <w:tcPr>
            <w:tcW w:w="20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Exhibit 32</w:t>
            </w:r>
          </w:p>
        </w:tc>
        <w:tc>
          <w:tcPr>
            <w:tcW w:w="8160" w:type="dxa"/>
            <w:vAlign w:val="bottom"/>
            <w:gridSpan w:val="23"/>
          </w:tcPr>
          <w:p>
            <w:pPr>
              <w:spacing w:after="0"/>
              <w:rPr>
                <w:sz w:val="17"/>
                <w:szCs w:val="17"/>
                <w:color w:val="auto"/>
              </w:rPr>
            </w:pPr>
          </w:p>
        </w:tc>
        <w:tc>
          <w:tcPr>
            <w:tcW w:w="2020" w:type="dxa"/>
            <w:vAlign w:val="bottom"/>
          </w:tcPr>
          <w:p>
            <w:pPr>
              <w:spacing w:after="0"/>
              <w:rPr>
                <w:sz w:val="17"/>
                <w:szCs w:val="17"/>
                <w:color w:val="auto"/>
              </w:rPr>
            </w:pPr>
          </w:p>
        </w:tc>
      </w:tr>
      <w:tr>
        <w:trPr>
          <w:trHeight w:val="817"/>
        </w:trPr>
        <w:tc>
          <w:tcPr>
            <w:tcW w:w="400" w:type="dxa"/>
            <w:vAlign w:val="bottom"/>
            <w:gridSpan w:val="3"/>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4620" w:type="dxa"/>
            <w:vAlign w:val="bottom"/>
            <w:gridSpan w:val="17"/>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Loans, including fees</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68,419</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80,874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211,245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244,445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Investment securities, including tax exempt of $279,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$328, $886 and $956</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18,820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46,743</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60,057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Federal funds sold, commercial paper and deposits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banks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100,601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260,404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305,949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5,304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Total deposit interest expense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65,085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Federal funds purchased, repurchase agreements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3,162</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2,747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38,177</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78,988</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181,416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187,000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Net interest revenue after provision for loan losses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Mortgage loan and other 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5,151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Securities gains,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2,552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from acquisition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Losses from prepayment of borrowings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Total fee revenue</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(19,187)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Communications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3,640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10,404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Advertising and public relations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6,238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Foreclosed property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10,448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12,707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210,590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210,590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Severance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433,973</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Loss from continuing operations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(253,632)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(403,451)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(17,217)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(26,832)</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(73,046)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(58,371)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loss from continuing operations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(236,415)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(68,781)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(330,405)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(Loss) income from discontinued operations, net of</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Gain from sale of subsidiary, net of income taxes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selling costs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(236,415)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(68,718)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(329,240)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(188,492)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dividends and discount accretion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loss available to common shareholders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(238,996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(336,970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Loss from continuing operations per common share —</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 Diluted</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Loss per common share — Basic / Diluted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w w:val="92"/>
              </w:rPr>
              <w:t>Weighted average common shares outstanding — Basic /</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94,679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5" w:lineRule="exact"/>
              <w:rPr>
                <w:sz w:val="20"/>
                <w:szCs w:val="20"/>
                <w:color w:val="auto"/>
              </w:rPr>
            </w:pPr>
            <w:r>
              <w:rPr>
                <w:rFonts w:ascii="Arial" w:cs="Arial" w:eastAsia="Arial" w:hAnsi="Arial"/>
                <w:sz w:val="18"/>
                <w:szCs w:val="18"/>
                <w:color w:val="auto"/>
              </w:rPr>
              <w:t>49,771</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94,527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bl>
    <w:p>
      <w:pPr>
        <w:sectPr>
          <w:pgSz w:w="11900" w:h="16900" w:orient="portrait"/>
          <w:cols w:equalWidth="0" w:num="1">
            <w:col w:w="10219"/>
          </w:cols>
          <w:pgMar w:left="240" w:top="405" w:right="1440" w:bottom="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-114300</wp:posOffset>
            </wp:positionV>
            <wp:extent cx="61747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ectPr>
          <w:pgSz w:w="11900" w:h="16838" w:orient="portrait"/>
          <w:cols w:equalWidth="0" w:num="1">
            <w:col w:w="9679"/>
          </w:cols>
          <w:pgMar w:left="780" w:top="125" w:right="1440" w:bottom="1440" w:gutter="0" w:footer="0" w:header="0"/>
        </w:sectPr>
      </w:pPr>
    </w:p>
    <w:p>
      <w:pPr>
        <w:spacing w:after="0" w:line="196"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79"/>
          </w:cols>
          <w:pgMar w:left="780" w:top="12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340" w:type="dxa"/>
            <w:vAlign w:val="bottom"/>
          </w:tcPr>
          <w:p>
            <w:pPr>
              <w:spacing w:after="0"/>
              <w:rPr>
                <w:sz w:val="20"/>
                <w:szCs w:val="20"/>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104,033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126,265</w:t>
            </w:r>
          </w:p>
        </w:tc>
        <w:tc>
          <w:tcPr>
            <w:tcW w:w="18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195,559</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64,408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78,589</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w w:val="98"/>
              </w:rPr>
              <w:t>Federal funds sold, commercial paper and short-term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397,361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671,509</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1,053,518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1,530,047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1,532,514</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held to maturity (fair value $263,012)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256,694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20,630</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20,460</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5,151,476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5,362,689</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155,602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150,187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Loans,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4,995,874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5,212,502</w:t>
            </w:r>
          </w:p>
        </w:tc>
      </w:tr>
      <w:tr>
        <w:trPr>
          <w:trHeight w:val="432"/>
        </w:trPr>
        <w:tc>
          <w:tcPr>
            <w:tcW w:w="340" w:type="dxa"/>
            <w:vAlign w:val="bottom"/>
          </w:tcPr>
          <w:p>
            <w:pPr>
              <w:spacing w:after="0"/>
              <w:rPr>
                <w:sz w:val="24"/>
                <w:szCs w:val="24"/>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Assets covered by loss sharing agreements with the FDIC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144,581</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185,938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197,914</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178,842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179,467</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Accrued interest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24,672</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35,679</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226,008</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Foreclosed property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129,964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110,610</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330,020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256,954</w:t>
            </w:r>
          </w:p>
        </w:tc>
      </w:tr>
      <w:tr>
        <w:trPr>
          <w:trHeight w:val="223"/>
        </w:trPr>
        <w:tc>
          <w:tcPr>
            <w:tcW w:w="340" w:type="dxa"/>
            <w:vAlign w:val="bottom"/>
          </w:tcPr>
          <w:p>
            <w:pPr>
              <w:spacing w:after="0"/>
              <w:rPr>
                <w:sz w:val="19"/>
                <w:szCs w:val="19"/>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7,013,049</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8,443,617</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Demand</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783,251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707,826</w:t>
            </w:r>
          </w:p>
        </w:tc>
        <w:tc>
          <w:tcPr>
            <w:tcW w:w="18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703,054</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1,318,264</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804,644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713,901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687,780</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180,738</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Time: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Less than $100,000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1,498,379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1,746,511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1,854,726</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800"/>
              <w:spacing w:after="0"/>
              <w:rPr>
                <w:sz w:val="20"/>
                <w:szCs w:val="20"/>
                <w:color w:val="auto"/>
              </w:rPr>
            </w:pPr>
            <w:r>
              <w:rPr>
                <w:rFonts w:ascii="Arial" w:cs="Arial" w:eastAsia="Arial" w:hAnsi="Arial"/>
                <w:sz w:val="18"/>
                <w:szCs w:val="18"/>
                <w:color w:val="auto"/>
              </w:rPr>
              <w:t>Greater than $100,000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1,033,132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1,187,499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1,237,172</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Brokered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354,243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839,572</w:t>
            </w:r>
          </w:p>
        </w:tc>
      </w:tr>
      <w:tr>
        <w:trPr>
          <w:trHeight w:val="224"/>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ind w:left="400"/>
              <w:spacing w:after="0"/>
              <w:rPr>
                <w:sz w:val="20"/>
                <w:szCs w:val="20"/>
                <w:color w:val="auto"/>
              </w:rPr>
            </w:pPr>
            <w:r>
              <w:rPr>
                <w:rFonts w:ascii="Arial" w:cs="Arial" w:eastAsia="Arial" w:hAnsi="Arial"/>
                <w:sz w:val="18"/>
                <w:szCs w:val="18"/>
                <w:color w:val="auto"/>
              </w:rPr>
              <w:t>Total deposits</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5,998,637</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6,627,834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6,821,306</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Federal funds purchased, repurchase agreements, and other short-term</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103,780</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101,951</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55,125</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114,501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314,704</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150,126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150,046</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48,972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6,350,574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7,436,979</w:t>
            </w:r>
          </w:p>
        </w:tc>
      </w:tr>
      <w:tr>
        <w:trPr>
          <w:trHeight w:val="439"/>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w w:val="94"/>
              </w:rPr>
              <w:t>Series A; $10 stated value; 21,700 shares issued and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Series B; $1,000 stated value; 180,000 shares issued and outstanding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175,378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174,095</w:t>
            </w:r>
          </w:p>
        </w:tc>
      </w:tr>
      <w:tr>
        <w:trPr>
          <w:trHeight w:val="202"/>
        </w:trPr>
        <w:tc>
          <w:tcPr>
            <w:tcW w:w="340" w:type="dxa"/>
            <w:vAlign w:val="bottom"/>
          </w:tcPr>
          <w:p>
            <w:pPr>
              <w:spacing w:after="0"/>
              <w:rPr>
                <w:sz w:val="17"/>
                <w:szCs w:val="17"/>
                <w:color w:val="auto"/>
              </w:rPr>
            </w:pPr>
          </w:p>
        </w:tc>
        <w:tc>
          <w:tcPr>
            <w:tcW w:w="5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$1 par value; 200,000,000 shares authorized;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94,433,300, 94,045,603 and 93,901,492 shares issued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94,433</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94,046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93,901</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305,594, 221,906 and 196,818 shares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664,605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622,034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620,494</w:t>
            </w: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 retained earnings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(316,587)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62,786</w:t>
            </w: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51,674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1,006,638</w:t>
            </w:r>
          </w:p>
        </w:tc>
      </w:tr>
      <w:tr>
        <w:trPr>
          <w:trHeight w:val="223"/>
        </w:trPr>
        <w:tc>
          <w:tcPr>
            <w:tcW w:w="340" w:type="dxa"/>
            <w:vAlign w:val="bottom"/>
          </w:tcPr>
          <w:p>
            <w:pPr>
              <w:spacing w:after="0"/>
              <w:rPr>
                <w:sz w:val="19"/>
                <w:szCs w:val="19"/>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7,013,049</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8,443,617</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1084"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84"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4"/>
                <w:szCs w:val="14"/>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Common</w:t>
            </w:r>
          </w:p>
        </w:tc>
        <w:tc>
          <w:tcPr>
            <w:tcW w:w="7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Deficit)</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Retained</w:t>
            </w:r>
          </w:p>
        </w:tc>
        <w:tc>
          <w:tcPr>
            <w:tcW w:w="620" w:type="dxa"/>
            <w:vAlign w:val="bottom"/>
            <w:gridSpan w:val="3"/>
            <w:vMerge w:val="continue"/>
          </w:tcPr>
          <w:p>
            <w:pPr>
              <w:spacing w:after="0"/>
              <w:rPr>
                <w:sz w:val="12"/>
                <w:szCs w:val="12"/>
                <w:color w:val="auto"/>
              </w:rPr>
            </w:pP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Issuable</w:t>
            </w:r>
          </w:p>
        </w:tc>
        <w:tc>
          <w:tcPr>
            <w:tcW w:w="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Surplus</w:t>
            </w:r>
          </w:p>
        </w:tc>
        <w:tc>
          <w:tcPr>
            <w:tcW w:w="100" w:type="dxa"/>
            <w:vAlign w:val="bottom"/>
          </w:tcPr>
          <w:p>
            <w:pPr>
              <w:spacing w:after="0"/>
              <w:rPr>
                <w:sz w:val="14"/>
                <w:szCs w:val="1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2008</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$ 173,180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48,809</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2,908</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$ 460,708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265,405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(16,465)</w:t>
            </w: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989,382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(188,492)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(188,492)</w:t>
            </w:r>
          </w:p>
        </w:tc>
        <w:tc>
          <w:tcPr>
            <w:tcW w:w="0" w:type="dxa"/>
            <w:vAlign w:val="bottom"/>
          </w:tcPr>
          <w:p>
            <w:pPr>
              <w:spacing w:after="0"/>
              <w:rPr>
                <w:sz w:val="1"/>
                <w:szCs w:val="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2"/>
              </w:rPr>
              <w:t>for sale securities, net of deferred tax</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expense and reclassification</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14,223</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14,223</w:t>
            </w:r>
          </w:p>
        </w:tc>
        <w:tc>
          <w:tcPr>
            <w:tcW w:w="0" w:type="dxa"/>
            <w:vAlign w:val="bottom"/>
          </w:tcPr>
          <w:p>
            <w:pPr>
              <w:spacing w:after="0"/>
              <w:rPr>
                <w:sz w:val="1"/>
                <w:szCs w:val="1"/>
                <w:color w:val="auto"/>
              </w:rPr>
            </w:pPr>
          </w:p>
        </w:tc>
      </w:tr>
      <w:tr>
        <w:trPr>
          <w:trHeight w:val="130"/>
        </w:trPr>
        <w:tc>
          <w:tcPr>
            <w:tcW w:w="2760" w:type="dxa"/>
            <w:vAlign w:val="bottom"/>
          </w:tcPr>
          <w:p>
            <w:pPr>
              <w:ind w:left="400"/>
              <w:spacing w:after="0" w:line="130" w:lineRule="exact"/>
              <w:rPr>
                <w:sz w:val="20"/>
                <w:szCs w:val="20"/>
                <w:color w:val="auto"/>
              </w:rPr>
            </w:pPr>
            <w:r>
              <w:rPr>
                <w:rFonts w:ascii="Arial" w:cs="Arial" w:eastAsia="Arial" w:hAnsi="Arial"/>
                <w:sz w:val="14"/>
                <w:szCs w:val="14"/>
                <w:color w:val="auto"/>
                <w:w w:val="93"/>
              </w:rPr>
              <w:t>Unrealized losses on derivative financial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600"/>
              <w:spacing w:after="0" w:line="149" w:lineRule="exact"/>
              <w:rPr>
                <w:sz w:val="20"/>
                <w:szCs w:val="20"/>
                <w:color w:val="auto"/>
              </w:rPr>
            </w:pPr>
            <w:r>
              <w:rPr>
                <w:rFonts w:ascii="Arial" w:cs="Arial" w:eastAsia="Arial" w:hAnsi="Arial"/>
                <w:sz w:val="14"/>
                <w:szCs w:val="14"/>
                <w:color w:val="auto"/>
                <w:w w:val="98"/>
              </w:rPr>
              <w:t>instruments qualifying as cash flow</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600"/>
              <w:spacing w:after="0"/>
              <w:rPr>
                <w:sz w:val="20"/>
                <w:szCs w:val="20"/>
                <w:color w:val="auto"/>
              </w:rPr>
            </w:pPr>
            <w:r>
              <w:rPr>
                <w:rFonts w:ascii="Arial" w:cs="Arial" w:eastAsia="Arial" w:hAnsi="Arial"/>
                <w:sz w:val="14"/>
                <w:szCs w:val="14"/>
                <w:color w:val="auto"/>
              </w:rPr>
              <w:t>hedges, net of deferred tax benefit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(17,128)</w:t>
            </w: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(17,128)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(188,492)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(191,397)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w w:val="99"/>
              </w:rPr>
              <w:t>Retirement of preferred stock (4,100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dividends declared on common stock</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(1,111,522 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(6,731)</w:t>
            </w: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(6,451)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12,649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Exercise of stock options (437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Common stock issued to dividend reinvestment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plan and employee benefit plans (256,990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(1,978)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3,434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Common stock issued (44,505,000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44,505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166,394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210,899</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stock option and restricted</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Vesting of restricted stock (12,447 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issued, 16,162 shares deferred)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416</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 equivalents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w w:val="91"/>
              </w:rPr>
              <w:t>Shares issued from deferred compensation plan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(5,687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(155)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on option exercise and restricted stock</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w w:val="92"/>
              </w:rPr>
              <w:t>Dividends on Series A preferred stock ($.45 per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 (5%)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2009</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$ 174,095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$ 620,494</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62,786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51,674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1,006,638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$ 174,408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94,046</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3,597</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$ 622,034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20,384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962,321</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(329,240)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(329,240)</w:t>
            </w:r>
          </w:p>
        </w:tc>
        <w:tc>
          <w:tcPr>
            <w:tcW w:w="0" w:type="dxa"/>
            <w:vAlign w:val="bottom"/>
          </w:tcPr>
          <w:p>
            <w:pPr>
              <w:spacing w:after="0"/>
              <w:rPr>
                <w:sz w:val="1"/>
                <w:szCs w:val="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2"/>
              </w:rPr>
              <w:t>for sale securities, net of deferred tax</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benefit and reclassification</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ind w:left="400"/>
              <w:spacing w:after="0" w:line="130" w:lineRule="exact"/>
              <w:rPr>
                <w:sz w:val="20"/>
                <w:szCs w:val="20"/>
                <w:color w:val="auto"/>
              </w:rPr>
            </w:pPr>
            <w:r>
              <w:rPr>
                <w:rFonts w:ascii="Arial" w:cs="Arial" w:eastAsia="Arial" w:hAnsi="Arial"/>
                <w:sz w:val="14"/>
                <w:szCs w:val="14"/>
                <w:color w:val="auto"/>
                <w:w w:val="93"/>
              </w:rPr>
              <w:t>Unrealized losses on derivative financial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600"/>
              <w:spacing w:after="0" w:line="149" w:lineRule="exact"/>
              <w:rPr>
                <w:sz w:val="20"/>
                <w:szCs w:val="20"/>
                <w:color w:val="auto"/>
              </w:rPr>
            </w:pPr>
            <w:r>
              <w:rPr>
                <w:rFonts w:ascii="Arial" w:cs="Arial" w:eastAsia="Arial" w:hAnsi="Arial"/>
                <w:sz w:val="14"/>
                <w:szCs w:val="14"/>
                <w:color w:val="auto"/>
                <w:w w:val="98"/>
              </w:rPr>
              <w:t>instruments qualifying as cash flow</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600"/>
              <w:spacing w:after="0"/>
              <w:rPr>
                <w:sz w:val="20"/>
                <w:szCs w:val="20"/>
                <w:color w:val="auto"/>
              </w:rPr>
            </w:pPr>
            <w:r>
              <w:rPr>
                <w:rFonts w:ascii="Arial" w:cs="Arial" w:eastAsia="Arial" w:hAnsi="Arial"/>
                <w:sz w:val="14"/>
                <w:szCs w:val="14"/>
                <w:color w:val="auto"/>
              </w:rPr>
              <w:t>hedges, net of deferred tax benefit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(7,906)</w:t>
            </w: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(7,906)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(329,240)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(7,167)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(336,407)</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w w:val="94"/>
              </w:rPr>
              <w:t>Issuance of equity instruments in private equity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transaction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39,813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39,813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Common stock issued to dividend reinvestment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plan and employee benefit plans (361,405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Amortization of stock options and restricted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1,887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stock (10,565 shares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issued, 41,522 shares deferred)</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dividend equivalents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Shares issued from deferred compensation plan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(15,727 shares)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w w:val="92"/>
              </w:rPr>
              <w:t>Dividends on Series A preferred stock ($.45 per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 (5%)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September 30, 2010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$ 175,378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94,433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$ 664,605</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(316,587</w:t>
            </w:r>
          </w:p>
        </w:tc>
        <w:tc>
          <w:tcPr>
            <w:tcW w:w="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40,468</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662,475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Comprehensive loss for the third quarter of 2010 and 2009 was $240,672,000 and $58,860,000, respectively.</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(329,240)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(188,492)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210,590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Securities gains,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(2,552)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Losses on sale of 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Losses and write downs on sales other real estate owned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33,477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from sale of subsidiary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Gain from acquisition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Loss on prepayment of borrowings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(17,572)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Mortgage loans held for sale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9,596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148,714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securities held to maturity: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81,384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 of securities held to maturity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Investment securities available for sale: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sales of securities available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634,305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523,180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 of securities available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(544,793)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(672,927)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decrease (increase) in loans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90,293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Purchases of premises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(5,057)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received from sale of subsidiary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cash received from acquisition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received from sale of nonperforming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110,459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103,991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441,532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(625,437)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(489,874)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Net change in federal funds purchased, repurchase agreements, and other short-term</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2,391</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FHLB advances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Repayments of FHLB advances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(61,181)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(303,322)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 benefit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1,395</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210,899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Redemption of preferred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dividends on preferred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(6,761)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(689,593)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(99,347)</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178,088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376,367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277,020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(37,194)</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(24,555)</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7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7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2009 annual report filed on Form 10-K.</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6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United records all derivative financial instruments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w:t>
      </w:r>
    </w:p>
    <w:p>
      <w:pPr>
        <w:spacing w:after="0" w:line="139"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 xml:space="preserve">Foreclosed property is initially recorded at fair value, less cost to sell. If the fair value, less cost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6"/>
          <w:szCs w:val="16"/>
          <w:i w:val="1"/>
          <w:iCs w:val="1"/>
          <w:color w:val="auto"/>
        </w:rPr>
        <w:t>Real Estate Sales.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Accounting Standards Updates</w:t>
      </w:r>
    </w:p>
    <w:p>
      <w:pPr>
        <w:spacing w:after="0" w:line="202"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 xml:space="preserve">In August 2010, the FASB issued Accounting Standards Update No. 2010-21, </w:t>
      </w:r>
      <w:r>
        <w:rPr>
          <w:rFonts w:ascii="Arial" w:cs="Arial" w:eastAsia="Arial" w:hAnsi="Arial"/>
          <w:sz w:val="18"/>
          <w:szCs w:val="18"/>
          <w:i w:val="1"/>
          <w:iCs w:val="1"/>
          <w:color w:val="auto"/>
        </w:rPr>
        <w:t>Accounting for Technical Amendments to Various SEC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Rules and Schedules </w:t>
      </w:r>
      <w:r>
        <w:rPr>
          <w:rFonts w:ascii="Arial" w:cs="Arial" w:eastAsia="Arial" w:hAnsi="Arial"/>
          <w:sz w:val="18"/>
          <w:szCs w:val="18"/>
          <w:color w:val="auto"/>
        </w:rPr>
        <w:t>(“ASU No. 2010-21”). ASU No. 2010-21 codifies amendments to SEC paragraphs pursuant to Release No. 33-9026: Technical Amendments to Rules, Forms, Schedules and Codification of Financial Reporting Policies. This guidance was effective upon issuance and is not expected to have a material impact on United’s results of operations, financial position or disclosures.</w:t>
      </w:r>
    </w:p>
    <w:p>
      <w:pPr>
        <w:spacing w:after="0" w:line="148"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 xml:space="preserve">In August 2010, the FASB issued Accounting Standards Update No. 2010-22, </w:t>
      </w:r>
      <w:r>
        <w:rPr>
          <w:rFonts w:ascii="Arial" w:cs="Arial" w:eastAsia="Arial" w:hAnsi="Arial"/>
          <w:sz w:val="17"/>
          <w:szCs w:val="17"/>
          <w:i w:val="1"/>
          <w:iCs w:val="1"/>
          <w:color w:val="auto"/>
        </w:rPr>
        <w:t>Accounting for Various Topics — Technical Corrections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SEC Paragraphs </w:t>
      </w:r>
      <w:r>
        <w:rPr>
          <w:rFonts w:ascii="Arial" w:cs="Arial" w:eastAsia="Arial" w:hAnsi="Arial"/>
          <w:sz w:val="17"/>
          <w:szCs w:val="17"/>
          <w:color w:val="auto"/>
        </w:rPr>
        <w:t>(“ASU No. 2010-22”). ASU No. 2010-22 codifies amendments to various SEC paragraphs based on external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comments received and the issuance of Staff Accounting Bulletin (“SAB”) No. 112, which primarily related to Business Combinations and Noncontrolling Interests in Consolidated Financial Statements. This guidance was effective upon issuance and is not expected to have a material impact on United’s results of operations, financial position or disclosures.</w:t>
      </w:r>
    </w:p>
    <w:p>
      <w:pPr>
        <w:spacing w:after="0" w:line="13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 xml:space="preserve">In August 2010, the FASB issued Accounting Standards Update No. 2010-23, </w:t>
      </w:r>
      <w:r>
        <w:rPr>
          <w:rFonts w:ascii="Arial" w:cs="Arial" w:eastAsia="Arial" w:hAnsi="Arial"/>
          <w:sz w:val="17"/>
          <w:szCs w:val="17"/>
          <w:i w:val="1"/>
          <w:iCs w:val="1"/>
          <w:color w:val="auto"/>
        </w:rPr>
        <w:t>Health Care Entities — Measuring Charity Care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w:t>
      </w:r>
      <w:r>
        <w:rPr>
          <w:rFonts w:ascii="Arial" w:cs="Arial" w:eastAsia="Arial" w:hAnsi="Arial"/>
          <w:sz w:val="17"/>
          <w:szCs w:val="17"/>
          <w:color w:val="auto"/>
        </w:rPr>
        <w:t>(“ASU No. 2010-23”). ASU No. 2010-23 requires that cost be used as the measurement basis for charity care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and that cost be identified as the direct and indirect costs of providing the charity care. This guidance is effective for fiscal years beginning after December 15, 2010. ASU No. 2010-23 is not applicable to United.</w:t>
      </w:r>
    </w:p>
    <w:p>
      <w:pPr>
        <w:spacing w:after="0" w:line="14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 xml:space="preserve">In August 2010, the FASB issued Accounting Standards Update No. 2010-24, </w:t>
      </w:r>
      <w:r>
        <w:rPr>
          <w:rFonts w:ascii="Arial" w:cs="Arial" w:eastAsia="Arial" w:hAnsi="Arial"/>
          <w:sz w:val="18"/>
          <w:szCs w:val="18"/>
          <w:i w:val="1"/>
          <w:iCs w:val="1"/>
          <w:color w:val="auto"/>
        </w:rPr>
        <w:t>Health Care Entities — Presentation of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Claims and Related Insurance Recoveries </w:t>
      </w:r>
      <w:r>
        <w:rPr>
          <w:rFonts w:ascii="Arial" w:cs="Arial" w:eastAsia="Arial" w:hAnsi="Arial"/>
          <w:sz w:val="18"/>
          <w:szCs w:val="18"/>
          <w:color w:val="auto"/>
        </w:rPr>
        <w:t>(“ASU No. 2010-24”). ASU No. 2010-24 clarifies that a health care entity should not net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recoveries against a related claim liability. Additionally, the amount of the claim liability should be determined without consideration of insurance recoveries. This guidance is effective for fiscal years and interim periods within those years beginning after December 15, 2010. ASU No. 2010-24 is not applicable to United.</w:t>
      </w:r>
    </w:p>
    <w:p>
      <w:pPr>
        <w:spacing w:after="0" w:line="148"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 xml:space="preserve">In September 2010, the FASB issued Accounting Standards Update No. 2010-25, </w:t>
      </w:r>
      <w:r>
        <w:rPr>
          <w:rFonts w:ascii="Arial" w:cs="Arial" w:eastAsia="Arial" w:hAnsi="Arial"/>
          <w:sz w:val="18"/>
          <w:szCs w:val="18"/>
          <w:i w:val="1"/>
          <w:iCs w:val="1"/>
          <w:color w:val="auto"/>
        </w:rPr>
        <w:t>Reporting Loans to Participants By Defined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 Pension Plans </w:t>
      </w:r>
      <w:r>
        <w:rPr>
          <w:rFonts w:ascii="Arial" w:cs="Arial" w:eastAsia="Arial" w:hAnsi="Arial"/>
          <w:sz w:val="18"/>
          <w:szCs w:val="18"/>
          <w:color w:val="auto"/>
        </w:rPr>
        <w:t>(“ASU No. 2010-25”). ASU No. 2010-25 requires that participant loans be classified as notes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from participants, which are segregated from plan investments and measured at their unpaid principal balance plus any accrued but unpaid interest. This guidance is effective for fiscal years ending after December 31, 2010 and should be applied retrospectively to all prior periods presented. ASU No. 2010-25 is not applicable to United.</w:t>
      </w:r>
    </w:p>
    <w:p>
      <w:pPr>
        <w:sectPr>
          <w:pgSz w:w="11900" w:h="16838" w:orient="portrait"/>
          <w:cols w:equalWidth="0" w:num="1">
            <w:col w:w="10219"/>
          </w:cols>
          <w:pgMar w:left="240" w:top="419" w:right="1440" w:bottom="69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92"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 xml:space="preserve">In October 2010, the FASB issued Accounting Standards Update No. 2010-26, </w:t>
      </w:r>
      <w:r>
        <w:rPr>
          <w:rFonts w:ascii="Arial" w:cs="Arial" w:eastAsia="Arial" w:hAnsi="Arial"/>
          <w:sz w:val="18"/>
          <w:szCs w:val="18"/>
          <w:i w:val="1"/>
          <w:iCs w:val="1"/>
          <w:color w:val="auto"/>
        </w:rPr>
        <w:t>Accounting for Costs Associated with Acquiring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Renewing Insurance Contracts </w:t>
      </w:r>
      <w:r>
        <w:rPr>
          <w:rFonts w:ascii="Arial" w:cs="Arial" w:eastAsia="Arial" w:hAnsi="Arial"/>
          <w:sz w:val="18"/>
          <w:szCs w:val="18"/>
          <w:color w:val="auto"/>
        </w:rPr>
        <w:t>(“ASU No. 2010-26”). ASU No. 2010-26 clarifies which costs relating to the acquisition of new or</w:t>
      </w:r>
      <w:r>
        <w:rPr>
          <w:rFonts w:ascii="Arial" w:cs="Arial" w:eastAsia="Arial" w:hAnsi="Arial"/>
          <w:sz w:val="18"/>
          <w:szCs w:val="18"/>
          <w:i w:val="1"/>
          <w:iCs w:val="1"/>
          <w:color w:val="auto"/>
        </w:rPr>
        <w:t xml:space="preserve"> </w:t>
      </w:r>
      <w:r>
        <w:rPr>
          <w:rFonts w:ascii="Arial" w:cs="Arial" w:eastAsia="Arial" w:hAnsi="Arial"/>
          <w:sz w:val="18"/>
          <w:szCs w:val="18"/>
          <w:color w:val="auto"/>
        </w:rPr>
        <w:t>renewal insurance qualify for deferral (deferred acquisition costs), and which should be expensed as incurred. This guidance is effective for fiscal years, and interim periods within those fiscal years, beginning after December 15, 2011. ASU No. 2010-26 is not applicable to United.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Mergers and Acquisitions</w:t>
      </w:r>
    </w:p>
    <w:p>
      <w:pPr>
        <w:spacing w:after="0" w:line="189"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On June 19, 2009, United Community Bank (“UCB” or the “Bank”) purchased substantially all the assets and assumed substantially all the liabilities of Southern Community Bank (“SCB”) from the Federal Deposit Insurance Corporation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June 19, 2009. UCB submitted a bid for the acquisition of SCB with the FDIC and the FDIC accepted the bid on June 16, 2009. The transaction resulted in a cash payment of $31 million from the FDIC to UCB. Further,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Under the loss sharing agreement, the portion of the losses expected to be indemnified by FDIC is considered an indemnification asset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53"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shows the components of covered assets at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Impaired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Loans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5,693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5,693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14,275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9,758</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23"/>
        </w:trPr>
        <w:tc>
          <w:tcPr>
            <w:tcW w:w="428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69,117</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75,168</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Covered forclosed property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29,580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39,833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39,833</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144,581</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14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 xml:space="preserve">On the acquisition date, the preliminary estimate of the contractually required payments receivable for all ASC 310-30 </w:t>
      </w:r>
      <w:r>
        <w:rPr>
          <w:rFonts w:ascii="Arial" w:cs="Arial" w:eastAsia="Arial" w:hAnsi="Arial"/>
          <w:sz w:val="16"/>
          <w:szCs w:val="16"/>
          <w:i w:val="1"/>
          <w:iCs w:val="1"/>
          <w:color w:val="auto"/>
        </w:rPr>
        <w:t>Loans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Debt Securities Acquired with Deteriorated Credit Quality </w:t>
      </w:r>
      <w:r>
        <w:rPr>
          <w:rFonts w:ascii="Arial" w:cs="Arial" w:eastAsia="Arial" w:hAnsi="Arial"/>
          <w:sz w:val="16"/>
          <w:szCs w:val="16"/>
          <w:color w:val="auto"/>
        </w:rPr>
        <w:t>loans acquired was $70.8 million, the cash flows expected to be collected</w:t>
      </w:r>
      <w:r>
        <w:rPr>
          <w:rFonts w:ascii="Arial" w:cs="Arial" w:eastAsia="Arial" w:hAnsi="Arial"/>
          <w:sz w:val="16"/>
          <w:szCs w:val="16"/>
          <w:i w:val="1"/>
          <w:iCs w:val="1"/>
          <w:color w:val="auto"/>
        </w:rPr>
        <w:t xml:space="preserve"> </w:t>
      </w:r>
      <w:r>
        <w:rPr>
          <w:rFonts w:ascii="Arial" w:cs="Arial" w:eastAsia="Arial" w:hAnsi="Arial"/>
          <w:sz w:val="16"/>
          <w:szCs w:val="16"/>
          <w:color w:val="auto"/>
        </w:rPr>
        <w:t>were $24.5 million including interest, and the estimated fair value of the loans was $23.6 million. These amounts were determined based upon the estimated remaining life of the underlying loans, which include the effects of estimated prepayments. A majority of these loans were valued based on the liquidation value of the underlying collateral, because the expected cash flows are primarily based on the liquidation of the underlying collateral and the timing and amount of the cash flows could not be reasonably estimated.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Securities</w:t>
      </w:r>
    </w:p>
    <w:p>
      <w:pPr>
        <w:spacing w:after="0" w:line="189"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During the second quarter of 2010, securities available for sale with a fair value of $315 million were transferred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 Securities are classified as held to maturity when management has the positive intent and ability to hold them until maturity. Securities held to maturity are carried at amortized cost.</w:t>
      </w:r>
    </w:p>
    <w:p>
      <w:pPr>
        <w:spacing w:after="0" w:line="13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 to maturity at September 30,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Amortized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September 30, 2010</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Gains</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32,023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223,904</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256,694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6,324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263,012</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securities classified as held to maturity at December 31, 2009 or September 30, 2009.</w:t>
      </w:r>
    </w:p>
    <w:p>
      <w:pPr>
        <w:spacing w:after="0" w:line="185"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September 30, 2010, December 31, 2009 and September 30, 2009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Amortized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r>
      <w:tr>
        <w:trPr>
          <w:trHeight w:val="230"/>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127,989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128,703</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30,637</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762,322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35,060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797,321</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96,857</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1,017,452</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37,269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1,053,518</w:t>
            </w:r>
          </w:p>
        </w:tc>
      </w:tr>
      <w:tr>
        <w:trPr>
          <w:trHeight w:val="20"/>
        </w:trPr>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248,425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2,173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246,466</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63,293</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1,156,035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43,007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1,820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1,197,222</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23,066</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1,489,207</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44,974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4,134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1,530,047</w:t>
            </w:r>
          </w:p>
        </w:tc>
      </w:tr>
      <w:tr>
        <w:trPr>
          <w:trHeight w:val="20"/>
        </w:trPr>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2009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207,956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206,847</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53,852</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1,208,223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41,185</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1,247,648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24,167</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1,492,210</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43,741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1,532,514</w:t>
            </w:r>
          </w:p>
        </w:tc>
      </w:tr>
      <w:tr>
        <w:trPr>
          <w:trHeight w:val="20"/>
        </w:trPr>
        <w:tc>
          <w:tcPr>
            <w:tcW w:w="4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6"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color w:val="auto"/>
        </w:rPr>
        <w:t xml:space="preserve">The following table summarizes held to maturity securities in an unrealized loss position as of September 30,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3"/>
              </w:rPr>
              <w:t>Less than 12 Months</w:t>
            </w:r>
          </w:p>
        </w:tc>
        <w:tc>
          <w:tcPr>
            <w:tcW w:w="1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6"/>
              </w:rPr>
              <w:t>12 Months or More</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September 30, 2010</w:t>
            </w:r>
          </w:p>
        </w:tc>
        <w:tc>
          <w:tcPr>
            <w:tcW w:w="30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Fair Value</w:t>
            </w:r>
          </w:p>
        </w:tc>
        <w:tc>
          <w:tcPr>
            <w:tcW w:w="400" w:type="dxa"/>
            <w:vAlign w:val="bottom"/>
            <w:gridSpan w:val="2"/>
          </w:tcPr>
          <w:p>
            <w:pPr>
              <w:spacing w:after="0"/>
              <w:rPr>
                <w:sz w:val="20"/>
                <w:szCs w:val="20"/>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Loss</w:t>
            </w:r>
          </w:p>
        </w:tc>
        <w:tc>
          <w:tcPr>
            <w:tcW w:w="1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Fair Value</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Loss</w:t>
            </w:r>
          </w:p>
        </w:tc>
        <w:tc>
          <w:tcPr>
            <w:tcW w:w="100" w:type="dxa"/>
            <w:vAlign w:val="bottom"/>
          </w:tcPr>
          <w:p>
            <w:pPr>
              <w:spacing w:after="0"/>
              <w:rPr>
                <w:sz w:val="20"/>
                <w:szCs w:val="20"/>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September 30, 2010, December 31, 2009 and September 30,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color w:val="auto"/>
                <w:w w:val="94"/>
              </w:rPr>
              <w:t>Less than 12 Months</w:t>
            </w:r>
          </w:p>
        </w:tc>
        <w:tc>
          <w:tcPr>
            <w:tcW w:w="180" w:type="dxa"/>
            <w:vAlign w:val="bottom"/>
          </w:tcPr>
          <w:p>
            <w:pPr>
              <w:spacing w:after="0"/>
              <w:rPr>
                <w:sz w:val="20"/>
                <w:szCs w:val="20"/>
                <w:color w:val="auto"/>
              </w:rPr>
            </w:pPr>
          </w:p>
        </w:tc>
        <w:tc>
          <w:tcPr>
            <w:tcW w:w="2140" w:type="dxa"/>
            <w:vAlign w:val="bottom"/>
            <w:gridSpan w:val="6"/>
          </w:tcPr>
          <w:p>
            <w:pPr>
              <w:ind w:left="80"/>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Loss</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Fair Value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Loss</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59,864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75,661</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As of December 31, 2009</w:t>
            </w:r>
          </w:p>
        </w:tc>
        <w:tc>
          <w:tcPr>
            <w:tcW w:w="30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720" w:type="dxa"/>
            <w:vAlign w:val="bottom"/>
            <w:tcBorders>
              <w:bottom w:val="single" w:sz="8" w:color="auto"/>
            </w:tcBorders>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151,838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151,838</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106,382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238,210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263,853</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As of September 30, 2009</w:t>
            </w:r>
          </w:p>
        </w:tc>
        <w:tc>
          <w:tcPr>
            <w:tcW w:w="30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720" w:type="dxa"/>
            <w:vAlign w:val="bottom"/>
            <w:tcBorders>
              <w:bottom w:val="single" w:sz="8" w:color="auto"/>
            </w:tcBorders>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129,108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129,108</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26,267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73,034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156,364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233,484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nine months ended September 30, 2010, United recorded impairment losses of $950,000, on investments in financial institutions that showed evidence of other-than-temporary impairment. There were no impairment losses recognized in the three-month period ended September 30, 2010. During the third quarter and nine months ended September 30, 2009, United recognized an impairment loss of $475,000 and $1.2 million on equity investments in financial institutions that failed or otherwise showed evidence of other-than-temporary-impairment.</w:t>
      </w:r>
    </w:p>
    <w:p>
      <w:pPr>
        <w:spacing w:after="0" w:line="154"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At September 30, 2010, there were 15 available for sale securities totaling $75.7 million in that were in an unrealized loss position. There was one held to maturity security totaling $2.0 million in that was in an unrealized loss position at September 30, 2010. United does not intend to sell nor believes it will be required to sell securities in an unrealized loss position prior to the recovery of their amortized cost basis. Unrealized losses at September 30, 2010 and 2009 were primarily attributable to changes in interest rates.</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three-month and nine-month periods ended September 30, 2010 and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266,953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281,970</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Gross gains on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2,491</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r>
      <w:tr>
        <w:trPr>
          <w:trHeight w:val="223"/>
        </w:trPr>
        <w:tc>
          <w:tcPr>
            <w:tcW w:w="4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on sales of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969</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Securities with a carrying value of $1.3 billion, $1.5 billion, and $1.5 billion were pledged to secure public deposits, FHLB advances and other secured borrowings at September 30, 2010, December 31, 2009 and September 30, 2009.</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September 30, 2010,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20"/>
                <w:szCs w:val="20"/>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8"/>
                <w:szCs w:val="18"/>
                <w:color w:val="auto"/>
              </w:rPr>
              <w:t>Held to Maturity</w:t>
            </w:r>
          </w:p>
        </w:tc>
      </w:tr>
      <w:tr>
        <w:trPr>
          <w:trHeight w:val="210"/>
        </w:trPr>
        <w:tc>
          <w:tcPr>
            <w:tcW w:w="43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360" w:type="dxa"/>
            <w:vAlign w:val="bottom"/>
          </w:tcPr>
          <w:p>
            <w:pPr>
              <w:spacing w:after="0"/>
              <w:rPr>
                <w:sz w:val="18"/>
                <w:szCs w:val="18"/>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10,103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104,974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13,626</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128,703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14,956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15,687</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1,418</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30,637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89,614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2,752</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10,897</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96,857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32,023</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w w:val="98"/>
              </w:rPr>
              <w:t>Total securities other than mortgage-backed securities:</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8,596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24,956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25,790</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204,015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27,194</w:t>
            </w:r>
          </w:p>
        </w:tc>
      </w:tr>
      <w:tr>
        <w:trPr>
          <w:trHeight w:val="230"/>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18,377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17,796</w:t>
            </w:r>
          </w:p>
        </w:tc>
        <w:tc>
          <w:tcPr>
            <w:tcW w:w="3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10,897</w:t>
            </w:r>
          </w:p>
        </w:tc>
      </w:tr>
      <w:tr>
        <w:trPr>
          <w:trHeight w:val="202"/>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797,321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218,981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223,904</w:t>
            </w: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1,017,452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1,053,518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256,694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263,012</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ectPr>
          <w:pgSz w:w="11900" w:h="16838" w:orient="portrait"/>
          <w:cols w:equalWidth="0" w:num="1">
            <w:col w:w="10219"/>
          </w:cols>
          <w:pgMar w:left="240" w:top="419" w:right="1440" w:bottom="105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4"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189"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4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Major classifications of loans as of September 30, 2010, December 31, 2009 and September 30, 2009,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1,781,271</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1,779,398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1,787,444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309,519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362,566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379,782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456,368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390,520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402,609</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2,547,158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2,532,484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2,569,835</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763,424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1,050,065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1,184,916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1,315,994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1,427,198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1,460,917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132,928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147,021</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4,759,504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5,151,476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5,362,689</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174,613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155,602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150,187</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4,584,891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4,995,874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5,212,502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At September 30, 2010, United had $157 million of loans classified as impaired. Of that amount, $7.1 million had specific reserves of $1.3 million allocated and the remaining $149.9 million did not have specific reserves allocated because they had either been written down to net realizable value ($85.6 million in charge-offs) or had sufficient collateral so that no allowance was required. At December 31, 2009, United had $198 million of loans classified as impaired. Of that amount, $16.1 million had specific reserves of $3 million allocated and the remaining $182 million did not have specific reserves allocated because they had either been written down to net realizable value ($115 million in charge-offs) or had sufficient collateral so that no allowance was required. At September 30, 2009, United had $238.2 million of loans classified as impaired. Of that amount, $34.4 million had specific reserves allocated of $8.2 million and $203.8 million did not have specific reserves allocated. The average recorded investment in impaired loans for the quarters ended September 30, 2010 and 2009 was $159.3 million and $244.1 million, respectively. There was no interest revenue recognized on loans while they were impaired for the three or nine months ended September 30, 2010 or 2009.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174,111</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145,678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122,271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50,500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187,000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14,343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10,584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27,070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17,438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7,776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9,279</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111,632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150,528</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5,132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19,435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175,281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197,641</w:t>
            </w:r>
          </w:p>
        </w:tc>
        <w:tc>
          <w:tcPr>
            <w:tcW w:w="10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1,592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0"/>
                <w:szCs w:val="20"/>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90,491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167,989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192,084</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87"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87"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At September 30, 2010, December 31, 2009 and September 30, 2009, loans with a carrying value of $1.1 billion, $1.5 billion and $1.8 billion were pledged as collateral to secure FHLB advances and other contingent funding sources.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Goodwill</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A summary of the changes in goodwill for the three and nine months ended September 30, 2010 and 2009 is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210,590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235,590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210,590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305,590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Impairment</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(210,590)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(210,590)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(95,000)</w:t>
            </w:r>
          </w:p>
        </w:tc>
      </w:tr>
      <w:tr>
        <w:trPr>
          <w:trHeight w:val="27"/>
        </w:trPr>
        <w:tc>
          <w:tcPr>
            <w:tcW w:w="2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210,590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210,590</w:t>
            </w:r>
          </w:p>
        </w:tc>
      </w:tr>
      <w:tr>
        <w:trPr>
          <w:trHeight w:val="20"/>
        </w:trPr>
        <w:tc>
          <w:tcPr>
            <w:tcW w:w="2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performs its annual goodwill impairment assessment during the fourth quarter of each year, or more often if events warrant an interim assessment. During the third quarter of 2010, United performed an interim goodwill impairment test, due to declines in the Company’s stock price. As a result of the updated assessment, goodwill was found to be impaired and was written down to its estimated fair value. An impairment charge of $210.6 million was recognized as an expense during the third quarter of 2010, reducing the total goodwill balance to zero.</w:t>
      </w:r>
    </w:p>
    <w:p>
      <w:pPr>
        <w:spacing w:after="0" w:line="148"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United has only one operating segment and all of the goodwill is included in that segment; therefore goodwill was tested for impairment for United as a whole. The first step (Step 1) of the goodwill impairment assessment was to determine the fair value of United as a whole and compare the result to the book value of equity. If the fair value resulting from Step 1 exceeds the book value of equity, goodwill is deemed not to be impaired. If the fair value is less than book value, Step 2 of the goodwill impairment assessment must be completed. United’s continued decline in stock price and the fact that the Company’s stock has been trading below tangible book value for a prolonged period of time, became more influential factors in Step 1 of the goodwill impairment test during the third quarter of 2010 as the decline in United’s value as implied by its stock price could no longer be viewed as temporary.</w:t>
      </w:r>
    </w:p>
    <w:p>
      <w:pPr>
        <w:spacing w:after="0" w:line="127"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Step 2 consists of valuing all the assets and liabilities, including separately identifiable intangible assets, in order to determine the fair value of goodwill. The fair value of goodwill is the difference between the value of United determined in Step 1 and the value of the net assets and liabilities determined in Step 2. If the fair value of goodwill exceeds the book value, goodwill is not impaired. If the fair value of goodwill is less than book value, goodwill is impaired by the amount by which book value exceeds fair value.</w:t>
      </w:r>
    </w:p>
    <w:p>
      <w:pPr>
        <w:spacing w:after="0" w:line="14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techniques used to determine the fair value of United in Step 1 included a discounted cash flow analysis based on United’s long-term earnings forecast, a guideline public companies method that considered the implied value of United by comparing United to a select peer group of public companies and their current market capitalizations, adjusted for differences between the companies, and a merger and acquisition method that considered the amount an acquiring company might be willing to pay to gain control of United based on multiples of tangible book value paid by acquirers in recent merger and acquisition transactions.</w:t>
      </w:r>
    </w:p>
    <w:p>
      <w:pPr>
        <w:spacing w:after="0" w:line="13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interim assessments performed during the third quarter of 2010 and 2009 both indicated that the fair value of United was less than book value, so United proceeded to Step 2. United’s Step 2 analysis indicated that goodwill was impaired by $211 million for the three months ended September 30, 2010 and $25 million for the same period of 2009. In arriving at these impairment charges, management made a number of valuation assumptions.</w:t>
      </w:r>
    </w:p>
    <w:p>
      <w:pPr>
        <w:spacing w:after="0" w:line="14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most significant assumption in determining the estimated fair value of United as a whole and the amount of any resulting impairment was the discount rate used in the discounted cash flows valuation method. The discount rates selected for the third quarter of 2010 and 2009 were 15% and 14%, respectively, which considered a risk-free rate of return that was adjusted for the industry median beta, equity risk and size premiums, and a company-specific risk premium.</w:t>
      </w:r>
    </w:p>
    <w:p>
      <w:pPr>
        <w:spacing w:after="0" w:line="144"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Other significant valuation assumptions were related to valuing the loan portfolio. The key assumptions involved in valuing the non-performing portion of the loan portfolio included estimating future cash flows. The key assumptions involved in valuing the performing portion of the loan portfolio included determining a default rate and a rate of loss upon default. Changing these assumptions, or any other key assumptions, could have a material impact on the amount of goodwill impairment.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computation of basic and diluted earnings per share for the three and nine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September 30, 2010 and 2009 </w:t>
      </w:r>
      <w:r>
        <w:rPr>
          <w:rFonts w:ascii="Arial" w:cs="Arial" w:eastAsia="Arial" w:hAnsi="Arial"/>
          <w:sz w:val="18"/>
          <w:szCs w:val="18"/>
          <w:i w:val="1"/>
          <w:iCs w:val="1"/>
          <w:color w:val="auto"/>
        </w:rPr>
        <w:t>(in thousands, except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(238,996)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(336,970)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(196,167)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Loss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There is no dilution from dilutive securities for the three and nine months ended September 30, 2010 and 2009, due to the anti-dilutive effect of the net loss for those periods.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interest rate derivatives.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5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September 30, 2010, December 31, 2009 and September 30,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Derivatives designated as hedging instruments under ASC 815 </w:t>
      </w:r>
      <w:r>
        <w:rPr>
          <w:rFonts w:ascii="Arial" w:cs="Arial" w:eastAsia="Arial" w:hAnsi="Arial"/>
          <w:sz w:val="18"/>
          <w:szCs w:val="18"/>
          <w:i w:val="1"/>
          <w:iCs w:val="1"/>
          <w:color w:val="auto"/>
        </w:rPr>
        <w:t>Hedge Accounting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Pr>
          <w:p>
            <w:pPr>
              <w:spacing w:after="0"/>
              <w:rPr>
                <w:sz w:val="20"/>
                <w:szCs w:val="20"/>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8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2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10,692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2010, December 31, 2009 and September 30, 2009, United did not have any derivatives in a net liability position.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September 30, 2010, United had no active derivatives designated as cash flow hedges of interest rate risk.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91" w:lineRule="auto"/>
        <w:rPr>
          <w:sz w:val="20"/>
          <w:szCs w:val="20"/>
          <w:color w:val="auto"/>
        </w:rPr>
      </w:pPr>
      <w:r>
        <w:rPr>
          <w:rFonts w:ascii="Arial" w:cs="Arial" w:eastAsia="Arial" w:hAnsi="Arial"/>
          <w:sz w:val="16"/>
          <w:szCs w:val="16"/>
          <w:color w:val="auto"/>
        </w:rPr>
        <w:t>The effective portion of changes in the fair value of derivatives designated and qualifying as cash flow hedges is recorded in accumulated other comprehensive income and is subsequently reclassified into earnings in the period that the hedged forecasted transaction affects earnings. During 2010 and 2009, such derivatives were used to hedge the variable cash flows associated with existing prime-based, variable-rate loans. The ineffective portion of the change in fair value of the derivatives is recognized directly in earnings. During the three and nine months ended September 30, 2010 $327,000 and $970,000, respectively, in hedge ineffectiveness was recognized in other fee revenue, respectively, and during the three and nine months ended September 30, 2009, $3,000 in hedge ineffectiveness was recognized in other operating expense on derivative financial instruments designated as cash flow hedges.</w:t>
      </w:r>
    </w:p>
    <w:p>
      <w:pPr>
        <w:spacing w:after="0" w:line="127"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revenue as interest payments are received on United’s prime-based, variable-rate loans. During the next twelve months, United estimates that an additional $12.0 million will be reclassified as an increase to interest revenue.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02"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September 30, 2010, United had no active derivatives designated as fair value hedges of interest rate risk.</w:t>
      </w:r>
    </w:p>
    <w:p>
      <w:pPr>
        <w:spacing w:after="0" w:line="153" w:lineRule="exact"/>
        <w:rPr>
          <w:sz w:val="20"/>
          <w:szCs w:val="20"/>
          <w:color w:val="auto"/>
        </w:rPr>
      </w:pPr>
    </w:p>
    <w:p>
      <w:pPr>
        <w:jc w:val="both"/>
        <w:ind w:left="340" w:right="1360"/>
        <w:spacing w:after="0" w:line="289"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nine months ended September 30, 2010, United recognized net gains of $9,000 and $215,000, respectively, related to ineffectiveness of the fair value hedging relationships. During the three and nine months ended September 30, 2009, United recognized net losses of $145,000 and $427,000, respectively, related to ineffectiveness of the fair value hedging relationships. United also recognized a net reduction of interest expense of $1.2 million and $1.4 million for the three months ended September 30, 2010 and 2009, respectively, related to United’s fair value hedges, which includes net settlements on the derivatives. For the nine months ended September 30, 2010 and 2009, United recognized a net reduction of interest expense of $4.0 million and $4.8 million, related to United’s fair value hedges.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02"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Income for the three and nine months ended September 30, 2010 and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w w:val="93"/>
              </w:rPr>
              <w:t>Amount of Gain (Loss) Recognized in</w:t>
            </w: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w w:val="90"/>
              </w:rPr>
              <w:t>Amount of Gain (Loss) Recognized in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260" w:type="dxa"/>
            <w:vAlign w:val="bottom"/>
          </w:tcPr>
          <w:p>
            <w:pPr>
              <w:spacing w:after="0"/>
              <w:rPr>
                <w:sz w:val="20"/>
                <w:szCs w:val="20"/>
                <w:color w:val="auto"/>
              </w:rPr>
            </w:pPr>
          </w:p>
        </w:tc>
        <w:tc>
          <w:tcPr>
            <w:tcW w:w="27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Income on Derivative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Income on Hedged Item</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on Derivative</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(1,167)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1,176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Amount of Gain (Loss)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Recognized in Other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Comprehensive Income on</w:t>
            </w:r>
          </w:p>
        </w:tc>
        <w:tc>
          <w:tcPr>
            <w:tcW w:w="140" w:type="dxa"/>
            <w:vAlign w:val="bottom"/>
          </w:tcPr>
          <w:p>
            <w:pPr>
              <w:spacing w:after="0"/>
              <w:rPr>
                <w:sz w:val="18"/>
                <w:szCs w:val="18"/>
                <w:color w:val="auto"/>
              </w:rPr>
            </w:pPr>
          </w:p>
        </w:tc>
        <w:tc>
          <w:tcPr>
            <w:tcW w:w="43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Gain (Loss) Reclassified from Accumulated Other</w:t>
            </w:r>
          </w:p>
        </w:tc>
      </w:tr>
      <w:tr>
        <w:trPr>
          <w:trHeight w:val="234"/>
        </w:trPr>
        <w:tc>
          <w:tcPr>
            <w:tcW w:w="2780" w:type="dxa"/>
            <w:vAlign w:val="bottom"/>
          </w:tcPr>
          <w:p>
            <w:pPr>
              <w:spacing w:after="0"/>
              <w:rPr>
                <w:sz w:val="20"/>
                <w:szCs w:val="20"/>
                <w:color w:val="auto"/>
              </w:rPr>
            </w:pPr>
          </w:p>
        </w:tc>
        <w:tc>
          <w:tcPr>
            <w:tcW w:w="25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Derivative (Effective Portion)</w:t>
            </w:r>
          </w:p>
        </w:tc>
        <w:tc>
          <w:tcPr>
            <w:tcW w:w="4440" w:type="dxa"/>
            <w:vAlign w:val="bottom"/>
            <w:gridSpan w:val="9"/>
          </w:tcPr>
          <w:p>
            <w:pPr>
              <w:ind w:left="140"/>
              <w:spacing w:after="0"/>
              <w:rPr>
                <w:sz w:val="20"/>
                <w:szCs w:val="20"/>
                <w:color w:val="auto"/>
              </w:rPr>
            </w:pPr>
            <w:r>
              <w:rPr>
                <w:rFonts w:ascii="Arial" w:cs="Arial" w:eastAsia="Arial" w:hAnsi="Arial"/>
                <w:sz w:val="18"/>
                <w:szCs w:val="18"/>
                <w:b w:val="1"/>
                <w:bCs w:val="1"/>
                <w:color w:val="auto"/>
                <w:w w:val="91"/>
              </w:rPr>
              <w:t>Comprehensive Income into Income (Effective Portion)</w:t>
            </w:r>
          </w:p>
        </w:tc>
      </w:tr>
      <w:tr>
        <w:trPr>
          <w:trHeight w:val="210"/>
        </w:trPr>
        <w:tc>
          <w:tcPr>
            <w:tcW w:w="2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Location</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80" w:type="dxa"/>
            <w:vAlign w:val="bottom"/>
          </w:tcPr>
          <w:p>
            <w:pPr>
              <w:jc w:val="center"/>
              <w:ind w:right="1170"/>
              <w:spacing w:after="0"/>
              <w:rPr>
                <w:sz w:val="20"/>
                <w:szCs w:val="20"/>
                <w:color w:val="auto"/>
              </w:rPr>
            </w:pPr>
            <w:r>
              <w:rPr>
                <w:rFonts w:ascii="Arial" w:cs="Arial" w:eastAsia="Arial" w:hAnsi="Arial"/>
                <w:sz w:val="18"/>
                <w:szCs w:val="18"/>
                <w:color w:val="auto"/>
                <w:w w:val="89"/>
              </w:rPr>
              <w:t>Interest rate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3,701</w:t>
            </w: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3,676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8,255</w:t>
            </w: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80" w:type="dxa"/>
            <w:vAlign w:val="bottom"/>
            <w:shd w:val="clear" w:color="auto" w:fill="CCEEFF"/>
          </w:tcPr>
          <w:p>
            <w:pPr>
              <w:jc w:val="center"/>
              <w:ind w:right="1150"/>
              <w:spacing w:after="0" w:line="198" w:lineRule="exact"/>
              <w:rPr>
                <w:sz w:val="20"/>
                <w:szCs w:val="20"/>
                <w:color w:val="auto"/>
              </w:rPr>
            </w:pPr>
            <w:r>
              <w:rPr>
                <w:rFonts w:ascii="Arial" w:cs="Arial" w:eastAsia="Arial" w:hAnsi="Arial"/>
                <w:sz w:val="18"/>
                <w:szCs w:val="18"/>
                <w:b w:val="1"/>
                <w:bCs w:val="1"/>
                <w:color w:val="auto"/>
                <w:w w:val="91"/>
              </w:rPr>
              <w:t>Nine Months Ended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80" w:type="dxa"/>
            <w:vAlign w:val="bottom"/>
          </w:tcPr>
          <w:p>
            <w:pPr>
              <w:jc w:val="center"/>
              <w:ind w:right="1170"/>
              <w:spacing w:after="0"/>
              <w:rPr>
                <w:sz w:val="20"/>
                <w:szCs w:val="20"/>
                <w:color w:val="auto"/>
              </w:rPr>
            </w:pPr>
            <w:r>
              <w:rPr>
                <w:rFonts w:ascii="Arial" w:cs="Arial" w:eastAsia="Arial" w:hAnsi="Arial"/>
                <w:sz w:val="18"/>
                <w:szCs w:val="18"/>
                <w:color w:val="auto"/>
                <w:w w:val="89"/>
              </w:rPr>
              <w:t>Interest rate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(1,515)</w:t>
            </w: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15,253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29,511</w:t>
            </w: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At September 30, 2010, United had no active derivative positions and therefore no credit support agreements remained in effect.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September 30, 2010, approximately 1,196,000 additional awards could be granted under the plan. Through September 30, 2010, only incentive stock options, nonqualified stock options and restricted stock awards and units had been granted under the plan.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stock option activity for the first nine months of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Aggregate</w:t>
            </w: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Average Exercise</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Term (Years)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 xml:space="preserve">Value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000)</w:t>
            </w:r>
          </w:p>
        </w:tc>
      </w:tr>
      <w:tr>
        <w:trPr>
          <w:trHeight w:val="210"/>
        </w:trPr>
        <w:tc>
          <w:tcPr>
            <w:tcW w:w="4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3,663,453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(54,963)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Outstanding at September 30, 2010</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3,421,971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18.59</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2,762,393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19.65</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weighted average fair value of stock options granted in the third quarter of 2010 and 2009 was $1.27 and $2.85,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 in SAB No. 107 to determine the expected life of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assumptions used to determine the fair value of stock options are presented in the table below.</w:t>
      </w:r>
    </w:p>
    <w:p>
      <w:pPr>
        <w:spacing w:after="0" w:line="22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820"/>
        <w:spacing w:after="0"/>
        <w:tabs>
          <w:tab w:leader="none" w:pos="922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15005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7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52.36%</w:t>
            </w:r>
          </w:p>
        </w:tc>
        <w:tc>
          <w:tcPr>
            <w:tcW w:w="1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40.68%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bl>
    <w:p>
      <w:pPr>
        <w:spacing w:after="0" w:line="147"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For 2010 and 2009 expected volatility was determined using United’s historical monthly volatility for the seventy-five months ended December 31, 2009 and 2008, respectively. Seventy-five months was chosen to correspond to the expected life of 6.25 years. Compensation expense for stock options was $1.6 million and $2.1 million for the nine months ended September 30, 2010 and 2009, respectively. Deferred tax benefits of $603,000 and $769,000, respectively, were included in the determination of income tax benefit for the nine-month periods ended September 30, 2010 and 2009.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the nine months ended September 30, 2009 was $1,000. No options were exercised during the first nine months of 2010.</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2"/>
              </w:rPr>
              <w:t>The table below presents the activity in restricted stock awards for the first nine months of 2010.</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Weighted-</w:t>
            </w:r>
          </w:p>
        </w:tc>
      </w:t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Grant-</w:t>
            </w:r>
          </w:p>
        </w:tc>
      </w:t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0"/>
        </w:trPr>
        <w:tc>
          <w:tcPr>
            <w:tcW w:w="6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116,082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nine months ended September 30, 2010 and 2009, compensation expense of $360,000 and $659,000, respectively, was recognized related to restricted stock awards. The total intrinsic value of the restricted stock was $260,000 at September 30, 2010.</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As of September 30, 2010, there was $2.9 million of unrecognized compensation cost related to non-vested stock options and restricted stock awards granted under the plan. That cost is expected to be recognized over a weighted-average period of 1.74 years. The aggregate grant date fair value of options and restricted stock awards that vested during the nine months ended September 30, 2010, was $3.5 million.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Common Stock Issued / Common Stock Issuable</w:t>
      </w:r>
    </w:p>
    <w:p>
      <w:pPr>
        <w:spacing w:after="0" w:line="20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2010 and 2009, United issued 361,405 and 256,990 shares, respectively, and increased capital by $1.4 and $1.6 million, respectively, through these programs.</w:t>
      </w: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September 30, 2010 and 2009, 305,594 and 196,818 shares, respectively, were issuable under the deferred compensation plan.</w:t>
      </w:r>
    </w:p>
    <w:p>
      <w:pPr>
        <w:spacing w:after="0" w:line="146"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Late in the third quarter of 2009, United completed a sale of 44,505,000 shares of its common stock at a price of $5.00 per share. The net proceeds of $211 million, after deducting the underwriters’ fees and expenses are being used for general corporate purposes. As a result of the stock sale, and pursuant to the terms of the warrant issued to the U.S. Treasury in connection with United’s participation in the U.S. Treasury’s Capital Purchase Program (“CPP”), the number of shares issuable upon exercise of the warrant issued to the U.S. Treasury in connection with the CPP was reduced by 50%, or 1,099,542 shares. The warrant has an exercise price of $12.28 and expires on the tenth anniversary of the date of issuance.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Stock Dividend</w:t>
      </w:r>
    </w:p>
    <w:p>
      <w:pPr>
        <w:spacing w:after="0" w:line="20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the first, second and third quarters of 2009, United declared quarterly stock dividends at a rate of 1 new share for every 130 shares owned. The stock dividends have been reflected in the financial statements as an issuance of stock with no proceeds rather than a stock split and therefore prior period numbers of shares outstanding have not been adjusted. For the nine months ended September 30, 2009, the amount of $51,000 shown in the equity statement as a reduction of capital related to the stock dividend is the amount of cash paid to shareholders for fractional shares. No stock dividends were declared or paid during the first nine months of 2010.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Reclassifications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2009 amounts have been reclassified to conform to the 2010 presentation.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Discontinued Operations</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Income for all periods presented. The net results of operations from Brintech are reported on a separate line on the Consolidated Statement of Income titled “(Loss) income from discontinued operations, net of income taxes.” The gain from the sale, net of income taxes and selling costs, is presented on a separate line titled “Gain from sale of subsidiary, net of income taxes and selling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Transaction with Fletcher International</w:t>
      </w:r>
    </w:p>
    <w:p>
      <w:pPr>
        <w:spacing w:after="0" w:line="202"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recorded book value. The non-performing assets sale transaction closed on April 30, 2010. The consideration for the sale consisted of $20.6 million in cash and a loan for $82.4 million. As part of the agreement, Fletcher received a warrant to acquire 7,058,824 shares of United’s common stock at a price of $4.25 per share.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$5.25 per share (12,380,952 shares). If Fletcher has not purchased all of the Series C Convertible Preferred Stock by May 26, 2011, it must pay United 5% of the commitment amount not purchased by such date, and it must pay United an additional 5% of the commitment amount not purchased by May 26, 2012. In addition, Fletcher will receive an additional warrant to purchase $35 million in common stock at $6.02 per share (5,813,953 shares) when it purchases the last $35 million of Series C Convertible Preferred Stock. All of the warrants settle on a cashless exercise basis and the net shares to be delivered upon cashless exercise will be less than what would have been issuable if the warrant had been exercised for cash.</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146"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ind w:left="340"/>
              <w:spacing w:after="0"/>
              <w:rPr>
                <w:sz w:val="20"/>
                <w:szCs w:val="20"/>
                <w:color w:val="auto"/>
              </w:rPr>
            </w:pPr>
            <w:r>
              <w:rPr>
                <w:rFonts w:ascii="Arial" w:cs="Arial" w:eastAsia="Arial" w:hAnsi="Arial"/>
                <w:sz w:val="18"/>
                <w:szCs w:val="18"/>
                <w:b w:val="1"/>
                <w:bCs w:val="1"/>
                <w:color w:val="auto"/>
              </w:rPr>
              <w:t>Valuation Approach</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Heirarchy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r>
      <w:tr>
        <w:trPr>
          <w:trHeight w:val="191"/>
        </w:trPr>
        <w:tc>
          <w:tcPr>
            <w:tcW w:w="46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6"/>
              </w:rPr>
              <w:t>Warrants Issued / Assets Transferred to Fletcher at Fair</w:t>
            </w:r>
          </w:p>
        </w:tc>
        <w:tc>
          <w:tcPr>
            <w:tcW w:w="16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620" w:type="dxa"/>
            <w:vAlign w:val="bottom"/>
          </w:tcPr>
          <w:p>
            <w:pPr>
              <w:ind w:left="200"/>
              <w:spacing w:after="0" w:line="201" w:lineRule="exact"/>
              <w:rPr>
                <w:sz w:val="20"/>
                <w:szCs w:val="20"/>
                <w:color w:val="auto"/>
              </w:rPr>
            </w:pPr>
            <w:r>
              <w:rPr>
                <w:rFonts w:ascii="Arial" w:cs="Arial" w:eastAsia="Arial" w:hAnsi="Arial"/>
                <w:sz w:val="18"/>
                <w:szCs w:val="18"/>
                <w:color w:val="auto"/>
                <w:w w:val="94"/>
              </w:rPr>
              <w:t>Warrant to purchase $30 million in common stock at $4.25</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Black-Scholes</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17,577</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Option to purchase convertible preferred stock and warrant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Monte-Carlo Simulation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22,236</w:t>
            </w:r>
          </w:p>
        </w:tc>
      </w:tr>
      <w:tr>
        <w:trPr>
          <w:trHeight w:val="205"/>
        </w:trPr>
        <w:tc>
          <w:tcPr>
            <w:tcW w:w="4620" w:type="dxa"/>
            <w:vAlign w:val="bottom"/>
          </w:tcPr>
          <w:p>
            <w:pPr>
              <w:ind w:left="600"/>
              <w:spacing w:after="0" w:line="205" w:lineRule="exact"/>
              <w:rPr>
                <w:sz w:val="20"/>
                <w:szCs w:val="20"/>
                <w:color w:val="auto"/>
              </w:rPr>
            </w:pPr>
            <w:r>
              <w:rPr>
                <w:rFonts w:ascii="Arial" w:cs="Arial" w:eastAsia="Arial" w:hAnsi="Arial"/>
                <w:sz w:val="18"/>
                <w:szCs w:val="18"/>
                <w:b w:val="1"/>
                <w:bCs w:val="1"/>
                <w:color w:val="auto"/>
              </w:rPr>
              <w:t>Fair value of equity instruments recognized in</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ind w:left="800"/>
              <w:spacing w:after="0"/>
              <w:rPr>
                <w:sz w:val="20"/>
                <w:szCs w:val="20"/>
                <w:color w:val="auto"/>
              </w:rPr>
            </w:pPr>
            <w:r>
              <w:rPr>
                <w:rFonts w:ascii="Arial" w:cs="Arial" w:eastAsia="Arial" w:hAnsi="Arial"/>
                <w:sz w:val="18"/>
                <w:szCs w:val="18"/>
                <w:b w:val="1"/>
                <w:bCs w:val="1"/>
                <w:color w:val="auto"/>
              </w:rPr>
              <w:t>capital surplus</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39,813</w:t>
            </w:r>
          </w:p>
        </w:tc>
      </w:tr>
      <w:tr>
        <w:trPr>
          <w:trHeight w:val="202"/>
        </w:trPr>
        <w:tc>
          <w:tcPr>
            <w:tcW w:w="4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Foreclosed properties transferred under Asset Purchase</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Appraised Value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33,434</w:t>
            </w:r>
          </w:p>
        </w:tc>
      </w:tr>
      <w:tr>
        <w:trPr>
          <w:trHeight w:val="202"/>
        </w:trPr>
        <w:tc>
          <w:tcPr>
            <w:tcW w:w="4620" w:type="dxa"/>
            <w:vAlign w:val="bottom"/>
          </w:tcPr>
          <w:p>
            <w:pPr>
              <w:ind w:left="200"/>
              <w:spacing w:after="0" w:line="201" w:lineRule="exact"/>
              <w:rPr>
                <w:sz w:val="20"/>
                <w:szCs w:val="20"/>
                <w:color w:val="auto"/>
              </w:rPr>
            </w:pPr>
            <w:r>
              <w:rPr>
                <w:rFonts w:ascii="Arial" w:cs="Arial" w:eastAsia="Arial" w:hAnsi="Arial"/>
                <w:sz w:val="18"/>
                <w:szCs w:val="18"/>
                <w:color w:val="auto"/>
                <w:w w:val="99"/>
              </w:rPr>
              <w:t>Nonperforming loans transferred under Asset Purchase</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Collateral Appraised Value</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69,655</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103,089</w:t>
            </w:r>
          </w:p>
        </w:tc>
      </w:tr>
      <w:tr>
        <w:trPr>
          <w:trHeight w:val="209"/>
        </w:trPr>
        <w:tc>
          <w:tcPr>
            <w:tcW w:w="462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ind w:left="800"/>
              <w:spacing w:after="0"/>
              <w:rPr>
                <w:sz w:val="20"/>
                <w:szCs w:val="20"/>
                <w:color w:val="auto"/>
              </w:rPr>
            </w:pPr>
            <w:r>
              <w:rPr>
                <w:rFonts w:ascii="Arial" w:cs="Arial" w:eastAsia="Arial" w:hAnsi="Arial"/>
                <w:sz w:val="18"/>
                <w:szCs w:val="18"/>
                <w:color w:val="auto"/>
              </w:rPr>
              <w:t>transferred</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142,902</w:t>
            </w: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Cash and Notes Receivable Received in Exchange at Fair</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r>
      <w:tr>
        <w:trPr>
          <w:trHeight w:val="202"/>
        </w:trPr>
        <w:tc>
          <w:tcPr>
            <w:tcW w:w="4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Notes receivable (par value $82,471, net of $4,531</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77,940</w:t>
            </w:r>
          </w:p>
        </w:tc>
      </w:tr>
      <w:tr>
        <w:trPr>
          <w:trHeight w:val="223"/>
        </w:trPr>
        <w:tc>
          <w:tcPr>
            <w:tcW w:w="462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assets and equity instruments transferred in</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cash and notes received</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Transaction fees</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45,349</w:t>
            </w: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14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3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$103 million of nonperforming assets sold were transferred at United’s recorded book value which had previously been written down to appraised value. Because the appraisals were based on sales of similar assets (observable data), the valuation is considered to be Level 2.</w:t>
      </w:r>
    </w:p>
    <w:p>
      <w:pPr>
        <w:spacing w:after="0" w:line="14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ectPr>
          <w:pgSz w:w="11900" w:h="16838" w:orient="portrait"/>
          <w:cols w:equalWidth="0" w:num="1">
            <w:col w:w="10219"/>
          </w:cols>
          <w:pgMar w:left="240" w:top="419" w:right="1440" w:bottom="1109"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9"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September 30, 2010, December 31, 2009 and September 30, 2009,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September 30, 2010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128,703</w:t>
            </w: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30,637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30,637</w:t>
            </w: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791,946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797,321</w:t>
            </w: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66,507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96,857</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987,798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65,720</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1,056,491</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2009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226,466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246,466</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63,293</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1,180,330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1,197,222</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21,066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10,692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1,501,847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1,545,557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September 30, 2009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206,847</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53,852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1,240,396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1,247,648</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19,474</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4,693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24,167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14,430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14,430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1,534,999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1,551,478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0219"/>
          </w:cols>
          <w:pgMar w:left="240" w:top="419" w:right="1440"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included in earnings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Impairment charges</w:t>
      </w:r>
    </w:p>
    <w:p>
      <w:pPr>
        <w:spacing w:after="0" w:line="9" w:lineRule="exact"/>
        <w:rPr>
          <w:sz w:val="20"/>
          <w:szCs w:val="20"/>
          <w:color w:val="auto"/>
        </w:rPr>
      </w:pPr>
    </w:p>
    <w:p>
      <w:pPr>
        <w:ind w:left="540" w:right="2658"/>
        <w:spacing w:after="0" w:line="261" w:lineRule="auto"/>
        <w:rPr>
          <w:sz w:val="20"/>
          <w:szCs w:val="20"/>
          <w:color w:val="auto"/>
        </w:rPr>
      </w:pPr>
      <w:r>
        <w:rPr>
          <w:rFonts w:ascii="Arial" w:cs="Arial" w:eastAsia="Arial" w:hAnsi="Arial"/>
          <w:sz w:val="18"/>
          <w:szCs w:val="18"/>
          <w:color w:val="auto"/>
        </w:rPr>
        <w:t>Purchases, sales, issuances, settlements, maturities, paydowns, net Transfers between valuation levels,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-285115</wp:posOffset>
            </wp:positionV>
            <wp:extent cx="61747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auto"/>
        </w:rPr>
        <w:t>Securities</w:t>
      </w:r>
    </w:p>
    <w:p>
      <w:pPr>
        <w:spacing w:after="0" w:line="23" w:lineRule="exact"/>
        <w:rPr>
          <w:sz w:val="20"/>
          <w:szCs w:val="20"/>
          <w:color w:val="auto"/>
        </w:rPr>
      </w:pPr>
    </w:p>
    <w:p>
      <w:pPr>
        <w:jc w:val="center"/>
        <w:ind w:right="238"/>
        <w:spacing w:after="0"/>
        <w:rPr>
          <w:sz w:val="20"/>
          <w:szCs w:val="20"/>
          <w:color w:val="auto"/>
        </w:rPr>
      </w:pPr>
      <w:r>
        <w:rPr>
          <w:rFonts w:ascii="Arial" w:cs="Arial" w:eastAsia="Arial" w:hAnsi="Arial"/>
          <w:sz w:val="16"/>
          <w:szCs w:val="16"/>
          <w:u w:val="single" w:color="auto"/>
          <w:color w:val="auto"/>
        </w:rPr>
        <w:t>Available for Sale</w:t>
      </w:r>
    </w:p>
    <w:p>
      <w:pPr>
        <w:spacing w:after="0" w:line="32" w:lineRule="exact"/>
        <w:rPr>
          <w:sz w:val="20"/>
          <w:szCs w:val="20"/>
          <w:color w:val="auto"/>
        </w:rPr>
      </w:pPr>
    </w:p>
    <w:p>
      <w:pPr>
        <w:ind w:left="782" w:hanging="782"/>
        <w:spacing w:after="0"/>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38,892</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6"/>
          <w:szCs w:val="16"/>
          <w:color w:val="auto"/>
        </w:rPr>
        <w:t>(70)</w:t>
      </w:r>
    </w:p>
    <w:p>
      <w:pPr>
        <w:spacing w:after="0" w:line="3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(700)</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(950)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79,359</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(50,811)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18" w:lineRule="exact"/>
        <w:rPr>
          <w:sz w:val="20"/>
          <w:szCs w:val="20"/>
          <w:color w:val="auto"/>
        </w:rPr>
      </w:pPr>
    </w:p>
    <w:p>
      <w:pPr>
        <w:ind w:left="782" w:hanging="782"/>
        <w:spacing w:after="0"/>
        <w:tabs>
          <w:tab w:leader="none" w:pos="782" w:val="left"/>
        </w:tabs>
        <w:numPr>
          <w:ilvl w:val="0"/>
          <w:numId w:val="6"/>
        </w:numPr>
        <w:rPr>
          <w:rFonts w:ascii="Arial" w:cs="Arial" w:eastAsia="Arial" w:hAnsi="Arial"/>
          <w:sz w:val="18"/>
          <w:szCs w:val="18"/>
          <w:color w:val="auto"/>
        </w:rPr>
      </w:pPr>
      <w:r>
        <w:rPr>
          <w:rFonts w:ascii="Arial" w:cs="Arial" w:eastAsia="Arial" w:hAnsi="Arial"/>
          <w:sz w:val="18"/>
          <w:szCs w:val="18"/>
          <w:color w:val="auto"/>
        </w:rPr>
        <w:t>65,720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14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14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7958" w:space="720"/>
            <w:col w:w="1541"/>
          </w:cols>
          <w:pgMar w:left="240" w:top="419" w:right="1440" w:bottom="1041" w:gutter="0" w:footer="0" w:header="0"/>
          <w:type w:val="continuous"/>
        </w:sectPr>
      </w:pPr>
    </w:p>
    <w:p>
      <w:pPr>
        <w:spacing w:after="0" w:line="1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September 30, 2010, December 31, 2009 and September 30, 2009,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2010</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121,257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121,257</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81,436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81,436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202,693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202,693</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153,038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153,038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81,213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81,213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234,251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234,251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2009</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181,015</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86,543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86,543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210,590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478,148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478,148</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w w:val="99"/>
              </w:rPr>
              <w:t>Assets and Liabilities Not Measured at Fair Value</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24"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December 31, 2009 and September 30, 2009 the fair value of interest rate contracts used for balance sheet management was an asset of approximately $10.7 million and $14.4 million, respectively. There were no active derivative contracts held by United at September 30, 2010.</w:t>
      </w:r>
    </w:p>
    <w:p>
      <w:pPr>
        <w:sectPr>
          <w:pgSz w:w="11900" w:h="16838" w:orient="portrait"/>
          <w:cols w:equalWidth="0" w:num="1">
            <w:col w:w="10219"/>
          </w:cols>
          <w:pgMar w:left="240" w:top="419" w:right="1440" w:bottom="1041"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41"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18"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8" w:lineRule="exact"/>
        <w:rPr>
          <w:sz w:val="20"/>
          <w:szCs w:val="20"/>
          <w:color w:val="auto"/>
        </w:rPr>
      </w:pPr>
    </w:p>
    <w:p>
      <w:pPr>
        <w:jc w:val="both"/>
        <w:ind w:left="340" w:right="138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and fair values for other financial instruments that are not measured at fair value in United’s balance sheet at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September 30, 2010, December 31, 2009 September 30,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7"/>
              </w:rPr>
              <w:t>September 30, 2010</w:t>
            </w:r>
          </w:p>
        </w:tc>
        <w:tc>
          <w:tcPr>
            <w:tcW w:w="100" w:type="dxa"/>
            <w:vAlign w:val="bottom"/>
          </w:tcPr>
          <w:p>
            <w:pPr>
              <w:spacing w:after="0"/>
              <w:rPr>
                <w:sz w:val="20"/>
                <w:szCs w:val="20"/>
                <w:color w:val="auto"/>
              </w:rPr>
            </w:pPr>
          </w:p>
        </w:tc>
        <w:tc>
          <w:tcPr>
            <w:tcW w:w="194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2009</w:t>
            </w:r>
          </w:p>
        </w:tc>
        <w:tc>
          <w:tcPr>
            <w:tcW w:w="80" w:type="dxa"/>
            <w:vAlign w:val="bottom"/>
          </w:tcPr>
          <w:p>
            <w:pPr>
              <w:spacing w:after="0"/>
              <w:rPr>
                <w:sz w:val="20"/>
                <w:szCs w:val="20"/>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8"/>
              </w:rPr>
              <w:t>September 30, 2009</w:t>
            </w: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Carrying</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9"/>
              </w:rPr>
              <w:t>Carrying</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rPr>
              <w:t>Carrying</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$4,584,891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$4,272,201</w:t>
            </w:r>
          </w:p>
        </w:tc>
        <w:tc>
          <w:tcPr>
            <w:tcW w:w="1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$4,995,874</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$4,529,755</w:t>
            </w:r>
          </w:p>
        </w:tc>
        <w:tc>
          <w:tcPr>
            <w:tcW w:w="10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$5,212,502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$4,833,533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held to maturity</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5,998,637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6,003,543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6,627,834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6,660,196</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6,821,306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6,865,338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55,125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60,215</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114,501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119,945</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314,704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320,991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124,964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150,066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150,046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105,025</w:t>
            </w: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5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2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2009, our Form 10-Q for the quarter ended June 30, 2010 and this Form 10-Q, as well as the following:</w:t>
      </w:r>
    </w:p>
    <w:p>
      <w:pPr>
        <w:spacing w:after="0" w:line="161"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become profitable;</w:t>
      </w:r>
    </w:p>
    <w:p>
      <w:pPr>
        <w:spacing w:after="0" w:line="184"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raise capital consistent with our capital plan;</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maintain liquidity or access other sources of funding;</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success of the local economies in which we operate;</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accounting and reporting policies of United;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w:t>
      </w:r>
    </w:p>
    <w:p>
      <w:pPr>
        <w:spacing w:after="0" w:line="184"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fully realize our deferred tax asset balances;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United States Department of Treasury may change the terms of our Series B Preferred Stock;</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risks with respect to future expansion and acquisitions;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impact of the Dodd-Frank Act and related regulations and other changes in financial services laws and regulations;</w:t>
      </w:r>
    </w:p>
    <w:p>
      <w:pPr>
        <w:spacing w:after="0" w:line="209" w:lineRule="exact"/>
        <w:rPr>
          <w:rFonts w:ascii="Arial" w:cs="Arial" w:eastAsia="Arial" w:hAnsi="Arial"/>
          <w:sz w:val="17"/>
          <w:szCs w:val="17"/>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spacing w:after="0" w:line="129" w:lineRule="exact"/>
        <w:rPr>
          <w:rFonts w:ascii="Arial" w:cs="Arial" w:eastAsia="Arial" w:hAnsi="Arial"/>
          <w:sz w:val="18"/>
          <w:szCs w:val="18"/>
          <w:b w:val="1"/>
          <w:bCs w:val="1"/>
          <w:color w:val="auto"/>
        </w:rPr>
      </w:pPr>
    </w:p>
    <w:p>
      <w:pPr>
        <w:jc w:val="both"/>
        <w:ind w:left="1080" w:right="159" w:hanging="370"/>
        <w:spacing w:after="0" w:line="264"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board resolutions, informal memorandums of understanding or formal enforcement actions imposed by regulators that occur, or any such proceedings or enforcement actions that is more severe than we anticipate.</w:t>
      </w:r>
    </w:p>
    <w:p>
      <w:pPr>
        <w:spacing w:after="0" w:line="154"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All written or oral forward-looking statements attributable to us or any person acting on our behalf made after the date of this prospectus supplement are expressly qualified in their entirety by the risk factors and cautionary statements set forth in our Annual Report on Form 10-K for the year ended December 31, 2009, our Form 10-Q for the quarter ended June 30, 2010 and this Form 10-Q.</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 Inc. (“United”) and its subsidiaries and should be read in conjunction with the consolidated financial statements and accompanying notes.</w:t>
      </w:r>
    </w:p>
    <w:p>
      <w:pPr>
        <w:spacing w:after="0" w:line="14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September 30, 2010, United had total consolidated assets of $7.0 billion, total loans of $4.8 billion, excluding the loans acquired from Southern Community Bank (“SCB”) that are covered by loss sharing agreements and therefore have a different risk profile, total deposits of $6.0 billion and stockholders’ equity of $662 million.</w:t>
      </w:r>
    </w:p>
    <w:p>
      <w:pPr>
        <w:spacing w:after="0" w:line="14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MSA”), the Gainesville, Georgia metropolitan statistical area (the “Gainesville MSA”), coastal Georgia, western North Carolina, and east Tennessee. On March 31, 2010, United sold Brintech, Inc., (“Brintech”) a consulting services firm for the financial services industry, resulting in a pre-tax gain of $2.1 million, net of selling costs. The income statements for all periods presented reflect Brintech as a discontinued operation with revenue, expenses and income taxes related to Brintech removed from revenue, expenses, income taxes and loss from continuing operations. The balance sheet and cash flow statement have not been adjusted to reflect Brintech as a discontinued operation as Brintech’s assets and contribution to cash flows were not material.</w:t>
      </w:r>
    </w:p>
    <w:p>
      <w:pPr>
        <w:spacing w:after="0" w:line="15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Operating loss from continuing operations and operating loss from continuing operations per diluted share are non-GAAP performance measures. United’s management believes that operating performance is useful in analyzing United’s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30.</w:t>
      </w:r>
    </w:p>
    <w:p>
      <w:pPr>
        <w:spacing w:after="0" w:line="148"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United reported a net operating loss from continuing operations of $25.8 million for the third quarter of 2010. This compared to a net operating loss from continuing operations of $43.8 million for the third quarter of 2009. The net operating loss from continuing operations in the third quarter of 2010 and 2009 excluded goodwill impairment charges of $211 million and $25 million, respectively. Diluted operating loss from continuing operations per common share was $.30 for the third quarter of 2010, compared to a diluted operating loss from continuing operations per common share of $.93 for the third quarter of 2009. The third quarter of 2010 operating loss reflects the challenging economic environment and elevated credit and foreclosed property losses primarily resulting from the weak residential construction and housing market. The goodwill impairment charges, which have been excluded from operating losses, represented $2.22 and $.50 of loss per share for the third quarters of 2010 and 2009, respectively, reducing the diluted loss from continuing operations of $2.52 per share to $.30 for 2010, and $1.43 per share to $.93 for 2009.</w:t>
      </w:r>
    </w:p>
    <w:p>
      <w:pPr>
        <w:spacing w:after="0" w:line="126"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For the nine months ended September 30, 2010, United reported a net operating loss from continuing operations of $120 million, which included the $30.0 million after-tax loss from the Fletcher transaction which is described on page 25. This compared to a net operating loss from continuing operations of $99.0 million for the nine months ended September 30, 2009. Net loss for the nine months ended September 30, 2010, which included discontinued operations and goodwill impairment, totaled $329 million. For the same period of 2009, the net loss of $188 million included the $7.1 million gain on acquisition, net of tax; $95 million in charges for goodwill impairment and a $1.8 million charge for a reduction in workforce, net of tax. Diluted operating loss from continuing operations per common share was $1.35 for the nine months ended September 30, 2010, compared with diluted operating loss from continuing operations per common share of $2.18 for the same period in 2009. The loss on sale of nonperforming assets in 2010 represented $.32 of loss per share. The diluted loss per share was $3.56 for the first nine months of 2010, which includes discontinued operations and the goodwill impairment charge of $2.23 of loss per share. The gain on acquisition, goodwill impairment charges and severance costs represented $.14 of earnings per share, $1.93 of loss per share and $.04 of loss per share, respectively, for the nine months ended September 30, 2009, bringing the diluted loss per share to $4.01.</w:t>
      </w:r>
    </w:p>
    <w:p>
      <w:pPr>
        <w:spacing w:after="0" w:line="142"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United’s approach to managing through the challenging economic cycle has been to aggressively deal with its credit problems and dispose of troubled assets quickly, taking losses as necessary. As a result, United’s provision for loan losses was $50.5 million for the three months ended September 30, 2010, compared to $95.0 million for the same period in 2009. Net charge-offs for the third quarter of 2010 were $50.0 million, compared to $90.5 million for the third quarter of 2009. For the nine months ended September 30, 2010, United’s provision for loan losses was $187 million, compared to $220 million for the same period in 2009. Net charge-offs for the first nine months of 2010 were $168 million, compared to $192 million for the first nine months of 2009. As of September 30, 2010, United’s allowance for loan losses of $175 million was 3.67% of loans, compared to $150 million, or 2.80% of total loans at September 30, 2009. Nonperforming assets of $348 million, which excludes assets of SCB that are covered by loss sharing agreements with the FDIC, increased to 4.96% of total assets at September 30, 2010, compared to 4.81% as of December 31, 2009, and 4.91% as of September 30, 2009. The increase in the ratio was the result of a decrease in total assets, as nonperforming assets were flat with the second quarter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Taxable equivalent net interest revenue was $60.0 million for the third quarter of 2010, compared to $63.0 million for the same period of 2009. The decrease in net interest revenue was the result of lower levels of interest earning assets. Average loans and securities for the quarter declined $669 and $204 million, respectively, from the third quarter of 2009. For the nine months ended September 30, 2010, taxable equivalent net interest revenue was $183 million, compared to $181 million for the same period of 2009. Net interest margin increased from 3.25% for the nine months ended September 30, 2009 to 3.56% for the same period in 2010. The margin improvement resulted from management’s ongoing efforts to manage loan pricing, while lowering the cost of deposits, in spite of continuing attrition in the loan portfolio.</w:t>
      </w:r>
    </w:p>
    <w:p>
      <w:pPr>
        <w:spacing w:after="0" w:line="162"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Operating fee revenue decreased $528,000, or 4%, and $411,000, or 1%, from the third quarter and first nine months of 2009, respectively. The decrease was primarily attributable to balance sheet management activities that resulted in gains from the sale of securities offset by losses on the prepayment of Federal Home Loan Bank advances. Included in the net securities gains for 2010, was a $950,000 impairment loss on a bank trust preferred securities investment, recognized in the first quarter that was more than offset by securities gains. Included in the net securities gains for 2009, was a $1.2 million impairment loss on equity investments in failed or troubled financial institutions. Also contributing to the decrease for the first nine months were lower mortgage fees.</w:t>
      </w:r>
    </w:p>
    <w:p>
      <w:pPr>
        <w:spacing w:after="0" w:line="124"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For the third quarter of 2010, operating expenses of $64.9 million were up $13.5 million from the third quarter of 2009. Although United’s expense savings initiatives have been successful in lowering controllable expenses, foreclosed property costs were up $11.8 million from the third quarter of 2009. For the first nine months of 2010, operating expenses of $178 million, excluding the $45.3 million loss from the sale of nonperforming assets and $211 million goodwill impairment charge, were up $21.1 million from the same period of 2009. Foreclosed property costs, which were up $27.1 million, was primarily responsible for the increase from 2009. The increase in foreclosed property costs was partially offset by a $4.7 million decrease in salaries and benefits expense reflecting the 10% staff reduction that began at the end of the first quarter of 2009. Operating expenses for 2009 excluded $95 million in goodwill impairment charges and $2.9 million in severance costs.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fair value measurements, intangible assets and income taxes. In particular, United’s accounting policies related to allowance for loan losses, fair value measurements,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Mergers and Acquisitions</w:t>
      </w:r>
    </w:p>
    <w:p>
      <w:pPr>
        <w:spacing w:after="0" w:line="189"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 xml:space="preserve">On June 19, 2009, the Bank acquired the banking operations of SCB from the FDIC. The Bank acquired $378 million of assets and assumed $367 million of liabilities. The Bank and the FDIC entered into loss sharing agreements regarding future losses incurred on loans and foreclosed loan collateral existing at June 19, 2009. Under the terms of the loss sharing agreements, the FDIC will absorb 80% of losses and share in 80% of loss recoveries on the first $109 million of losses, and absorb 95% of losses and share in 95% of loss recoveries on losses exceeding $109 million. The term for loss sharing on 1 to 4 family loans is ten years, while the term for loss sharing on all other loans is five years. The SCB acquisition was accounted for under the purchase method of accounting in accordance with the Financial Accounting Standards Board’s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United recorded a gain totaling $11.4 million in the second quarter of 2009 resulting from the acquisition, which is a component of fee revenue in the consolidated statement of income. The amount of the gain is equal to the amount by which the fair value of assets purchased exceeded the fair value of liabilities assumed. See Note 3 of the Notes to the unaudited consolidated financial statements for additional information regarding the acquisition.</w:t>
      </w:r>
    </w:p>
    <w:p>
      <w:pPr>
        <w:spacing w:after="0" w:line="156" w:lineRule="exact"/>
        <w:rPr>
          <w:sz w:val="20"/>
          <w:szCs w:val="20"/>
          <w:color w:val="auto"/>
        </w:rPr>
      </w:pPr>
    </w:p>
    <w:p>
      <w:pPr>
        <w:ind w:left="340" w:right="559"/>
        <w:spacing w:after="0" w:line="454" w:lineRule="auto"/>
        <w:rPr>
          <w:sz w:val="20"/>
          <w:szCs w:val="20"/>
          <w:color w:val="auto"/>
        </w:rPr>
      </w:pPr>
      <w:r>
        <w:rPr>
          <w:rFonts w:ascii="Arial" w:cs="Arial" w:eastAsia="Arial" w:hAnsi="Arial"/>
          <w:sz w:val="18"/>
          <w:szCs w:val="18"/>
          <w:color w:val="auto"/>
        </w:rPr>
        <w:t xml:space="preserve">The results of operations of SCB are included in the consolidated statement of income from the acquisition date of June 19, 2009. </w:t>
      </w:r>
      <w:r>
        <w:rPr>
          <w:rFonts w:ascii="Arial" w:cs="Arial" w:eastAsia="Arial" w:hAnsi="Arial"/>
          <w:sz w:val="18"/>
          <w:szCs w:val="18"/>
          <w:b w:val="1"/>
          <w:bCs w:val="1"/>
          <w:color w:val="auto"/>
        </w:rPr>
        <w:t>GAAP Reconciliation and Explanation</w:t>
      </w:r>
    </w:p>
    <w:p>
      <w:pPr>
        <w:jc w:val="both"/>
        <w:ind w:left="340" w:right="159"/>
        <w:spacing w:after="0" w:line="287" w:lineRule="auto"/>
        <w:rPr>
          <w:sz w:val="20"/>
          <w:szCs w:val="20"/>
          <w:color w:val="auto"/>
        </w:rPr>
      </w:pPr>
      <w:r>
        <w:rPr>
          <w:rFonts w:ascii="Arial" w:cs="Arial" w:eastAsia="Arial" w:hAnsi="Arial"/>
          <w:sz w:val="16"/>
          <w:szCs w:val="16"/>
          <w:color w:val="auto"/>
        </w:rPr>
        <w:t>This Form 10-Q contains non-GAAP financial measures determined by methods other than in accordance with GAAP. Such non-GAAP financial measures include, among others the following: operating revenue, operating expense, operating (loss) income from continuing operations, operating (loss) income, operating earnings (loss) from continuing operations per share, operating earnings (loss) per share, operating earnings (loss)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20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Effective March 31, 2010, United sold its Brintech subsidiary. As a result, the operations of Brintech are being accounted for as a discontinued operation. All revenue, including the gain from the sale, expenses and income taxes relating to Brintech have been deconsolidated from the consolidated statement of income and are presented on one line titled “(Loss) income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The current banking environment, particularly within the Southeast and United’s footprint, has left many financial institutions with a surplus of foreclosed real estate and nonperforming loans, particularly residential construction. Disposing of these nonperforming assets has become increasingly challenging in this environment as those involved in the business of buying, developing and selling real estate — the typical purchasers of foreclosed properties — have themselves been negatively impacted by the housing market and therefore lack the ability to purchase surplus real estate. The build-up of residential construction inventory and lack of buyers, especially in the non-Atlanta markets, has created an imbalance between supply and demand that has sent prices spiraling downward. As a result, most dispositions of problem assets have occurred only by pricing properties at substantial discounts and incurring significant losses which results in a reduction of capital.</w:t>
      </w:r>
    </w:p>
    <w:p>
      <w:pPr>
        <w:spacing w:after="0" w:line="15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The challenge in this environment is to find ways to sell a large quantity of non-performing assets without significantly reducing capital. The transaction with Fletcher International Inc. (“Fletcher Inc.”) and Fletcher International Ltd (“Fletcher Ltd”, together with Fletcher Inc. and their affiliates, “Fletcher”) accomplished that objective by combining the sale of nonperforming assets with the issuance of equity instruments. Although the transaction with Fletcher is described in more detail below, in essence, Fletcher agreed to acquire certain of United’s more illiquid nonperforming assets and received equity instruments that include a warrant to purchase common stock and the right to purchase convertible preferred stock with an additional warrant to purchase common stock. All of the assets and equity instruments transferred in the transaction were transferred at fair value, which resulted in the recognition of a loss in the consolidated financial statements. The transaction had a slight positive impact on total capital, since the equity instruments exchanged in the transaction increased shareholders’ equity which more than offset the after-tax loss on the transaction.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85"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On April 1, 2010, the Bank entered into an asset purchase and sale agreement (the “Asset Purchase Agreement”) with Fletcher Inc. and five affiliated limited liability companies (“LLCs”) formed by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 The loans accrue interest at a fixed rate of 3.5% and mature in five years. Principal and interest payments will be made quarterly based on a 30-year amortization schedule. Fletcher Inc. also contributed cash and securities to the LLCs equal to 17.5% of the purchase price to pre-fund the estimated carrying costs of the assets for approximately three years. These funds are held in escrow as additional collateral on the loans and cannot be removed by Fletcher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w:t>
      </w:r>
    </w:p>
    <w:p>
      <w:pPr>
        <w:spacing w:after="0" w:line="146"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Also on April 1, 2010, United and Fletcher Ltd.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 The Convertible Preferred Stock will bear interest at an annual rate equal to the lesser of 8% or LIBOR + 4%. If all conditions precedent to Fletcher Ltd.’s obligations to purchase the Convertible Preferred Stock have been satisfied and Fletcher Ltd. has not purchased all of the Convertible Preferred Stock by May 26, 2011, it must pay United 5% of the commitment amount not purchased by that date, and it must also pay United an additional 5% of any commitment amount not purchased by May 26, 2012.</w:t>
      </w:r>
    </w:p>
    <w:p>
      <w:pPr>
        <w:spacing w:after="0" w:line="138"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The Convertible Preferred Stock is redeemable by Fletcher Ltd. at any time into common stock or non-voting Common Stock Equivalent Junior Preferred Stock (“Junior Preferred Stock”) of United, at an equivalent price of $5.25 per share of common stock (equal to 12,380,952 shares of common stock), subject to certain adjustments. After May 26, 2015, if the closing stock price for United’s common stock is above $12.04, United has the right to require conversion and it is United’s intent to convert all of the then outstanding Convertible Preferred Stock into an equivalent amount of common stock or Junior Preferred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Securities Purchase Agreement provides that United shall not effect any conversion or redemption of the Convertible Preferred Stock, and Fletcher Ltd. shall not have the right to convert or redeem any portion of the Convertible Preferred Stock, into common stock to the extent such conversion or redemption would result in aggregate issuances to Fletcher Ltd. in excess of 9.75% of the number of shares of common stock that would be outstanding after giving effect to such conversion or redemption. In the event that United cannot effect a conversion or redemption of the Convertible Preferred Stock into common stock due to this limit, the conversion or redemption shall be effected into an equal number of shares of Junior Preferred Stock.</w:t>
      </w:r>
    </w:p>
    <w:p>
      <w:pPr>
        <w:spacing w:after="0" w:line="151"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$4.25 per common share (cash exercise equal to 7,058,824 shares of common stock). The $35 million warrant price is equivalent to $6.02 per common share (cash exercise equal to 5,813,953 shares of common stock). The warrants may only be exercised by net share settlement (cashless exercise) and are exercisable for nine years from April 1, 2010, subject to limited extension upon certain events specified in the warrant agreement. All of the warrants settle on a cashless basis and the net shares to be issued to Fletcher Ltd. upon exercise of the warrants will be less than the total shares that would have been issuable if the warrants had been exercised for cash payments.</w:t>
      </w:r>
    </w:p>
    <w:p>
      <w:pPr>
        <w:spacing w:after="0" w:line="12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Also, as part of the transaction, United and Fletcher entered into a servicing agreement whereby United will act as servicer of the nonperforming assets for Fletcher in exchange for a servicing fee of 20 basis points. The LLCs will pay all direct costs associated with the nonperforming loans and foreclosed properties. Because the servicing arrangement is considered a normal servicing arrangement and the fee is appropriate for the services provided, United did not recognize a servicing asset or liability related to the servicing agreement. Also as part of the servicing agreement, Fletcher maintains decision making authority with regard to the nonperforming loans and foreclosed properties except for minor, routine matters.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98"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147"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14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r>
      <w:tr>
        <w:trPr>
          <w:trHeight w:val="234"/>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ind w:left="340"/>
              <w:spacing w:after="0"/>
              <w:rPr>
                <w:sz w:val="20"/>
                <w:szCs w:val="20"/>
                <w:color w:val="auto"/>
              </w:rPr>
            </w:pPr>
            <w:r>
              <w:rPr>
                <w:rFonts w:ascii="Arial" w:cs="Arial" w:eastAsia="Arial" w:hAnsi="Arial"/>
                <w:sz w:val="18"/>
                <w:szCs w:val="18"/>
                <w:b w:val="1"/>
                <w:bCs w:val="1"/>
                <w:color w:val="auto"/>
              </w:rPr>
              <w:t>Valuation Approach</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Heirarchy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r>
      <w:tr>
        <w:trPr>
          <w:trHeight w:val="191"/>
        </w:trPr>
        <w:tc>
          <w:tcPr>
            <w:tcW w:w="45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5"/>
              </w:rPr>
              <w:t>Warrants Issued / Assets Transferred to Fletcher at Fair</w:t>
            </w:r>
          </w:p>
        </w:tc>
        <w:tc>
          <w:tcPr>
            <w:tcW w:w="16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02"/>
        </w:trPr>
        <w:tc>
          <w:tcPr>
            <w:tcW w:w="4540" w:type="dxa"/>
            <w:vAlign w:val="bottom"/>
          </w:tcPr>
          <w:p>
            <w:pPr>
              <w:ind w:left="200"/>
              <w:spacing w:after="0" w:line="201" w:lineRule="exact"/>
              <w:rPr>
                <w:sz w:val="20"/>
                <w:szCs w:val="20"/>
                <w:color w:val="auto"/>
              </w:rPr>
            </w:pPr>
            <w:r>
              <w:rPr>
                <w:rFonts w:ascii="Arial" w:cs="Arial" w:eastAsia="Arial" w:hAnsi="Arial"/>
                <w:sz w:val="18"/>
                <w:szCs w:val="18"/>
                <w:color w:val="auto"/>
              </w:rPr>
              <w:t>Warrant to purchase $30 million in common stock at</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540" w:type="dxa"/>
            <w:vAlign w:val="bottom"/>
          </w:tcPr>
          <w:p>
            <w:pPr>
              <w:ind w:left="400"/>
              <w:spacing w:after="0"/>
              <w:rPr>
                <w:sz w:val="20"/>
                <w:szCs w:val="20"/>
                <w:color w:val="auto"/>
              </w:rPr>
            </w:pPr>
            <w:r>
              <w:rPr>
                <w:rFonts w:ascii="Arial" w:cs="Arial" w:eastAsia="Arial" w:hAnsi="Arial"/>
                <w:sz w:val="18"/>
                <w:szCs w:val="18"/>
                <w:color w:val="auto"/>
              </w:rPr>
              <w:t>$4.25 per share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Black-Scholes</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17,577</w:t>
            </w:r>
            <w:r>
              <w:rPr>
                <w:rFonts w:ascii="Arial" w:cs="Arial" w:eastAsia="Arial" w:hAnsi="Arial"/>
                <w:sz w:val="15"/>
                <w:szCs w:val="15"/>
                <w:color w:val="auto"/>
              </w:rPr>
              <w:t>(1)</w:t>
            </w:r>
          </w:p>
        </w:tc>
      </w:tr>
      <w:tr>
        <w:trPr>
          <w:trHeight w:val="202"/>
        </w:trPr>
        <w:tc>
          <w:tcPr>
            <w:tcW w:w="4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Option to purchase convertible preferred stock and</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Monte-Carlo Simulation</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22,236</w:t>
            </w:r>
            <w:r>
              <w:rPr>
                <w:rFonts w:ascii="Arial" w:cs="Arial" w:eastAsia="Arial" w:hAnsi="Arial"/>
                <w:sz w:val="15"/>
                <w:szCs w:val="15"/>
                <w:color w:val="auto"/>
              </w:rPr>
              <w:t>(2)</w:t>
            </w:r>
          </w:p>
        </w:tc>
      </w:tr>
      <w:tr>
        <w:trPr>
          <w:trHeight w:val="205"/>
        </w:trPr>
        <w:tc>
          <w:tcPr>
            <w:tcW w:w="4540" w:type="dxa"/>
            <w:vAlign w:val="bottom"/>
          </w:tcPr>
          <w:p>
            <w:pPr>
              <w:ind w:left="600"/>
              <w:spacing w:after="0" w:line="205" w:lineRule="exact"/>
              <w:rPr>
                <w:sz w:val="20"/>
                <w:szCs w:val="20"/>
                <w:color w:val="auto"/>
              </w:rPr>
            </w:pPr>
            <w:r>
              <w:rPr>
                <w:rFonts w:ascii="Arial" w:cs="Arial" w:eastAsia="Arial" w:hAnsi="Arial"/>
                <w:sz w:val="18"/>
                <w:szCs w:val="18"/>
                <w:b w:val="1"/>
                <w:bCs w:val="1"/>
                <w:color w:val="auto"/>
                <w:w w:val="99"/>
              </w:rPr>
              <w:t>Fair value of equity instruments recognized in</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41"/>
        </w:trPr>
        <w:tc>
          <w:tcPr>
            <w:tcW w:w="4540" w:type="dxa"/>
            <w:vAlign w:val="bottom"/>
          </w:tcPr>
          <w:p>
            <w:pPr>
              <w:ind w:left="800"/>
              <w:spacing w:after="0"/>
              <w:rPr>
                <w:sz w:val="20"/>
                <w:szCs w:val="20"/>
                <w:color w:val="auto"/>
              </w:rPr>
            </w:pPr>
            <w:r>
              <w:rPr>
                <w:rFonts w:ascii="Arial" w:cs="Arial" w:eastAsia="Arial" w:hAnsi="Arial"/>
                <w:sz w:val="18"/>
                <w:szCs w:val="18"/>
                <w:b w:val="1"/>
                <w:bCs w:val="1"/>
                <w:color w:val="auto"/>
              </w:rPr>
              <w:t>capital surplus</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39,813</w:t>
            </w:r>
          </w:p>
        </w:tc>
      </w:tr>
      <w:tr>
        <w:trPr>
          <w:trHeight w:val="202"/>
        </w:trPr>
        <w:tc>
          <w:tcPr>
            <w:tcW w:w="4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Foreclosed properties transferred under Asset Purchase</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Appraised Value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33,434</w:t>
            </w:r>
            <w:r>
              <w:rPr>
                <w:rFonts w:ascii="Arial" w:cs="Arial" w:eastAsia="Arial" w:hAnsi="Arial"/>
                <w:sz w:val="15"/>
                <w:szCs w:val="15"/>
                <w:color w:val="auto"/>
              </w:rPr>
              <w:t>(3)</w:t>
            </w:r>
          </w:p>
        </w:tc>
      </w:tr>
      <w:tr>
        <w:trPr>
          <w:trHeight w:val="202"/>
        </w:trPr>
        <w:tc>
          <w:tcPr>
            <w:tcW w:w="4540" w:type="dxa"/>
            <w:vAlign w:val="bottom"/>
          </w:tcPr>
          <w:p>
            <w:pPr>
              <w:ind w:left="200"/>
              <w:spacing w:after="0" w:line="201" w:lineRule="exact"/>
              <w:rPr>
                <w:sz w:val="20"/>
                <w:szCs w:val="20"/>
                <w:color w:val="auto"/>
              </w:rPr>
            </w:pPr>
            <w:r>
              <w:rPr>
                <w:rFonts w:ascii="Arial" w:cs="Arial" w:eastAsia="Arial" w:hAnsi="Arial"/>
                <w:sz w:val="18"/>
                <w:szCs w:val="18"/>
                <w:color w:val="auto"/>
                <w:w w:val="97"/>
              </w:rPr>
              <w:t>Nonperforming loans transferred under Asset Purchase</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5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Collateral Appraised Value</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69,655</w:t>
            </w:r>
            <w:r>
              <w:rPr>
                <w:rFonts w:ascii="Arial" w:cs="Arial" w:eastAsia="Arial" w:hAnsi="Arial"/>
                <w:sz w:val="15"/>
                <w:szCs w:val="15"/>
                <w:color w:val="auto"/>
              </w:rPr>
              <w:t>(3)</w:t>
            </w:r>
          </w:p>
        </w:tc>
      </w:tr>
      <w:tr>
        <w:trPr>
          <w:trHeight w:val="27"/>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103,089</w:t>
            </w:r>
          </w:p>
        </w:tc>
      </w:tr>
      <w:tr>
        <w:trPr>
          <w:trHeight w:val="209"/>
        </w:trPr>
        <w:tc>
          <w:tcPr>
            <w:tcW w:w="454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540" w:type="dxa"/>
            <w:vAlign w:val="bottom"/>
          </w:tcPr>
          <w:p>
            <w:pPr>
              <w:ind w:left="800"/>
              <w:spacing w:after="0"/>
              <w:rPr>
                <w:sz w:val="20"/>
                <w:szCs w:val="20"/>
                <w:color w:val="auto"/>
              </w:rPr>
            </w:pPr>
            <w:r>
              <w:rPr>
                <w:rFonts w:ascii="Arial" w:cs="Arial" w:eastAsia="Arial" w:hAnsi="Arial"/>
                <w:sz w:val="18"/>
                <w:szCs w:val="18"/>
                <w:color w:val="auto"/>
              </w:rPr>
              <w:t>transferred</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142,902</w:t>
            </w:r>
          </w:p>
        </w:tc>
      </w:tr>
      <w:tr>
        <w:trPr>
          <w:trHeight w:val="223"/>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Cash and Notes Receivable Received in Exchange at Fair</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20,618</w:t>
            </w:r>
          </w:p>
        </w:tc>
      </w:tr>
      <w:tr>
        <w:trPr>
          <w:trHeight w:val="202"/>
        </w:trPr>
        <w:tc>
          <w:tcPr>
            <w:tcW w:w="4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Notes receivable (par value $82,471, net of $4,531</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Discounted Cash Flows</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77,940</w:t>
            </w:r>
            <w:r>
              <w:rPr>
                <w:rFonts w:ascii="Arial" w:cs="Arial" w:eastAsia="Arial" w:hAnsi="Arial"/>
                <w:sz w:val="15"/>
                <w:szCs w:val="15"/>
                <w:color w:val="auto"/>
              </w:rPr>
              <w:t>(4)</w:t>
            </w:r>
          </w:p>
        </w:tc>
      </w:tr>
      <w:tr>
        <w:trPr>
          <w:trHeight w:val="223"/>
        </w:trPr>
        <w:tc>
          <w:tcPr>
            <w:tcW w:w="4540" w:type="dxa"/>
            <w:vAlign w:val="bottom"/>
          </w:tcPr>
          <w:p>
            <w:pPr>
              <w:ind w:left="600"/>
              <w:spacing w:after="0"/>
              <w:rPr>
                <w:sz w:val="20"/>
                <w:szCs w:val="20"/>
                <w:color w:val="auto"/>
              </w:rPr>
            </w:pPr>
            <w:r>
              <w:rPr>
                <w:rFonts w:ascii="Arial" w:cs="Arial" w:eastAsia="Arial" w:hAnsi="Arial"/>
                <w:sz w:val="18"/>
                <w:szCs w:val="18"/>
                <w:color w:val="auto"/>
                <w:w w:val="99"/>
              </w:rPr>
              <w:t>Total value of cash and notes receivable received</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20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Fair value of assets and equity instruments transferred in</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cash and notes received</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44,344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Transaction fees</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r>
      <w:tr>
        <w:trPr>
          <w:trHeight w:val="223"/>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45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45,349</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(15,367)</w:t>
            </w:r>
          </w:p>
        </w:tc>
      </w:tr>
      <w:tr>
        <w:trPr>
          <w:trHeight w:val="27"/>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After tax loss</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29,982</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1115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8" w:lineRule="exact"/>
        <w:rPr>
          <w:sz w:val="20"/>
          <w:szCs w:val="20"/>
          <w:color w:val="auto"/>
        </w:rPr>
      </w:pPr>
    </w:p>
    <w:p>
      <w:pPr>
        <w:jc w:val="both"/>
        <w:ind w:left="720" w:right="159" w:hanging="388"/>
        <w:spacing w:after="0" w:line="279"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$17.6 million value of the $30 million warrant was determined as of April 1, 2010, the date the terms were agreed to and signed. The following modeling assumptions were used: dividend yield — 0%; risk-free interest rate — 3.89%; current stock price — $4.77; term - - 9 years; and volatility — 33%. Although most of the modeling assumptions were based on observable data, because of the subjectivity involved in estimating expected volatility, the valuation is considered Level 3.</w:t>
      </w:r>
    </w:p>
    <w:p>
      <w:pPr>
        <w:spacing w:after="0" w:line="22" w:lineRule="exact"/>
        <w:rPr>
          <w:rFonts w:ascii="Arial" w:cs="Arial" w:eastAsia="Arial" w:hAnsi="Arial"/>
          <w:sz w:val="14"/>
          <w:szCs w:val="14"/>
          <w:color w:val="auto"/>
        </w:rPr>
      </w:pPr>
    </w:p>
    <w:p>
      <w:pPr>
        <w:jc w:val="both"/>
        <w:ind w:left="720" w:right="159" w:hanging="388"/>
        <w:spacing w:after="0" w:line="276"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23" w:lineRule="exact"/>
        <w:rPr>
          <w:rFonts w:ascii="Arial" w:cs="Arial" w:eastAsia="Arial" w:hAnsi="Arial"/>
          <w:sz w:val="14"/>
          <w:szCs w:val="14"/>
          <w:color w:val="auto"/>
        </w:rPr>
      </w:pPr>
    </w:p>
    <w:p>
      <w:pPr>
        <w:jc w:val="both"/>
        <w:ind w:left="720" w:right="159" w:hanging="388"/>
        <w:spacing w:after="0" w:line="264"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32" w:lineRule="exact"/>
        <w:rPr>
          <w:rFonts w:ascii="Arial" w:cs="Arial" w:eastAsia="Arial" w:hAnsi="Arial"/>
          <w:sz w:val="15"/>
          <w:szCs w:val="15"/>
          <w:color w:val="auto"/>
        </w:rPr>
      </w:pPr>
    </w:p>
    <w:p>
      <w:pPr>
        <w:jc w:val="both"/>
        <w:ind w:left="720" w:right="159" w:hanging="388"/>
        <w:spacing w:after="0" w:line="272"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United reported a net operating loss from continuing operations of $25.8 million for the third quarter of 2010. This compared to a net operating loss from continuing operations of $43.8 million for the same period in 2009. The 2010 and 2009 net operating loss from continuing operations excluded goodwill impairment charges of $211 million and $25.0 million, respectively. Including the goodwill impairment charges, the net loss for the third quarter of 2010 and 2009 was $236 million and $68.7 million, respectively. For the third quarter of 2010, diluted operating loss from continuing operations per share was $.30. This compared to diluted operating loss from continuing operations per share of $.93 for the third quarter of 2009. The diluted operating loss from continuing operations per share for the third quarter of 2010 and 2009 excluded $2.22 and $.50, respectively, in loss per share related to goodwill impairment charges.</w:t>
      </w:r>
    </w:p>
    <w:p>
      <w:pPr>
        <w:spacing w:after="0" w:line="127"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For the first nine months of 2010, United reported a net operating loss from continuing operations of $120 million, which included the $30.0 million after-tax loss related to the Fletcher transaction and excluded the $211 million goodwill impairment charge. This compared to a net operating loss from continuing operations of $99.0 million for the first nine months of 2009, which excluded the $7.1 million gain on acquisition, net of tax; non-cash goodwill impairment charges of $95 million; and non-recurring severance costs of $1.8 million. The net loss for the nine months ended September 30, 2010, which includes discontinued operations and goodwill impairment, was $329 million. Including discontinued operations, the gain on acquisition, goodwill impairment charges and severance costs, net loss was $188 million for the nine months ended September 30, 2009. Diluted operating loss from continuing operations per share for the nine months ended September 30, 2010 was $1.35, of which the loss on the sale of nonperforming assets to Fletcher represented $.32. This compared to diluted operating loss per share from continuing operations of $2.18 for the same period in 2009. The diluted operating loss per share from continuing operations for the first nine months of 2010 excluded $2.22 in loss related to the third quarter goodwill impairment charge. The diluted operating loss per share for the first nine months of 2009 excluded $.14 in earnings per share related to the gain on acquisition and $1.93 and $.04 in loss per share related to the goodwill impairment charges and severance costs, respectively. The net operating losses from continuing operations in the third quarter and first nine months of 2010 reflect elevated foreclosed property costs related to the continuing effect of the challenging economic environment and the weak residential construction and housing markets.</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600"/>
              <w:spacing w:after="0" w:line="158" w:lineRule="exact"/>
              <w:rPr>
                <w:sz w:val="20"/>
                <w:szCs w:val="20"/>
                <w:color w:val="auto"/>
              </w:rPr>
            </w:pPr>
            <w:r>
              <w:rPr>
                <w:rFonts w:ascii="Arial" w:cs="Arial" w:eastAsia="Arial" w:hAnsi="Arial"/>
                <w:sz w:val="14"/>
                <w:szCs w:val="14"/>
                <w:b w:val="1"/>
                <w:bCs w:val="1"/>
                <w:color w:val="auto"/>
              </w:rPr>
              <w:t>For the Nine</w:t>
            </w: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2"/>
                <w:szCs w:val="12"/>
                <w:color w:val="auto"/>
              </w:rPr>
            </w:pPr>
          </w:p>
        </w:tc>
        <w:tc>
          <w:tcPr>
            <w:tcW w:w="8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2"/>
                <w:szCs w:val="12"/>
                <w:color w:val="auto"/>
              </w:rPr>
            </w:pPr>
          </w:p>
        </w:tc>
        <w:tc>
          <w:tcPr>
            <w:tcW w:w="4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2"/>
                <w:szCs w:val="12"/>
                <w:color w:val="auto"/>
              </w:rPr>
            </w:pPr>
          </w:p>
        </w:tc>
        <w:tc>
          <w:tcPr>
            <w:tcW w:w="7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2010-2009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Months Ended</w:t>
            </w: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2010-2009</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40" w:type="dxa"/>
            <w:vAlign w:val="bottom"/>
          </w:tcPr>
          <w:p>
            <w:pPr>
              <w:spacing w:after="0"/>
              <w:rPr>
                <w:sz w:val="12"/>
                <w:szCs w:val="12"/>
                <w:color w:val="auto"/>
              </w:rPr>
            </w:pPr>
          </w:p>
        </w:tc>
        <w:tc>
          <w:tcPr>
            <w:tcW w:w="8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2"/>
                <w:szCs w:val="12"/>
                <w:color w:val="auto"/>
              </w:rPr>
            </w:pPr>
          </w:p>
        </w:tc>
        <w:tc>
          <w:tcPr>
            <w:tcW w:w="80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2"/>
                <w:szCs w:val="12"/>
                <w:color w:val="auto"/>
              </w:rPr>
            </w:pPr>
          </w:p>
        </w:tc>
        <w:tc>
          <w:tcPr>
            <w:tcW w:w="8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Quarter</w:t>
            </w:r>
          </w:p>
        </w:tc>
        <w:tc>
          <w:tcPr>
            <w:tcW w:w="8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7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Interest revenue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84,360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87,699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89,849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97,481</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101,181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261,908</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307,480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28,570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33,552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38,177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78,988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126,182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tcPr>
          <w:p>
            <w:pPr>
              <w:ind w:left="400"/>
              <w:spacing w:after="0" w:line="155" w:lineRule="exact"/>
              <w:rPr>
                <w:sz w:val="20"/>
                <w:szCs w:val="20"/>
                <w:color w:val="auto"/>
              </w:rPr>
            </w:pPr>
            <w:r>
              <w:rPr>
                <w:rFonts w:ascii="Arial" w:cs="Arial" w:eastAsia="Arial" w:hAnsi="Arial"/>
                <w:sz w:val="14"/>
                <w:szCs w:val="14"/>
                <w:color w:val="auto"/>
              </w:rPr>
              <w:t>Net interest revenue</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60,014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61,627</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61,279</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63,929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63,004</w:t>
            </w:r>
          </w:p>
        </w:tc>
        <w:tc>
          <w:tcPr>
            <w:tcW w:w="24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182,920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181,298</w:t>
            </w:r>
          </w:p>
        </w:tc>
        <w:tc>
          <w:tcPr>
            <w:tcW w:w="24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50,500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187,000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 xml:space="preserve">Operating fee revenue </w:t>
            </w:r>
            <w:r>
              <w:rPr>
                <w:rFonts w:ascii="Arial" w:cs="Arial" w:eastAsia="Arial" w:hAnsi="Arial"/>
                <w:sz w:val="12"/>
                <w:szCs w:val="12"/>
                <w:color w:val="auto"/>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11,579</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14,447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13,389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36,517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 xml:space="preserve">Total operating revenue </w:t>
            </w:r>
            <w:r>
              <w:rPr>
                <w:rFonts w:ascii="Arial" w:cs="Arial" w:eastAsia="Arial" w:hAnsi="Arial"/>
                <w:sz w:val="12"/>
                <w:szCs w:val="12"/>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22,375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(11,624)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(18,607)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32,026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58,308</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54,820</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60,126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51,426</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178,034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156,924</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Loss on sale of nonperforming assets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45,349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45,349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40" w:type="dxa"/>
            <w:vAlign w:val="bottom"/>
          </w:tcPr>
          <w:p>
            <w:pPr>
              <w:ind w:left="400"/>
              <w:spacing w:after="0" w:line="137" w:lineRule="exact"/>
              <w:rPr>
                <w:sz w:val="20"/>
                <w:szCs w:val="20"/>
                <w:color w:val="auto"/>
              </w:rPr>
            </w:pPr>
            <w:r>
              <w:rPr>
                <w:rFonts w:ascii="Arial" w:cs="Arial" w:eastAsia="Arial" w:hAnsi="Arial"/>
                <w:sz w:val="14"/>
                <w:szCs w:val="14"/>
                <w:color w:val="auto"/>
                <w:w w:val="95"/>
              </w:rPr>
              <w:t>Operating loss from continuing</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600"/>
              <w:spacing w:after="0"/>
              <w:rPr>
                <w:sz w:val="20"/>
                <w:szCs w:val="20"/>
                <w:color w:val="auto"/>
              </w:rPr>
            </w:pPr>
            <w:r>
              <w:rPr>
                <w:rFonts w:ascii="Arial" w:cs="Arial" w:eastAsia="Arial" w:hAnsi="Arial"/>
                <w:sz w:val="14"/>
                <w:szCs w:val="14"/>
                <w:color w:val="auto"/>
              </w:rPr>
              <w:t>operations before taxes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(42,531)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(91,951)</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(56,875)</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(71,750)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(70,033)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(191,357)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(159,109)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 benefit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(32,419)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(22,417)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(31,687)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(26,252)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(71,542)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(60,067)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Net operating loss from</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40" w:type="dxa"/>
            <w:vAlign w:val="bottom"/>
          </w:tcPr>
          <w:p>
            <w:pPr>
              <w:ind w:left="600"/>
              <w:spacing w:after="0"/>
              <w:rPr>
                <w:sz w:val="20"/>
                <w:szCs w:val="20"/>
                <w:color w:val="auto"/>
              </w:rPr>
            </w:pPr>
            <w:r>
              <w:rPr>
                <w:rFonts w:ascii="Arial" w:cs="Arial" w:eastAsia="Arial" w:hAnsi="Arial"/>
                <w:sz w:val="14"/>
                <w:szCs w:val="14"/>
                <w:b w:val="1"/>
                <w:bCs w:val="1"/>
                <w:color w:val="auto"/>
                <w:w w:val="97"/>
              </w:rPr>
              <w:t xml:space="preserve">continuing operations </w:t>
            </w:r>
            <w:r>
              <w:rPr>
                <w:rFonts w:ascii="Arial" w:cs="Arial" w:eastAsia="Arial" w:hAnsi="Arial"/>
                <w:sz w:val="12"/>
                <w:szCs w:val="12"/>
                <w:color w:val="auto"/>
                <w:w w:val="97"/>
              </w:rPr>
              <w:t>(1)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(25,825)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9"/>
              </w:rPr>
              <w:t>(59,532)</w:t>
            </w:r>
          </w:p>
        </w:tc>
        <w:tc>
          <w:tcPr>
            <w:tcW w:w="10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5"/>
              </w:rPr>
              <w:t>(34,458)</w:t>
            </w:r>
          </w:p>
        </w:tc>
        <w:tc>
          <w:tcPr>
            <w:tcW w:w="8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(40,063)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5"/>
              </w:rPr>
              <w:t>(43,781)</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3"/>
              </w:rPr>
              <w:t>(119,815)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(99,042)</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6"/>
        </w:trPr>
        <w:tc>
          <w:tcPr>
            <w:tcW w:w="2240" w:type="dxa"/>
            <w:vAlign w:val="bottom"/>
          </w:tcPr>
          <w:p>
            <w:pPr>
              <w:ind w:left="60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Gain from acquisition, net of tax</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7,062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3"/>
              </w:rPr>
              <w:t>Noncash goodwill impairment charges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(210,590)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(25,000)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(210,590)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(95,000)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costs, net of tax benefit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(Loss) income from discontinued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200"/>
              <w:spacing w:after="0"/>
              <w:rPr>
                <w:sz w:val="20"/>
                <w:szCs w:val="20"/>
                <w:color w:val="auto"/>
              </w:rPr>
            </w:pPr>
            <w:r>
              <w:rPr>
                <w:rFonts w:ascii="Arial" w:cs="Arial" w:eastAsia="Arial" w:hAnsi="Arial"/>
                <w:sz w:val="14"/>
                <w:szCs w:val="14"/>
                <w:color w:val="auto"/>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285</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Gain from sale of subsidiary, net of</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and selling costs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40" w:type="dxa"/>
            <w:vAlign w:val="bottom"/>
          </w:tcPr>
          <w:p>
            <w:pPr>
              <w:ind w:left="400"/>
              <w:spacing w:after="0" w:line="155" w:lineRule="exact"/>
              <w:rPr>
                <w:sz w:val="20"/>
                <w:szCs w:val="20"/>
                <w:color w:val="auto"/>
              </w:rPr>
            </w:pPr>
            <w:r>
              <w:rPr>
                <w:rFonts w:ascii="Arial" w:cs="Arial" w:eastAsia="Arial" w:hAnsi="Arial"/>
                <w:sz w:val="14"/>
                <w:szCs w:val="14"/>
                <w:b w:val="1"/>
                <w:bCs w:val="1"/>
                <w:color w:val="auto"/>
              </w:rPr>
              <w:t>Net loss</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(236,415)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(59,532)</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(33,293)</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(39,835)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(68,718)</w:t>
            </w:r>
          </w:p>
        </w:tc>
        <w:tc>
          <w:tcPr>
            <w:tcW w:w="240" w:type="dxa"/>
            <w:vAlign w:val="bottom"/>
          </w:tcPr>
          <w:p>
            <w:pPr>
              <w:spacing w:after="0"/>
              <w:rPr>
                <w:sz w:val="13"/>
                <w:szCs w:val="13"/>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(244)</w:t>
            </w: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(329,240)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(188,492)</w:t>
            </w:r>
          </w:p>
        </w:tc>
        <w:tc>
          <w:tcPr>
            <w:tcW w:w="2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accretion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2,581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2,562</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7,730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7,675</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4"/>
                <w:szCs w:val="14"/>
                <w:b w:val="1"/>
                <w:bCs w:val="1"/>
                <w:color w:val="auto"/>
              </w:rPr>
              <w:t>Net loss available to common</w:t>
            </w: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Pr>
          <w:p>
            <w:pPr>
              <w:ind w:left="20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(238,996)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(62,109)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(35,865)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(42,402)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(71,280)</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(336,970)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(196,167)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Per common share: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Diluted operating loss from</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7"/>
              </w:rPr>
              <w:t xml:space="preserve">continuing operations </w:t>
            </w:r>
            <w:r>
              <w:rPr>
                <w:rFonts w:ascii="Arial" w:cs="Arial" w:eastAsia="Arial" w:hAnsi="Arial"/>
                <w:sz w:val="12"/>
                <w:szCs w:val="12"/>
                <w:color w:val="auto"/>
                <w:w w:val="97"/>
              </w:rPr>
              <w:t>(1)(2)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240" w:type="dxa"/>
            <w:vAlign w:val="bottom"/>
          </w:tcPr>
          <w:p>
            <w:pPr>
              <w:ind w:left="400"/>
              <w:spacing w:after="0" w:line="130" w:lineRule="exact"/>
              <w:rPr>
                <w:sz w:val="20"/>
                <w:szCs w:val="20"/>
                <w:color w:val="auto"/>
              </w:rPr>
            </w:pPr>
            <w:r>
              <w:rPr>
                <w:rFonts w:ascii="Arial" w:cs="Arial" w:eastAsia="Arial" w:hAnsi="Arial"/>
                <w:sz w:val="14"/>
                <w:szCs w:val="14"/>
                <w:color w:val="auto"/>
              </w:rPr>
              <w:t>Diluted loss from continuing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600"/>
              <w:spacing w:after="0"/>
              <w:rPr>
                <w:sz w:val="20"/>
                <w:szCs w:val="20"/>
                <w:color w:val="auto"/>
              </w:rPr>
            </w:pPr>
            <w:r>
              <w:rPr>
                <w:rFonts w:ascii="Arial" w:cs="Arial" w:eastAsia="Arial" w:hAnsi="Arial"/>
                <w:sz w:val="14"/>
                <w:szCs w:val="14"/>
                <w:color w:val="auto"/>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(2.52)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(1.43)</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(4.01)</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Diluted loss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40" w:type="dxa"/>
            <w:vAlign w:val="bottom"/>
          </w:tcPr>
          <w:p>
            <w:pPr>
              <w:ind w:left="400"/>
              <w:spacing w:after="0" w:line="149" w:lineRule="exact"/>
              <w:rPr>
                <w:sz w:val="20"/>
                <w:szCs w:val="20"/>
                <w:color w:val="auto"/>
              </w:rPr>
            </w:pPr>
            <w:r>
              <w:rPr>
                <w:rFonts w:ascii="Arial" w:cs="Arial" w:eastAsia="Arial" w:hAnsi="Arial"/>
                <w:sz w:val="14"/>
                <w:szCs w:val="14"/>
                <w:color w:val="auto"/>
              </w:rPr>
              <w:t xml:space="preserve">Stock dividends declared </w:t>
            </w:r>
            <w:r>
              <w:rPr>
                <w:rFonts w:ascii="Arial" w:cs="Arial" w:eastAsia="Arial" w:hAnsi="Arial"/>
                <w:sz w:val="12"/>
                <w:szCs w:val="12"/>
                <w:color w:val="auto"/>
              </w:rPr>
              <w:t>(6)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 for 130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 for 130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Book value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2"/>
        </w:trPr>
        <w:tc>
          <w:tcPr>
            <w:tcW w:w="2240" w:type="dxa"/>
            <w:vAlign w:val="bottom"/>
          </w:tcPr>
          <w:p>
            <w:pPr>
              <w:ind w:left="400"/>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2"/>
                <w:szCs w:val="12"/>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5.05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6.02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6.50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Key performance ratios: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00"/>
              <w:spacing w:after="0" w:line="149"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12"/>
                <w:szCs w:val="12"/>
                <w:color w:val="auto"/>
              </w:rPr>
              <w:t>(3)(5)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(35.89)%</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(45.52)%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(65.69)%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2"/>
                <w:szCs w:val="12"/>
                <w:color w:val="auto"/>
              </w:rPr>
              <w:t>(5)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(3.05)</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0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2"/>
                <w:szCs w:val="12"/>
                <w:color w:val="auto"/>
              </w:rPr>
              <w:t>(5)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3.49</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3.39</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Operating efficiency ratio from</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7"/>
              </w:rPr>
              <w:t xml:space="preserve">continuing operations </w:t>
            </w:r>
            <w:r>
              <w:rPr>
                <w:rFonts w:ascii="Arial" w:cs="Arial" w:eastAsia="Arial" w:hAnsi="Arial"/>
                <w:sz w:val="12"/>
                <w:szCs w:val="12"/>
                <w:color w:val="auto"/>
                <w:w w:val="97"/>
              </w:rPr>
              <w:t>(1)(2)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141.60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75.22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68.35</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72.29</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400"/>
              <w:spacing w:after="0" w:line="149" w:lineRule="exact"/>
              <w:rPr>
                <w:sz w:val="20"/>
                <w:szCs w:val="20"/>
                <w:color w:val="auto"/>
              </w:rPr>
            </w:pPr>
            <w:r>
              <w:rPr>
                <w:rFonts w:ascii="Arial" w:cs="Arial" w:eastAsia="Arial" w:hAnsi="Arial"/>
                <w:sz w:val="14"/>
                <w:szCs w:val="14"/>
                <w:color w:val="auto"/>
              </w:rPr>
              <w:t>Equity to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11.84</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Tangible equity to assets </w:t>
            </w:r>
            <w:r>
              <w:rPr>
                <w:rFonts w:ascii="Arial" w:cs="Arial" w:eastAsia="Arial" w:hAnsi="Arial"/>
                <w:sz w:val="12"/>
                <w:szCs w:val="12"/>
                <w:color w:val="auto"/>
              </w:rPr>
              <w:t>(4)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ind w:left="400"/>
              <w:spacing w:after="0" w:line="130" w:lineRule="exact"/>
              <w:rPr>
                <w:sz w:val="20"/>
                <w:szCs w:val="20"/>
                <w:color w:val="auto"/>
              </w:rPr>
            </w:pPr>
            <w:r>
              <w:rPr>
                <w:rFonts w:ascii="Arial" w:cs="Arial" w:eastAsia="Arial" w:hAnsi="Arial"/>
                <w:sz w:val="14"/>
                <w:szCs w:val="14"/>
                <w:color w:val="auto"/>
              </w:rPr>
              <w:t>Tangible common equity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600"/>
              <w:spacing w:after="0"/>
              <w:rPr>
                <w:sz w:val="20"/>
                <w:szCs w:val="20"/>
                <w:color w:val="auto"/>
              </w:rPr>
            </w:pPr>
            <w:r>
              <w:rPr>
                <w:rFonts w:ascii="Arial" w:cs="Arial" w:eastAsia="Arial" w:hAnsi="Arial"/>
                <w:sz w:val="14"/>
                <w:szCs w:val="14"/>
                <w:color w:val="auto"/>
              </w:rPr>
              <w:t xml:space="preserve">assets </w:t>
            </w: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6.78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7.37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5.36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6.94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5.74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Tangible common equity to</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10.67</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10.67</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240" w:type="dxa"/>
            <w:vAlign w:val="bottom"/>
          </w:tcPr>
          <w:p>
            <w:pPr>
              <w:spacing w:after="0"/>
              <w:rPr>
                <w:sz w:val="20"/>
                <w:szCs w:val="20"/>
                <w:color w:val="auto"/>
              </w:rPr>
            </w:pPr>
            <w:r>
              <w:rPr>
                <w:rFonts w:ascii="Arial" w:cs="Arial" w:eastAsia="Arial" w:hAnsi="Arial"/>
                <w:sz w:val="14"/>
                <w:szCs w:val="14"/>
                <w:b w:val="1"/>
                <w:bCs w:val="1"/>
                <w:color w:val="auto"/>
              </w:rPr>
              <w:t>ASSET QUALITY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Non-performing loans</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217,766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224,335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280,802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264,092</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304,381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217,766</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304,381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Foreclosed properties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129,964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123,910</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136,275</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120,770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110,610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129,964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110,610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non-performing assets</w:t>
            </w: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(NPAs)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8"/>
              </w:rPr>
              <w:t>347,730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348,245</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417,077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0"/>
              </w:rPr>
              <w:t>384,862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414,991</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347,730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414,991</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Allowance for loan losses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174,613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174,111</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173,934</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155,602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150,187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174,613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150,187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charge-offs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61,323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56,668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84,585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90,491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167,989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192,084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w w:val="95"/>
              </w:rPr>
              <w:t>Allowance for loan losses to loans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 xml:space="preserve">Net charge-offs to average loans </w:t>
            </w:r>
            <w:r>
              <w:rPr>
                <w:rFonts w:ascii="Arial" w:cs="Arial" w:eastAsia="Arial" w:hAnsi="Arial"/>
                <w:sz w:val="12"/>
                <w:szCs w:val="12"/>
                <w:color w:val="auto"/>
                <w:w w:val="91"/>
              </w:rPr>
              <w:t>(5)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40" w:type="dxa"/>
            <w:vAlign w:val="bottom"/>
          </w:tcPr>
          <w:p>
            <w:pPr>
              <w:ind w:left="200"/>
              <w:spacing w:after="0" w:line="130" w:lineRule="exact"/>
              <w:rPr>
                <w:sz w:val="20"/>
                <w:szCs w:val="20"/>
                <w:color w:val="auto"/>
              </w:rPr>
            </w:pPr>
            <w:r>
              <w:rPr>
                <w:rFonts w:ascii="Arial" w:cs="Arial" w:eastAsia="Arial" w:hAnsi="Arial"/>
                <w:sz w:val="14"/>
                <w:szCs w:val="14"/>
                <w:color w:val="auto"/>
              </w:rPr>
              <w:t>NPAs to loans and foreclosed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400"/>
              <w:spacing w:after="0"/>
              <w:rPr>
                <w:sz w:val="20"/>
                <w:szCs w:val="20"/>
                <w:color w:val="auto"/>
              </w:rPr>
            </w:pPr>
            <w:r>
              <w:rPr>
                <w:rFonts w:ascii="Arial" w:cs="Arial" w:eastAsia="Arial" w:hAnsi="Arial"/>
                <w:sz w:val="14"/>
                <w:szCs w:val="14"/>
                <w:color w:val="auto"/>
              </w:rPr>
              <w:t>properties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7.11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8.13</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7.30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7.58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7.58</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NPAs to total assets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240" w:type="dxa"/>
            <w:vAlign w:val="bottom"/>
          </w:tcPr>
          <w:p>
            <w:pPr>
              <w:spacing w:after="0"/>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200"/>
              <w:spacing w:after="0"/>
              <w:rPr>
                <w:sz w:val="20"/>
                <w:szCs w:val="20"/>
                <w:color w:val="auto"/>
              </w:rPr>
            </w:pPr>
            <w:r>
              <w:rPr>
                <w:rFonts w:ascii="Arial" w:cs="Arial" w:eastAsia="Arial" w:hAnsi="Arial"/>
                <w:sz w:val="14"/>
                <w:szCs w:val="14"/>
                <w:i w:val="1"/>
                <w:iCs w:val="1"/>
                <w:color w:val="auto"/>
              </w:rPr>
              <w:t>millions)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5,173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5,357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5,565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5,026</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1,532</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1,518</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1,615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7,085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7,401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7,457</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7,704</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7,946</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8,208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8,264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6,570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6,835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6,690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6,671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912</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843</w:t>
            </w:r>
          </w:p>
        </w:tc>
        <w:tc>
          <w:tcPr>
            <w:tcW w:w="2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2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 basic</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94,679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94,524</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94,390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94,219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49,771</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94,527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48,968</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40" w:type="dxa"/>
            <w:vAlign w:val="bottom"/>
          </w:tcPr>
          <w:p>
            <w:pPr>
              <w:ind w:left="200"/>
              <w:spacing w:after="0" w:line="130" w:lineRule="exact"/>
              <w:rPr>
                <w:sz w:val="20"/>
                <w:szCs w:val="20"/>
                <w:color w:val="auto"/>
              </w:rPr>
            </w:pPr>
            <w:r>
              <w:rPr>
                <w:rFonts w:ascii="Arial" w:cs="Arial" w:eastAsia="Arial" w:hAnsi="Arial"/>
                <w:sz w:val="14"/>
                <w:szCs w:val="14"/>
                <w:color w:val="auto"/>
              </w:rPr>
              <w:t>Common shares — diluted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400"/>
              <w:spacing w:after="0"/>
              <w:rPr>
                <w:sz w:val="20"/>
                <w:szCs w:val="20"/>
                <w:color w:val="auto"/>
              </w:rPr>
            </w:pPr>
            <w:r>
              <w:rPr>
                <w:rFonts w:ascii="Arial" w:cs="Arial" w:eastAsia="Arial" w:hAnsi="Arial"/>
                <w:sz w:val="14"/>
                <w:szCs w:val="14"/>
                <w:i w:val="1"/>
                <w:iCs w:val="1"/>
                <w:color w:val="auto"/>
              </w:rPr>
              <w:t>(thousands)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94,679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94,524</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94,390</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94,219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49,771</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94,527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48,968</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Loans *</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4,873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5,151</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5,363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4,760</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5,363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7,652</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7,837</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8,444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8,444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6,330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6,488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904</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24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outstanding</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94,433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94,281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94,176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94,046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93,901</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94,433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93,901</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the gain from acquisition of $11.4 million, (income tax expense of $4.3 million) in the second quarter of 2009 and revenue generated by discontinued operations in all periods presented.</w:t>
      </w:r>
    </w:p>
    <w:p>
      <w:pPr>
        <w:spacing w:after="0" w:line="21" w:lineRule="exact"/>
        <w:rPr>
          <w:rFonts w:ascii="Arial" w:cs="Arial" w:eastAsia="Arial" w:hAnsi="Arial"/>
          <w:sz w:val="15"/>
          <w:szCs w:val="15"/>
          <w:color w:val="auto"/>
        </w:rPr>
      </w:pPr>
    </w:p>
    <w:p>
      <w:pPr>
        <w:jc w:val="both"/>
        <w:ind w:left="720" w:right="179" w:hanging="388"/>
        <w:spacing w:after="0" w:line="264"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goodwill impairment charges of $211 million in the third quarter of 2010 and $25 million and $70 million in the third and first quarters of 2009, respectively, severance costs of $2.9 million, (income tax benefit of $1.1 million) in the first quarter of 2009 and expenses relating to discontinued operations for all periods presented.</w:t>
      </w:r>
    </w:p>
    <w:p>
      <w:pPr>
        <w:sectPr>
          <w:pgSz w:w="11900" w:h="16838" w:orient="portrait"/>
          <w:cols w:equalWidth="0" w:num="1">
            <w:col w:w="10219"/>
          </w:cols>
          <w:pgMar w:left="240" w:top="419" w:right="1440" w:bottom="0" w:gutter="0" w:footer="0" w:header="0"/>
        </w:sectPr>
      </w:pPr>
    </w:p>
    <w:bookmarkStart w:id="32" w:name="page33"/>
    <w:bookmarkEnd w:id="32"/>
    <w:p>
      <w:pPr>
        <w:ind w:left="388" w:right="159" w:hanging="388"/>
        <w:spacing w:after="0" w:line="190" w:lineRule="auto"/>
        <w:tabs>
          <w:tab w:leader="none" w:pos="388" w:val="left"/>
        </w:tabs>
        <w:numPr>
          <w:ilvl w:val="0"/>
          <w:numId w:val="10"/>
        </w:numPr>
        <w:rPr>
          <w:rFonts w:ascii="Arial" w:cs="Arial" w:eastAsia="Arial" w:hAnsi="Arial"/>
          <w:sz w:val="31"/>
          <w:szCs w:val="31"/>
          <w:color w:val="auto"/>
          <w:vertAlign w:val="superscript"/>
        </w:rPr>
      </w:pPr>
      <w:r>
        <w:rPr>
          <w:rFonts w:ascii="Arial" w:cs="Arial" w:eastAsia="Arial" w:hAnsi="Arial"/>
          <w:sz w:val="18"/>
          <w:szCs w:val="18"/>
          <w:color w:val="auto"/>
        </w:rPr>
        <w:t>Net loss available to common shareholders, which is net of preferred stock dividends, divided by average realized common equity, which excludes accumulated other comprehensive income (loss).</w:t>
      </w:r>
    </w:p>
    <w:p>
      <w:pPr>
        <w:spacing w:after="0" w:line="53" w:lineRule="exact"/>
        <w:rPr>
          <w:rFonts w:ascii="Arial" w:cs="Arial" w:eastAsia="Arial" w:hAnsi="Arial"/>
          <w:sz w:val="31"/>
          <w:szCs w:val="31"/>
          <w:color w:val="auto"/>
          <w:vertAlign w:val="superscript"/>
        </w:rPr>
      </w:pPr>
    </w:p>
    <w:p>
      <w:pPr>
        <w:ind w:left="388" w:hanging="388"/>
        <w:spacing w:after="0"/>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5"/>
          <w:szCs w:val="15"/>
          <w:color w:val="auto"/>
        </w:rPr>
      </w:pPr>
    </w:p>
    <w:p>
      <w:pPr>
        <w:ind w:left="388" w:hanging="388"/>
        <w:spacing w:after="0"/>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Annualized.</w:t>
      </w:r>
    </w:p>
    <w:p>
      <w:pPr>
        <w:spacing w:after="0" w:line="76" w:lineRule="exact"/>
        <w:rPr>
          <w:rFonts w:ascii="Arial" w:cs="Arial" w:eastAsia="Arial" w:hAnsi="Arial"/>
          <w:sz w:val="15"/>
          <w:szCs w:val="15"/>
          <w:color w:val="auto"/>
        </w:rPr>
      </w:pPr>
    </w:p>
    <w:p>
      <w:pPr>
        <w:ind w:left="388" w:hanging="388"/>
        <w:spacing w:after="0"/>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Number of new shares issued for shares currently held.</w:t>
      </w:r>
    </w:p>
    <w:p>
      <w:pPr>
        <w:spacing w:after="0" w:line="77" w:lineRule="exact"/>
        <w:rPr>
          <w:sz w:val="20"/>
          <w:szCs w:val="20"/>
          <w:color w:val="auto"/>
        </w:rPr>
      </w:pPr>
    </w:p>
    <w:p>
      <w:pPr>
        <w:ind w:left="4768" w:right="2819" w:hanging="4768"/>
        <w:spacing w:after="0" w:line="951" w:lineRule="auto"/>
        <w:tabs>
          <w:tab w:leader="none" w:pos="3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33" w:name="page34"/>
    <w:bookmarkEnd w:id="33"/>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8"/>
                <w:szCs w:val="18"/>
                <w:b w:val="1"/>
                <w:bCs w:val="1"/>
                <w:color w:val="auto"/>
              </w:rPr>
              <w:t>2009</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Nine</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8"/>
                <w:szCs w:val="18"/>
                <w:i w:val="1"/>
                <w:iCs w:val="1"/>
                <w:color w:val="auto"/>
                <w:w w:val="88"/>
              </w:rPr>
              <w:t>(in thousands, except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Third</w:t>
            </w: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First</w:t>
            </w:r>
          </w:p>
        </w:tc>
        <w:tc>
          <w:tcPr>
            <w:tcW w:w="3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20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Quarter</w:t>
            </w: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Interest revenue — taxable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equivalent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84,360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87,699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89,849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97,481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101,181</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261,908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307,480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0"/>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2240" w:type="dxa"/>
            <w:vAlign w:val="bottom"/>
          </w:tcPr>
          <w:p>
            <w:pPr>
              <w:ind w:left="200"/>
              <w:spacing w:after="0"/>
              <w:rPr>
                <w:sz w:val="20"/>
                <w:szCs w:val="20"/>
                <w:color w:val="auto"/>
              </w:rPr>
            </w:pPr>
            <w:r>
              <w:rPr>
                <w:rFonts w:ascii="Arial" w:cs="Arial" w:eastAsia="Arial" w:hAnsi="Arial"/>
                <w:sz w:val="18"/>
                <w:szCs w:val="18"/>
                <w:color w:val="auto"/>
              </w:rPr>
              <w:t>Interest revenue (GAAP)</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89,356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96,880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260,404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305,949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interest revenue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w w:val="89"/>
              </w:rPr>
              <w:t>Net interest revenue — taxable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equivalent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61,627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61,279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63,929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182,920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181,298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0"/>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9"/>
        </w:trPr>
        <w:tc>
          <w:tcPr>
            <w:tcW w:w="2240" w:type="dxa"/>
            <w:vAlign w:val="bottom"/>
          </w:tcPr>
          <w:p>
            <w:pPr>
              <w:ind w:left="200"/>
              <w:spacing w:after="0"/>
              <w:rPr>
                <w:sz w:val="20"/>
                <w:szCs w:val="20"/>
                <w:color w:val="auto"/>
              </w:rPr>
            </w:pPr>
            <w:r>
              <w:rPr>
                <w:rFonts w:ascii="Arial" w:cs="Arial" w:eastAsia="Arial" w:hAnsi="Arial"/>
                <w:sz w:val="18"/>
                <w:szCs w:val="18"/>
                <w:color w:val="auto"/>
              </w:rPr>
              <w:t>Net interest revenue</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400"/>
              <w:spacing w:after="0"/>
              <w:rPr>
                <w:sz w:val="20"/>
                <w:szCs w:val="20"/>
                <w:color w:val="auto"/>
              </w:rPr>
            </w:pPr>
            <w:r>
              <w:rPr>
                <w:rFonts w:ascii="Arial" w:cs="Arial" w:eastAsia="Arial" w:hAnsi="Arial"/>
                <w:sz w:val="18"/>
                <w:szCs w:val="18"/>
                <w:color w:val="auto"/>
              </w:rPr>
              <w:t>(GAAP)</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59,503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61,127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60,786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63,328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62,424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181,416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179,767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Fee revenue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Operating fee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12,861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11,579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11,666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13,389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36,106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36,517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0"/>
              <w:spacing w:after="0"/>
              <w:rPr>
                <w:sz w:val="20"/>
                <w:szCs w:val="20"/>
                <w:color w:val="auto"/>
              </w:rPr>
            </w:pPr>
            <w:r>
              <w:rPr>
                <w:rFonts w:ascii="Arial" w:cs="Arial" w:eastAsia="Arial" w:hAnsi="Arial"/>
                <w:sz w:val="18"/>
                <w:szCs w:val="18"/>
                <w:color w:val="auto"/>
              </w:rPr>
              <w:t>Fee revenue (GAAP)</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11,666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Total revenue reconciliation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22,375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11,706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(11,624)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(18,607)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0"/>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 (GAAP)</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(19,187)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103,657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54,820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60,126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223,383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156,924</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Noncash goodwill impairment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charge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210,590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210,590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3"/>
        </w:trPr>
        <w:tc>
          <w:tcPr>
            <w:tcW w:w="2240" w:type="dxa"/>
            <w:vAlign w:val="bottom"/>
          </w:tcPr>
          <w:p>
            <w:pPr>
              <w:ind w:left="200"/>
              <w:spacing w:after="0"/>
              <w:rPr>
                <w:sz w:val="20"/>
                <w:szCs w:val="20"/>
                <w:color w:val="auto"/>
              </w:rPr>
            </w:pPr>
            <w:r>
              <w:rPr>
                <w:rFonts w:ascii="Arial" w:cs="Arial" w:eastAsia="Arial" w:hAnsi="Arial"/>
                <w:sz w:val="18"/>
                <w:szCs w:val="18"/>
                <w:color w:val="auto"/>
                <w:w w:val="92"/>
              </w:rPr>
              <w:t>Operating expense (GAAP)</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275,496</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103,657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54,820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60,126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433,973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254,822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Loss from continuing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operations before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w w:val="90"/>
              </w:rPr>
              <w:t>Operating loss from continuing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operations before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(42,531)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(91,951)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(56,875)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(71,750)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(70,033)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(191,357)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(159,109)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0"/>
              </w:rPr>
              <w:t>Taxable equivalent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Noncash goodwill impairment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(210,590)</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(210,590)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from continuing</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operations before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(253,632)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(92,451)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(57,368)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(72,351)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(95,613)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(403,451)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(247,148)</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income tax benefit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(32,419)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(22,417)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(31,687)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(60,067)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0"/>
              </w:rPr>
              <w:t>Taxable equivalent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from acquisition, tax</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8"/>
              </w:rPr>
              <w:t>Severance costs, tax benefit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Income tax benefit (GAAP)</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(32,919)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(22,910)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(32,288)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(26,832)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w w:val="90"/>
              </w:rPr>
              <w:t>Diluted loss from continuing</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0"/>
              <w:spacing w:after="0"/>
              <w:rPr>
                <w:sz w:val="20"/>
                <w:szCs w:val="20"/>
                <w:color w:val="auto"/>
              </w:rPr>
            </w:pPr>
            <w:r>
              <w:rPr>
                <w:rFonts w:ascii="Arial" w:cs="Arial" w:eastAsia="Arial" w:hAnsi="Arial"/>
                <w:sz w:val="18"/>
                <w:szCs w:val="18"/>
                <w:b w:val="1"/>
                <w:bCs w:val="1"/>
                <w:color w:val="auto"/>
                <w:w w:val="98"/>
              </w:rPr>
              <w:t>operations per common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0"/>
              <w:spacing w:after="0"/>
              <w:rPr>
                <w:sz w:val="20"/>
                <w:szCs w:val="20"/>
                <w:color w:val="auto"/>
              </w:rPr>
            </w:pPr>
            <w:r>
              <w:rPr>
                <w:rFonts w:ascii="Arial" w:cs="Arial" w:eastAsia="Arial" w:hAnsi="Arial"/>
                <w:sz w:val="18"/>
                <w:szCs w:val="18"/>
                <w:b w:val="1"/>
                <w:bCs w:val="1"/>
                <w:color w:val="auto"/>
              </w:rPr>
              <w:t>share reconciliation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operating loss from</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continuing operations per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8"/>
              </w:rPr>
              <w:t>Noncash goodwill impairment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Severance costs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Diluted loss from</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continuing operations per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share (GAAP)</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common</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share reconciliation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Tangible book value per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Effect of goodwill and 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Book value per common</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(GAAP)</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Efficiency ratio from</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continuing operations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Operating efficiency ratio from</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89.38%</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75.22%</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102.14%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Gain from acquisition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Noncash goodwill impairment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290.00</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Severance costs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Efficiency ratio from</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(GAAP)</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379.38%</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75.22%</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101.57%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198.43%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111.54%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Tangible common equity to</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equity to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Effect of goodwill and 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to assets (GAAP)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Actual tangible common</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equity to risk-weighted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assets reconciliation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Tangible common equity to</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risk-weighted assets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w w:val="97"/>
              </w:rPr>
              <w:t>Effect of other comprehensive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deferred tax</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Tier I capital 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(Regulatory)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9"/>
              </w:rPr>
              <w:t>30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September 30, 2010 was $60.0 million, down $3.0 million, or 5%, from the third quarter of 2009. The decrease in net interest revenue for the third quarter of 2010 compared to the third quarter of 2009 was due to lower levels of interest earning assets. United continues its intense focus on loan and deposit pricing, in an effort to maintain a steady level of net interest revenue, despite continuing attrition in the loan portfolio.</w:t>
      </w:r>
    </w:p>
    <w:p>
      <w:pPr>
        <w:spacing w:after="0" w:line="149"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Average loans decreased $669 million, or 12%, from the third quarter of last year. The decrease in the loan portfolio was a result of the slowdown in the housing market, particularly in the Atlanta MSA, north Georgia, coastal Georgia and the Gainesville MSA where period-end loans decreased $161 million, $187 million, $95.7 million and $85.1 million, respectively, from September 30, 2009. Weak lending conditions have also affected United’s other markets. Loan charge-offs, foreclosure activity and management’s efforts to rebalance the loan portfolio by reducing the concentration of residential construction loans have all contributed to declining loan balances. While loan balances have declined, United continues to make new loans. During the third quarter of 2010, United made $84.7 million in new loans, primarily commercial and small business loans in the Atlanta MSA and north Georgia.</w:t>
      </w:r>
    </w:p>
    <w:p>
      <w:pPr>
        <w:spacing w:after="0" w:line="127"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Average interest-earning assets for the third quarter of 2010 decreased $725 million, or 10%, from the same period in 2009. Decreases of $669 million in average loans and $204 million in the investment securities portfolio were partially offset by a $149 million increase in other interest-earning assets. Loan demand has been weak due to the poor economy and management’s efforts to reduce United’s exposure to residential construction loans. The increase in other interest-earning assets was due to purchases of short-term commercial paper and bank certificates of deposit in an effort to temporarily invest excess liquidity. Average interest-bearing liabilities decreased $759 million, or 12%, from the third quarter of 2009 due to the rolling off of higher-cost certificates of deposit as funding needs decreased. The average yield on interest earning assets for the three months ended September 30, 2010, was 5.02%, down 41 basis points from 5.43% for the same period of 2009, reflecting the effect of lower short-term interest rates on United’s prime-based loans as well as increased levels of non-performing loans.</w:t>
      </w:r>
    </w:p>
    <w:p>
      <w:pPr>
        <w:spacing w:after="0" w:line="15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average cost of interest-bearing liabilities for the third quarter of 2010 was 1.66% compared to 2.31% for the same period of 2009, reflecting the effect of falling rates on United’s floating rate liabilities and United’s ability to reduce deposit pricing. Also contributing to the overall lower rate on interest-bearing liabilities was a shift in the mix of deposits away from more expensive time deposits toward lower-rate transaction deposits. United’s shrinking balance sheet also permitted the reduction of more expensive wholesale borrowings.</w:t>
      </w:r>
    </w:p>
    <w:p>
      <w:pPr>
        <w:spacing w:after="0" w:line="14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pacing w:after="0" w:line="13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For the three months ended September 30, 2010 and 2009, the net interest spread was 3.36% and 3.12%, respectively, while the net interest margin was 3.57% and 3.39%, respectively. The improved net interest margin for the quarter reflects management’s focus on improving earnings performance. United intensified its focus on loan pricing to ensure that it was being adequately compensated for the credit risk it was taking. The combined effect of the easing of deposit pricing competition and widening credit spreads in United’s loan portfolio led to the 18 basis point increase in the net interest margin from the third quarter of 2009 to the third quarter of 2010.</w:t>
      </w:r>
    </w:p>
    <w:p>
      <w:pPr>
        <w:spacing w:after="0" w:line="131"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For the first nine months of 2010, net interest revenue was $183 million, an increase of $1.6 million, or 1%, from the first nine months of 2009. Average earning assets decreased $587 million, or 8%, during the first nine months of 2010 compared the same period a year earlier. The yield on earning assets decreased 42 basis points from 5.51% for the nine months ended September 30, 2009, to 5.09% for the nine months ended September 30, 2010, primarily as the result of lower interest rates on loans and investments, as well as the continued effects of interest reversals on nonperforming loans. The cost of interest-bearing liabilities over the same period decreased 80 basis points. This resulted in the net interest margin increasing 31 basis points from the nine months ended September 30, 2009 to the nine months ended September 30, 2010. In addition, the transaction with Fletcher International in the second quarter of 2010, removed approximately $70 million of nonperforming loans from United’s portfolio. Factors in the year over year increase were otherwise the same as those for the increase from the third quarter of 2009 to the third quarter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2010 and 2009.</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2010</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Avg.</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$4,896,471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$5,565,498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80,880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1,384,682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14,431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1,585,154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18,492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368,108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219,542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1,272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6,675,742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84,360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7,400,539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101,181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(147,074)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107,825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179,839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752,780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667,908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7,521,886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8,208,199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$1,318,779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$1,238,596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781,903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628,392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2,711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1,541,772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7,190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1,918,439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13,300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1,065,789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10,106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573,606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3,403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707,678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4,777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5,467,972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19,817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33,552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425"/>
        </w:trPr>
        <w:tc>
          <w:tcPr>
            <w:tcW w:w="322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234,211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2,665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2,712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5,802,681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24,346</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6,561,296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38,177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789,231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723,841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6,666,394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7,365,069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7,521,886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8,208,199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60,014</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63,004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325"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6"/>
          <w:szCs w:val="16"/>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$45.4 million in 2010 and $13.8 million in 2009 are included in other assets for purposes of this presentation.</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325"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25"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30, 2010 and 2009.</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Nine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2010</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Avg.</w:t>
            </w:r>
          </w:p>
        </w:tc>
        <w:tc>
          <w:tcPr>
            <w:tcW w:w="40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4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$5,025,739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211,399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$5,612,202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244,196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1,458,120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45,857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1,669,768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59,101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29,754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357,881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3,202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145,449</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2,618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6,870,210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261,908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7,457,173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307,480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(141,255)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104,444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179,569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758,903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663,674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7,722,607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8,263,605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$1,335,034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5,304</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$1,284,522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750,685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5,516</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543,122</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7,217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177,147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1,612,691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23,968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1,918,379</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45,859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1,110,195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18,378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1,336,876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34,444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650,588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11,669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726,352</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15,997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5,643,613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65,085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5,986,398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112,603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425"/>
        </w:trPr>
        <w:tc>
          <w:tcPr>
            <w:tcW w:w="322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103,697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3,162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4.08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202,008</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1,761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241,863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7,994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7.12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150,788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354,522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13,903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594,659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13,579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5,998,135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78,988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6,581,057</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126,182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755,845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684,942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101,447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6,818,602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7,367,446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896,159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7,722,607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8,263,605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182,920</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181,298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3.33%</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32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6"/>
          <w:szCs w:val="16"/>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$44.1 million in 2010 and $13.0 million in 2009 are included in other assets for purposes of this presentation.</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54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41"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540" w:type="dxa"/>
            <w:vAlign w:val="bottom"/>
            <w:gridSpan w:val="12"/>
          </w:tcPr>
          <w:p>
            <w:pPr>
              <w:jc w:val="center"/>
              <w:ind w:right="360"/>
              <w:spacing w:after="0"/>
              <w:rPr>
                <w:sz w:val="20"/>
                <w:szCs w:val="20"/>
                <w:color w:val="auto"/>
              </w:rPr>
            </w:pPr>
            <w:r>
              <w:rPr>
                <w:rFonts w:ascii="Arial" w:cs="Arial" w:eastAsia="Arial" w:hAnsi="Arial"/>
                <w:sz w:val="18"/>
                <w:szCs w:val="18"/>
                <w:b w:val="1"/>
                <w:bCs w:val="1"/>
                <w:color w:val="auto"/>
                <w:w w:val="90"/>
              </w:rPr>
              <w:t>Three Months Ended September 30, 2010</w:t>
            </w:r>
          </w:p>
        </w:tc>
        <w:tc>
          <w:tcPr>
            <w:tcW w:w="316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 2010</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2009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2009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Due to Changes in</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Volume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8"/>
                <w:szCs w:val="18"/>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(9,449)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(2,891)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(12,340)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(24,874)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(7,923)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(32,797)</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(13,244)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23"/>
        </w:trPr>
        <w:tc>
          <w:tcPr>
            <w:tcW w:w="302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(16,821)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(28,941)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(16,631)</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(45,572)</w:t>
            </w:r>
          </w:p>
        </w:tc>
        <w:tc>
          <w:tcPr>
            <w:tcW w:w="100" w:type="dxa"/>
            <w:vAlign w:val="bottom"/>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(3,734)</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(15,403)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(21,891)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(3,031)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(10,897)</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(16,066)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(4,328)</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(13,735)</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(10,679)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(36,839)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(47,518)</w:t>
            </w:r>
          </w:p>
        </w:tc>
        <w:tc>
          <w:tcPr>
            <w:tcW w:w="100" w:type="dxa"/>
            <w:vAlign w:val="bottom"/>
          </w:tcPr>
          <w:p>
            <w:pPr>
              <w:spacing w:after="0"/>
              <w:rPr>
                <w:sz w:val="20"/>
                <w:szCs w:val="20"/>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2,607</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r>
      <w:tr>
        <w:trPr>
          <w:trHeight w:val="198"/>
        </w:trPr>
        <w:tc>
          <w:tcPr>
            <w:tcW w:w="302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(13,831)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(32,464)</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(47,194)</w:t>
            </w:r>
          </w:p>
        </w:tc>
      </w:tr>
      <w:tr>
        <w:trPr>
          <w:trHeight w:val="421"/>
        </w:trPr>
        <w:tc>
          <w:tcPr>
            <w:tcW w:w="3020" w:type="dxa"/>
            <w:vAlign w:val="bottom"/>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2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(5,589)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2,599</w:t>
            </w:r>
          </w:p>
        </w:tc>
        <w:tc>
          <w:tcPr>
            <w:tcW w:w="3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(14,211)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15,833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1,622</w:t>
            </w:r>
          </w:p>
        </w:tc>
      </w:tr>
      <w:tr>
        <w:trPr>
          <w:trHeight w:val="20"/>
        </w:trPr>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provision for loan losses was $50.5 million and $187 million for the third quarter and the first nine months of 2010, respectively, compared with $95.0 million and $220 million, respectively, for the same periods in 2009. The amount of provision recorded in the third quarter was the amount required such that the total allowance for loan losses reflects, in the estimation of management, the amount of inherent losses in the loan portfolio. The decrease in the provision for loan losses compared to a year ago was due to declining levels of nonperforming loans and charge-offs. For the three and nine months ended September 30, 2010, net loan charge-offs as an annualized percentage of average outstanding loans were 4.12% and 4.54%, respectively, compared to 6.57% and 4.60%, respectively, for the same periods in 2009.</w:t>
      </w:r>
    </w:p>
    <w:p>
      <w:pPr>
        <w:spacing w:after="0" w:line="13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As the residential construction and housing markets have struggled, it has been difficult for many builders and developers to obtain cash flow from selling lots and houses needed to service debt. This deterioration of the residential construction and housing market was the primary factor that resulted in higher credit losses and increases in non-performing assets over the last two years. Although a majority of the losses have been within the residential construction and development portion of the portfolio, credit quality deterioration has migrated to other loan categories as unemployment levels have remained high throughout United’s markets. Additional discussion on credit quality and the allowance for loan losses is included in the Asset Quality and Risk Elements section of this report on page 39.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Fee revenue for the three and nine months ended September 30, 2010 was $12.9 million and $36.1 million, respectively. Fee revenue for the three and nine months ended September 30, 2009 was $13.4 million and $47.9 million, respectively. In 2009, fee revenue included an $11.4 million gain on the acquisition of SCB in the second quarter. Excluding the gain on acquisition in 2009, operating fee revenue decreased $528,000, or 4%, and $411,000, or 1%, respectively, from the third quarter and first nine months of 2009.</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fee revenue for the third quarters and first nine months of 2010 and 2009.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9"/>
              </w:rPr>
              <w:t>Change</w:t>
            </w:r>
          </w:p>
        </w:tc>
        <w:tc>
          <w:tcPr>
            <w:tcW w:w="50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1,832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5,151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7,308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Brokerage fees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Securities gains,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2,491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1,149</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741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Losses from prepayment of</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1,814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5,664</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4,097</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fee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13,389</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Gain from acquisition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11,390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fee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13,389</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Service charges and fees of $7.6 million were down $490,000, or 6%, from the third quarter of 2009. The decrease was primarily due to lower overdraft fees resulting from decreased utilization of our courtesy overdraft services with the recent changes to Regulation E requiring customers to opt in to such service. For the first nine months of 2010, service charges and fees of $23.1 million were up $359,000, or 2%, from the same period in 2009.</w:t>
      </w:r>
    </w:p>
    <w:p>
      <w:pPr>
        <w:spacing w:after="0" w:line="146"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Mortgage loans and related fees for the third quarter of 2010, were up $239,000, or 13%, from the same period in 2009. Refinancing activity picked up in the third quarter of 2010 due to lower long-term interest rates. For the nine months ended September 30, 2010, mortgage loan and related fees were down $2.2 million, or 30% from the same period in 2009. In 2009, refinancing activity reached record levels due to historically low mortgage interest rates. In the third quarter of 2010, United closed 582 loans totaling $99.7 million compared with 610 loans totaling $96.6 million in the third quarter of 2009. Year-to-date mortgage production in 2010 amounted to 1,469 loans totaling $235 million, compared to 2,614 loans totaling $438.6 million for the same period in 2009.</w:t>
      </w:r>
    </w:p>
    <w:p>
      <w:pPr>
        <w:spacing w:after="0" w:line="12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United incurred net securities gains of $2.5 million and $2.6 million for the three and nine months ended September 30, 2010, which included $950,000 in impairment charges in the first quarter on trust preferred securities of a bank whose financial condition had deteriorated. The impairment charge was more than offset by gains from securities sales. The net securities gains of $1.1 million and $741,000, respectively, for the third quarter and first nine months of 2009 include charges of $475,000 and $1.2 million, respectively, for the impairment of equity investments in troubled/failed financial institutions. The net securities gains in the third quarter were mostly offset by losses resulting from the prepayment of FHLB advances that was part of the same balance sheet management activities.</w:t>
      </w:r>
    </w:p>
    <w:p>
      <w:pPr>
        <w:spacing w:after="0" w:line="16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gain from acquisition recorded in the second quarter of 2009 resulted from the SCB acquisition which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 million and liabilities with an estimated fair value of $367 million. The difference between the assets received and liabilities assumed of $11.4 million resulted in a gain from the acquisition.</w:t>
      </w:r>
    </w:p>
    <w:p>
      <w:pPr>
        <w:spacing w:after="0" w:line="13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For the three and nine months ended September 30, 2010, other fee revenue increased $339,000, or 19%, and $1.6 million, or 38%, respectively, from the same periods in 2009. This increase is partially due to the ineffectiveness of United’s cash flow and fair value hedges. In the third quarter of 2010, United recognized $336,000 in income from hedge ineffectiveness compared with $146,000 in losses in the third quarter of 2009. For the first nine months of 2010, United recognized $1.2 million in income from hedge ineffectiveness compared with $393,000 in losses for the same period of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table presents the components of operating expenses for the three and nine months ended September 30, 2010 and 2009. The table is presented to reflect Brintech as a discontinued operation, and accordingly, operating expenses associated with Brintech have been excluded from the table for all periods presented.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9"/>
              </w:rPr>
              <w:t>Change</w:t>
            </w:r>
          </w:p>
        </w:tc>
        <w:tc>
          <w:tcPr>
            <w:tcW w:w="44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2009</w:t>
            </w:r>
          </w:p>
        </w:tc>
        <w:tc>
          <w:tcPr>
            <w:tcW w:w="3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23,889</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3,640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10,404</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10,857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823</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3,523</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2,992</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2,358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6,238</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8,834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19,752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45,105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17,974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FDIC assessments and 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regulatory charges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3,256</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2,801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10,448</w:t>
            </w: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12,293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3,851</w:t>
            </w: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12,707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8,793</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64,906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51,426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178,034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156,924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w w:val="98"/>
              </w:rPr>
              <w:t>Loss on sale of nonperforming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expenses, excluding</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non-recurring items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64,906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51,426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223,383</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156,924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210,590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25,000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210,590</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95,000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275,496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76,426</w:t>
            </w:r>
          </w:p>
        </w:tc>
        <w:tc>
          <w:tcPr>
            <w:tcW w:w="3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433,973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254,822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Operating expenses before the loss on sale of nonperforming assets and non-recurring items for the third quarter of 2010 totaled $64.9 million, up $13.5 million, or 26%, from the third quarter of 2009. For the nine months ended September 30, 2010, total operating expenses before the loss on sale of nonperforming assets and non-recurring items were $178 million, which excluded a $211 million charge for goodwill impairment. This compared to $157 million for the same period in 2009, which excluded a $95 million charge for goodwill impairment and $2.9 million in severance costs relating to a reduction in force. The $45.3 million loss on the sale of nonperforming assets to Fletcher was incurred during the second quarter of 2010. Although the loss from the bulk sale of nonperforming assets resulted from an isolated event, because disposition of nonperforming assets is considered an operating activity, it is not excluded from operating expenses as a non-recurring item but has been separated to make trend comparisons more meaningful. Including the loss on sale of nonperforming assets and those non-recurring charges, operating expenses for the third quarter of 2010 and 2009 were $275 million and $76.4 million, respectively, and for the first nine months of 2010 and 2009 were $434 million and $255 million, respectively.</w:t>
      </w:r>
    </w:p>
    <w:p>
      <w:pPr>
        <w:spacing w:after="0" w:line="15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Salaries and employee benefits for the third quarter 2010 totaled $24.9 million, up $1.0 million, or 4%, from the same period of 2009. The increase was primarily due to decreased capitalization of direct loan origination costs and higher group medical insurance costs. For the first nine months of 2010, salaries and employee benefits of $72.8 million were down $4.7 million, or 6%, from the first nine months of 2009. The decrease is related to the reduction in force at the end of the first quarter of 2009. Headcount totaled 1,812 at September 30, 2010, down from 1,956 at December 31, 2008, reflecting the reduction in force initiated at the end of the first quarter of 2009. This reduction in workforce was partially offset by the addition of 39 employees resulting from the acquisition of SCB in the second quarter of 2009.</w:t>
      </w:r>
    </w:p>
    <w:p>
      <w:pPr>
        <w:spacing w:after="0" w:line="14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Advertising and public relations expense of $1.1 million and $3.5 million, respectively, for the three and nine months ended September 30, 2010, was up $305,000, or 37%, and $531,000, or 18%, respectively, compared to the same periods in 2009. The increase was primarily related to advertising campaigns and promotions aimed at increasing core transaction deposits through United’s “Strong Bank, Strong Service” marketing initiative, which has been very successful in adding $219 million in core transaction deposits in the past twelve months.</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Postage, printing and supplies expense for the third quarter of 2010 totaled $1.0 million, down $251,000, or 20%, from the same period of 2009. For the first nine months of 2010, postage, printing and supplies expense of $3.0 million was down $724,000, or 19%, from the first nine months of 2009. United continued its efforts to encourage customers to accept electronic statements and controlled courier expense through the use of remote capture technology.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Professional fees for the third quarter of 2010 of $2.1 million were down $241,000, or 10%, from the same period in 2009. Year-to-date professional fees of $6.2 million were down $2.6 million, or 29%, from the same period in 2009. During the first quarter of 2009, United was engaged in a project to improve operational efficiency and to reduce operating expenses. Consulting services related to that project were performed by Brintech, a wholly-owned subsidiary at the time. Since the table above is presented with Brintech as a discontinued operation, the fees charged by Brintech for those services are no longer eliminated in this table and our consolidated statement of income, and are therefore reflected in professional fees for the third quarter and first nine months of 2009. Lower legal fees in 2010 for credit-related work also contributed to the decrease in professional fees.</w:t>
      </w:r>
    </w:p>
    <w:p>
      <w:pPr>
        <w:spacing w:after="0" w:line="15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Foreclosed property expense of $19.8 million for the third quarter of 2010 was up $11.8 million from the third quarter of 2009. For the nine months ended September 30, 2010, foreclosed property expense totaled $45.1 million, compared to $18.0 million for the same period in 2009. Foreclosed property expenses have remained elevated throughout the weak economic cycle. This expense category includes legal fees, property taxes, marketing costs, utility services, maintenance and repair charges, as well as realized losses and write downs associated with foreclosed properties. Realized losses and write downs totaled $14.2 million and $33.5 million for the three and nine months ended September 30, 2010, respectively, compared to $4.1 million and $8.3 million for the same periods of 2009.</w:t>
      </w:r>
    </w:p>
    <w:p>
      <w:pPr>
        <w:spacing w:after="0" w:line="14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FDIC assessments and other regulatory charges of $3.3 million, and $10.4 million, respectively, for the third quarter and first nine months of 2010, increased $455,000 from the third quarter of 2009 and decreased $1.8 million, from the first nine months of 2009. The year-to-date decrease was attributable to the one-time $3.8 million special assessment from the FDIC charged to all depository institutions in 2009. The increase, absent the one-time special assessment, is due to an increase in United’s assessment rate in 2010.</w:t>
      </w:r>
    </w:p>
    <w:p>
      <w:pPr>
        <w:spacing w:after="0" w:line="11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Other expense of $4.6 million for the third quarter of 2010 increased $759,000 from the third quarter of 2009. The increase was primarily due to an increase in appraisals and collection costs. Year-to-date, other expenses of $12.7 million increased $3.9 million from the first nine months of 2009. The increase was partially the result of an accrual reversal in the second quarter of 2009 for $2.4 million related to a disputed charge from the transfer of BOLI investments. The disputed charge was settled in United’s favor during the second quarter of 2009, and reduced other expenses for the period.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Income tax benefit for the third quarter 2010 was $17.2 million as compared with income tax benefit of $26.8 million for the third quarter of 2009, representing an effective tax rate of 6.8% and 28.1%, respectively. Excluding the goodwill impairment charges in both periods, which had a very limited tax impact, the effective tax rate for the third quarter of 2010 and 2009 was 40.0% and 38%, respectively. For the first nine months of 2010, income tax benefit was $73.0 million as compared with income tax benefit of $58.4 million for the same period in 2009, representing an effective tax rate of 18.1% and 23.6%,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 as discussed below.</w:t>
      </w:r>
    </w:p>
    <w:p>
      <w:pPr>
        <w:spacing w:after="0" w:line="138"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effective tax rate for the first nine months of 2010 reflects the tax treatment of the loss on the sale of nonperforming assets to Fletcher and an increase in the valuation allowance on deferred tax assets related to state tax credits with short carryforward periods that are expected to expire unused. An effective tax rate of 40% is expected for the remainder of the year.</w:t>
      </w:r>
    </w:p>
    <w:p>
      <w:pPr>
        <w:spacing w:after="0" w:line="139"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The year-to-date effective tax rate for 2009 also reflects a decision by management to reinstate certain BOLI policies which United had surrendered in the third quarter of 2008. United notified the carrier of its intent to surrender the policies in the fourth quarter of 2008 due to a dispute with the carrier. The policies required a six month waiting period before the surrender became effective. Prior to the expiration of the six month waiting period, United and the carrier were able to reach an acceptable settlement of the dispute and the surrender transaction was terminated. The tax charge recorded in 2008 was reversed during the second quarter of 2009.</w:t>
      </w:r>
    </w:p>
    <w:p>
      <w:pPr>
        <w:spacing w:after="0" w:line="11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effective tax rates for the third quarter and first nine months of 2010 and 2009 also reflect the tax treatment of the goodwill impairment charges totaling $211 million for the three and nine months ended September 30, 2010 and $25 million and $95 million for the same periods in 2009, respectively. Since the majority of United’s goodwill originated from acquisitions that were treated as tax-free exchanges, a very small amount of goodwill was recognized for tax reporting purposes and therefore the resulting tax benefit for the impairment charge was minimal. Likewise, no tax benefit is recognized in the financial statements relating to the goodwill impairment charges. The year-to-date 2010 and 2009 effective tax rate also reflects a valuation allowance established for deferred tax assets.</w:t>
      </w:r>
    </w:p>
    <w:p>
      <w:pPr>
        <w:spacing w:after="0" w:line="14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Management determined that it is more likely than not that approximately $5.2 million at September 30, 2010 and $3.9 million at September 30, 2009, net of Federal benefit, in state low income housing tax credits will expire unused due to their very short three to five year carry forward period.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 xml:space="preserve">At September 30, 2010, United had net deferred tax assets of $147 million, including a valuation allowance of $5.2 million related to state tax credits that are expected to expire unused.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September 30, 2010, United’s management believes that it is more likely than not that, with the exception of those state tax credits that are expected to expire unused due to a relatively short carryforward period of only three to five years, it will be able to realize its deferred tax benefits through its ability to carry losses forward to future profitable years. Despite recent losses and the challenging economic environment, United has a history of strong earnings, is well-capitalized, continues to grow its core customer deposit base while maintaining very high customer satisfaction scores, and has cautiously optimistic expectations regarding future taxable income. The deferred tax assets are analyzed quarterly for changes affecting realizability. United’s most recent analysis, which management believes is based on very conservative assumptions, indicated that the deferred tax assets will be fully utilized well in advance of the twenty-year carryforward period allowed for net operating losses; however, there can be no guarantee that a valuation allowance will not be necessary in future periods.</w:t>
      </w:r>
    </w:p>
    <w:p>
      <w:pPr>
        <w:spacing w:after="0" w:line="14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Additional information regarding income taxes can be found in Note 14 to the consolidated financial statements filed with United’s 2009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Total assets at September 30, 2010 and 2009 were $7.0 billion and $8.4 billion, respectively. Average total assets for the third quarter of 2010 were $7.5 billion, down from $8.2 billion in the third quarter of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1,781,271</w:t>
            </w:r>
          </w:p>
        </w:tc>
        <w:tc>
          <w:tcPr>
            <w:tcW w:w="26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1,779,398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1,787,444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362,566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379,782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456,368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390,520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402,609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2,547,158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2,532,484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763,424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1,050,065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1,184,916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1,315,994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1,427,198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141,729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147,021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5,151,476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5,362,689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46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Atlanta MSA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1,364,823</w:t>
            </w:r>
          </w:p>
        </w:tc>
        <w:tc>
          <w:tcPr>
            <w:tcW w:w="26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1,435,223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1,525,680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316,499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389,766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401,642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North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1,754,541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1,883,880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771,709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785,874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Coastal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344,901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405,689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440,586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259,792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265,209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267,264</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4,759,504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5,151,476</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5,362,689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and Tennessee. At September 30, 2010, total loans, excluding loans acquired from SCB that are covered by loss sharing agreements with the FDIC, were $4.8 billion, a decrease of $603 million, or 11%, from September 30, 2009. The rate of loan growth began to decline in the first quarter of 2007 and the balances have continued to decline through 2008, 2009 and into 2010.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To date, the decline in the housing market has been most severe in the Atlanta, Georgia MSA although there has been migration of deterioration into United’s other markets, particularly north Georgia. The resulting recession that began in the housing market led to high rates of unemployment that resulted in stress in the other segments of United’s loan portfolio.</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w:t>
      </w:r>
    </w:p>
    <w:p>
      <w:pPr>
        <w:spacing w:after="0" w:line="13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United classifies performing loans as substandard loans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 by RE)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157,245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140,805</w:t>
            </w:r>
          </w:p>
        </w:tc>
        <w:tc>
          <w:tcPr>
            <w:tcW w:w="3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123,738</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93,454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78,436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75,304</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51,696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50,888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34,491</w:t>
            </w:r>
          </w:p>
        </w:tc>
      </w:tr>
      <w:tr>
        <w:trPr>
          <w:trHeight w:val="223"/>
        </w:trPr>
        <w:tc>
          <w:tcPr>
            <w:tcW w:w="30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262,351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178,833</w:t>
            </w:r>
          </w:p>
        </w:tc>
        <w:tc>
          <w:tcPr>
            <w:tcW w:w="100" w:type="dxa"/>
            <w:vAlign w:val="bottom"/>
          </w:tcPr>
          <w:p>
            <w:pPr>
              <w:spacing w:after="0"/>
              <w:rPr>
                <w:sz w:val="19"/>
                <w:szCs w:val="19"/>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153,799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207,711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86,239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79,484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80,812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79,579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83,504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w:t>
            </w:r>
          </w:p>
        </w:tc>
      </w:tr>
      <w:tr>
        <w:trPr>
          <w:trHeight w:val="223"/>
        </w:trPr>
        <w:tc>
          <w:tcPr>
            <w:tcW w:w="304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549,926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473,247</w:t>
            </w: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At September 30, 2010, performing substandard loans totaled $550 million and increased $75.5 million from the prior quarter-end, and increased $76.7 million from a year ago. Most of the increase occurred in United’s north Georgia market due to continuing credit weakness in that market. Residential construction loans have represented the largest proportion of both performing substandard and nonperforming loans. The year-over-year increase in substandard residential mortgages is primarily related to rising unemployment rates. The year-over-year increase in substandard commercial loans reflects the recessionary economic environment.</w:t>
      </w:r>
    </w:p>
    <w:p>
      <w:pPr>
        <w:spacing w:after="0" w:line="11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United classifies loans as non-accrual substandard loans (or “non-performing loans”) when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44"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during the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and to ensure the independence of the loan review process.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nine months ended September 30, 2010 and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145,678</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155,602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122,271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50,500</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187,000</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220,000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14,343</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10,584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27,070</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17,438</w:t>
            </w: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5,191</w:t>
            </w: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7,776</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9,279</w:t>
            </w: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25,661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111,632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150,528</w:t>
            </w: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8,043</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19,435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11,832</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3,373</w:t>
            </w:r>
          </w:p>
        </w:tc>
      </w:tr>
      <w:tr>
        <w:trPr>
          <w:trHeight w:val="230"/>
        </w:trPr>
        <w:tc>
          <w:tcPr>
            <w:tcW w:w="4380" w:type="dxa"/>
            <w:vAlign w:val="bottom"/>
          </w:tcPr>
          <w:p>
            <w:pPr>
              <w:ind w:left="600"/>
              <w:spacing w:after="0"/>
              <w:rPr>
                <w:sz w:val="20"/>
                <w:szCs w:val="20"/>
                <w:color w:val="auto"/>
              </w:rPr>
            </w:pPr>
            <w:r>
              <w:rPr>
                <w:rFonts w:ascii="Arial" w:cs="Arial" w:eastAsia="Arial" w:hAnsi="Arial"/>
                <w:sz w:val="18"/>
                <w:szCs w:val="18"/>
                <w:color w:val="auto"/>
              </w:rPr>
              <w:t>Total loans charged-off</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52,656</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175,281</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197,641</w:t>
            </w:r>
          </w:p>
        </w:tc>
        <w:tc>
          <w:tcPr>
            <w:tcW w:w="1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3,507</w:t>
            </w: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r>
      <w:tr>
        <w:trPr>
          <w:trHeight w:val="216"/>
        </w:trPr>
        <w:tc>
          <w:tcPr>
            <w:tcW w:w="4380" w:type="dxa"/>
            <w:vAlign w:val="bottom"/>
          </w:tcPr>
          <w:p>
            <w:pPr>
              <w:ind w:left="4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r>
      <w:tr>
        <w:trPr>
          <w:trHeight w:val="230"/>
        </w:trPr>
        <w:tc>
          <w:tcPr>
            <w:tcW w:w="4380" w:type="dxa"/>
            <w:vAlign w:val="bottom"/>
          </w:tcPr>
          <w:p>
            <w:pPr>
              <w:ind w:left="600"/>
              <w:spacing w:after="0"/>
              <w:rPr>
                <w:sz w:val="20"/>
                <w:szCs w:val="20"/>
                <w:color w:val="auto"/>
              </w:rPr>
            </w:pPr>
            <w:r>
              <w:rPr>
                <w:rFonts w:ascii="Arial" w:cs="Arial" w:eastAsia="Arial" w:hAnsi="Arial"/>
                <w:sz w:val="18"/>
                <w:szCs w:val="18"/>
                <w:color w:val="auto"/>
              </w:rPr>
              <w:t>Total recoveries</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60" w:type="dxa"/>
            <w:vAlign w:val="bottom"/>
          </w:tcPr>
          <w:p>
            <w:pPr>
              <w:spacing w:after="0"/>
              <w:rPr>
                <w:sz w:val="20"/>
                <w:szCs w:val="20"/>
                <w:color w:val="auto"/>
              </w:rPr>
            </w:pPr>
          </w:p>
        </w:tc>
      </w:tr>
      <w:tr>
        <w:trPr>
          <w:trHeight w:val="216"/>
        </w:trPr>
        <w:tc>
          <w:tcPr>
            <w:tcW w:w="4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charge-offs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90,491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167,989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192,084</w:t>
            </w:r>
          </w:p>
        </w:tc>
      </w:tr>
      <w:tr>
        <w:trPr>
          <w:trHeight w:val="223"/>
        </w:trPr>
        <w:tc>
          <w:tcPr>
            <w:tcW w:w="4380" w:type="dxa"/>
            <w:vAlign w:val="bottom"/>
          </w:tcPr>
          <w:p>
            <w:pPr>
              <w:ind w:left="60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1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At period-end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4,759,504</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5,362,689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4,759,504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5,362,689</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4,818,924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5,467,625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4,947,209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5,574,787</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Excluding impaired loans with no allocated reserve</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r>
    </w:tbl>
    <w:p>
      <w:pPr>
        <w:spacing w:after="0" w:line="93"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185"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and collateral values leading to an expectation that charge-off levels will continue to decline.</w:t>
      </w:r>
    </w:p>
    <w:p>
      <w:pPr>
        <w:spacing w:after="0" w:line="15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Management believes that the allowance for loan losses at September 30, 2010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98"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217,766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264,092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304,381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120,770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110,610</w:t>
            </w: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384,862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414,991</w:t>
            </w: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46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r>
    </w:tbl>
    <w:p>
      <w:pPr>
        <w:spacing w:after="0" w:line="93"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18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At September 30, 2010, non-performing loans were $218 million, compared to $264 million at December 31, 2009 and $304 million at September 30, 2009. The ratio of non-performing loans to total loans decreased from December 31, 2009 and September 30, 2009 due the sale of approximately $70 million nonperforming loans to Fletcher in the second quarter of 2010. Non-performing assets, which include non-performing loans and foreclosed real estate, totaled $348 million at September 30, 2010, compared with $385 million at December 31, 2009 and $415 million at September 30, 2009. The sale of approximately $40.2 million of foreclosed properties in the third quarter of 2010, as well as $33 million to Fletcher in the second quarter of 2010, was offset by the addition of approximately $59.8 million of new foreclosed properties. United’s position throughout the current economic environment has been to actively and aggressively work to dispose of problem assets quickly.</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15"/>
          <w:szCs w:val="15"/>
          <w:color w:val="auto"/>
        </w:rPr>
        <w:t>(1)</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September 30, 2010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 2009</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September 30, 2009</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100" w:type="dxa"/>
            <w:vAlign w:val="bottom"/>
          </w:tcPr>
          <w:p>
            <w:pPr>
              <w:spacing w:after="0"/>
              <w:rPr>
                <w:sz w:val="10"/>
                <w:szCs w:val="10"/>
                <w:color w:val="auto"/>
              </w:rPr>
            </w:pPr>
          </w:p>
        </w:tc>
        <w:tc>
          <w:tcPr>
            <w:tcW w:w="48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Loans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Loans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Loans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BY CATEGORY</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Commercial (sec. by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RE)</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53,646</w:t>
            </w:r>
          </w:p>
        </w:tc>
        <w:tc>
          <w:tcPr>
            <w:tcW w:w="2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14,838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68,484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37,040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15,842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52,882</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38,379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12,566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50,945</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17,279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19,976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9,761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29,737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38,505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5,543</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44,048</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Commercial &amp;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industrial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7,670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7,670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3,946</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3,946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3,794</w:t>
            </w: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commercial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29,963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108,558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60,962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25,603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86,565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80,678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18,109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98,787</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79,321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73,206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152,527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142,332</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76,519</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218,851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171,027</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79,045</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250,072</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58,107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26,795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84,902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58,767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18,648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77,415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50,626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13,456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64,082</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Consumer / installment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1,743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2,031</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2,050</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217,766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129,964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347,730</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264,092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120,770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384,862</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304,381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110,610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414,991</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200"/>
              <w:spacing w:after="0" w:line="160" w:lineRule="exact"/>
              <w:rPr>
                <w:sz w:val="20"/>
                <w:szCs w:val="20"/>
                <w:color w:val="auto"/>
              </w:rPr>
            </w:pPr>
            <w:r>
              <w:rPr>
                <w:rFonts w:ascii="Arial" w:cs="Arial" w:eastAsia="Arial" w:hAnsi="Arial"/>
                <w:sz w:val="14"/>
                <w:szCs w:val="14"/>
                <w:b w:val="1"/>
                <w:bCs w:val="1"/>
                <w:color w:val="auto"/>
              </w:rPr>
              <w:t>Balance as a % of</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Unpaid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40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65.9%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65,304</w:t>
            </w:r>
          </w:p>
        </w:tc>
        <w:tc>
          <w:tcPr>
            <w:tcW w:w="2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32,785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98,089</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106,536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41,125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147,661</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120,599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54,670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175,269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Gainesville MSA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5,685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5,074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2,614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12,916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8,429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21,345</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92,295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67,439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159,734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87,598</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53,072</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140,670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96,373</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36,718</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133,091</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Western North Carolina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31,545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11,559</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43,104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29,610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5,096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34,706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25,775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31,693</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10,611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21,562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26,871</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17,150</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38,414</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3,045</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41,459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1,545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8,403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1,713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10,304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12,134</w:t>
            </w:r>
          </w:p>
        </w:tc>
        <w:tc>
          <w:tcPr>
            <w:tcW w:w="0" w:type="dxa"/>
            <w:vAlign w:val="bottom"/>
          </w:tcPr>
          <w:p>
            <w:pPr>
              <w:spacing w:after="0"/>
              <w:rPr>
                <w:sz w:val="1"/>
                <w:szCs w:val="1"/>
                <w:color w:val="auto"/>
              </w:rPr>
            </w:pPr>
          </w:p>
        </w:tc>
      </w:tr>
      <w:tr>
        <w:trPr>
          <w:trHeight w:val="156"/>
        </w:trPr>
        <w:tc>
          <w:tcPr>
            <w:tcW w:w="15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NPAs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217,766</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129,964</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347,730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264,092</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120,770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384,862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304,381</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110,610</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414,991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Non-performing assets in the residential construction category were $153 million at September 30, 2010, compared with $250 million at September 30, 2009, a decrease of $97.5 million, or 39%. While residential construction non-performing assets have begun to decrease, other categories of non-performing assets have experienced significant increases. Commercial non-performing assets of $109 million at September 30, 2010 increased $9.8 million over the prior year and residential mortgage non-performing assets of $84.9 million increased $20.8 million from September 30, 2009. As described previously, the majority of non-performing assets had been concentrated in the Atlanta MSA, however Atlanta non-performing assets have been declining, down $77.2 million from September 30, 2009. At the same time, credit weakness has migrated beyond Atlanta and is having a greater impact in United’s other markets. Both north Georgia and western North Carolina markets have seen increases. Non-performing assets in the north Georgia market at September 30, 2010 were $160 million, compared to $133 million at the end of the third quarter of 2009. United’s western North Carolina market’s non-performing assets increased $11.4 million from September 30, 2009.</w:t>
      </w:r>
    </w:p>
    <w:p>
      <w:pPr>
        <w:spacing w:after="0" w:line="14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At September 30, 2010 and December 31, 2009, United had $66.3 million and $60.4 million, respectively, in loans with terms that have been modified in a troubled debt restructuring (“TDR”). Included therein were $16.7million and $7.0 million of TDRs that were not performing in accordance with their modified terms and were included in non-performing loans. The remaining TDRs with an aggregate balance of $49.6 million and $53.4 million, respectively, were performing according to their modified terms and are therefore not considered to be non-performing assets. There were no TDRs reported as of September 30, 2009.</w:t>
      </w:r>
    </w:p>
    <w:p>
      <w:pPr>
        <w:spacing w:after="0" w:line="132"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At September 30, 2010, December 31, 2009, and September 30, 2009, there were $157 million, $198 million and $238.2 million, respectively, of loans classified as impaired. Included in impaired loans at September 30, 2010, December 31, 2009 and September 30, 2009, was $150 million, $182 million and $204 million, respectively, that did not require specific reserves or had previously been charged down to net realizable value. The remaining balance of impaired loans at September 30, 2010, December 31, 2009 and September 30, 2009, of $7.1 million, $16.1 million and $34.4 million, respectively had specific reserves that totaled $1.3 million, $3.0 million and $8.2 million. The average recorded investment in impaired loans for the quarters ended September 30, 2010 and 2009 was $159 million and $244 million, respectively. There was no interest revenue recognized on loans while they were impaired for the first nine months of 2010 or 2009.</w:t>
      </w:r>
    </w:p>
    <w:p>
      <w:pPr>
        <w:spacing w:after="0" w:line="15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the loss sharing agreement with the FDIC, related to the acquisition of SCB, are not included in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14"/>
          </w:tcPr>
          <w:p>
            <w:pPr>
              <w:jc w:val="right"/>
              <w:ind w:right="540"/>
              <w:spacing w:after="0"/>
              <w:rPr>
                <w:sz w:val="20"/>
                <w:szCs w:val="20"/>
                <w:color w:val="auto"/>
              </w:rPr>
            </w:pPr>
            <w:r>
              <w:rPr>
                <w:rFonts w:ascii="Arial" w:cs="Arial" w:eastAsia="Arial" w:hAnsi="Arial"/>
                <w:sz w:val="14"/>
                <w:szCs w:val="14"/>
                <w:b w:val="1"/>
                <w:bCs w:val="1"/>
                <w:color w:val="auto"/>
              </w:rPr>
              <w:t xml:space="preserve">Third Quarter 2010 </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1"/>
          </w:tcPr>
          <w:p>
            <w:pPr>
              <w:jc w:val="right"/>
              <w:spacing w:after="0"/>
              <w:rPr>
                <w:sz w:val="20"/>
                <w:szCs w:val="20"/>
                <w:color w:val="auto"/>
              </w:rPr>
            </w:pPr>
            <w:r>
              <w:rPr>
                <w:rFonts w:ascii="Arial" w:cs="Arial" w:eastAsia="Arial" w:hAnsi="Arial"/>
                <w:sz w:val="14"/>
                <w:szCs w:val="14"/>
                <w:b w:val="1"/>
                <w:bCs w:val="1"/>
                <w:color w:val="auto"/>
              </w:rPr>
              <w:t xml:space="preserve">Second Quarter 2010 </w:t>
            </w: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w w:val="99"/>
              </w:rPr>
              <w:t xml:space="preserve">Third Quarter 2009 </w:t>
            </w:r>
            <w:r>
              <w:rPr>
                <w:rFonts w:ascii="Arial" w:cs="Arial" w:eastAsia="Arial" w:hAnsi="Arial"/>
                <w:sz w:val="12"/>
                <w:szCs w:val="12"/>
                <w:color w:val="auto"/>
                <w:w w:val="99"/>
              </w:rPr>
              <w:t>(1)</w:t>
            </w:r>
          </w:p>
        </w:tc>
      </w:tr>
      <w:tr>
        <w:trPr>
          <w:trHeight w:val="119"/>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80" w:type="dxa"/>
            <w:vAlign w:val="bottom"/>
            <w:tcBorders>
              <w:top w:val="single" w:sz="8" w:color="auto"/>
            </w:tcBorders>
            <w:gridSpan w:val="7"/>
          </w:tcPr>
          <w:p>
            <w:pPr>
              <w:ind w:left="120"/>
              <w:spacing w:after="0" w:line="119" w:lineRule="exact"/>
              <w:rPr>
                <w:sz w:val="20"/>
                <w:szCs w:val="20"/>
                <w:color w:val="auto"/>
              </w:rPr>
            </w:pPr>
            <w:r>
              <w:rPr>
                <w:rFonts w:ascii="Arial" w:cs="Arial" w:eastAsia="Arial" w:hAnsi="Arial"/>
                <w:sz w:val="13"/>
                <w:szCs w:val="13"/>
                <w:b w:val="1"/>
                <w:bCs w:val="1"/>
                <w:color w:val="auto"/>
              </w:rPr>
              <w:t>Foreclosed</w:t>
            </w: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jc w:val="right"/>
              <w:ind w:right="54"/>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gridSpan w:val="5"/>
          </w:tcPr>
          <w:p>
            <w:pPr>
              <w:ind w:left="20"/>
              <w:spacing w:after="0" w:line="119" w:lineRule="exact"/>
              <w:rPr>
                <w:sz w:val="20"/>
                <w:szCs w:val="20"/>
                <w:color w:val="auto"/>
              </w:rPr>
            </w:pPr>
            <w:r>
              <w:rPr>
                <w:rFonts w:ascii="Arial" w:cs="Arial" w:eastAsia="Arial" w:hAnsi="Arial"/>
                <w:sz w:val="13"/>
                <w:szCs w:val="13"/>
                <w:b w:val="1"/>
                <w:bCs w:val="1"/>
                <w:color w:val="auto"/>
              </w:rPr>
              <w:t>Nonaccrual</w:t>
            </w:r>
          </w:p>
        </w:tc>
        <w:tc>
          <w:tcPr>
            <w:tcW w:w="960" w:type="dxa"/>
            <w:vAlign w:val="bottom"/>
            <w:tcBorders>
              <w:top w:val="single" w:sz="8" w:color="auto"/>
            </w:tcBorders>
            <w:gridSpan w:val="5"/>
          </w:tcPr>
          <w:p>
            <w:pPr>
              <w:ind w:left="240"/>
              <w:spacing w:after="0" w:line="119" w:lineRule="exact"/>
              <w:rPr>
                <w:sz w:val="20"/>
                <w:szCs w:val="20"/>
                <w:color w:val="auto"/>
              </w:rPr>
            </w:pPr>
            <w:r>
              <w:rPr>
                <w:rFonts w:ascii="Arial" w:cs="Arial" w:eastAsia="Arial" w:hAnsi="Arial"/>
                <w:sz w:val="13"/>
                <w:szCs w:val="13"/>
                <w:b w:val="1"/>
                <w:bCs w:val="1"/>
                <w:color w:val="auto"/>
              </w:rPr>
              <w:t>Foreclosed</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5"/>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r>
      <w:tr>
        <w:trPr>
          <w:trHeight w:val="17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Properties</w:t>
            </w:r>
          </w:p>
        </w:tc>
        <w:tc>
          <w:tcPr>
            <w:tcW w:w="160" w:type="dxa"/>
            <w:vAlign w:val="bottom"/>
          </w:tcPr>
          <w:p>
            <w:pPr>
              <w:spacing w:after="0"/>
              <w:rPr>
                <w:sz w:val="14"/>
                <w:szCs w:val="1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NPAs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NPAs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NPAs</w:t>
            </w: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224,335</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5"/>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8"/>
              </w:rPr>
              <w:t>123,910</w:t>
            </w:r>
          </w:p>
        </w:tc>
        <w:tc>
          <w:tcPr>
            <w:tcW w:w="740" w:type="dxa"/>
            <w:vAlign w:val="bottom"/>
            <w:gridSpan w:val="5"/>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$ 348,245</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280,802</w:t>
            </w:r>
          </w:p>
        </w:tc>
        <w:tc>
          <w:tcPr>
            <w:tcW w:w="200" w:type="dxa"/>
            <w:vAlign w:val="bottom"/>
            <w:gridSpan w:val="3"/>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136,275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8"/>
              </w:rPr>
              <w:t>417,077</w:t>
            </w:r>
          </w:p>
        </w:tc>
        <w:tc>
          <w:tcPr>
            <w:tcW w:w="34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0"/>
              </w:rPr>
              <w:t>287,848</w:t>
            </w:r>
          </w:p>
        </w:tc>
        <w:tc>
          <w:tcPr>
            <w:tcW w:w="36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8"/>
              </w:rPr>
              <w:t>104,754</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$ 392,602</w:t>
            </w:r>
          </w:p>
        </w:tc>
      </w:tr>
      <w:tr>
        <w:trPr>
          <w:trHeight w:val="130"/>
        </w:trPr>
        <w:tc>
          <w:tcPr>
            <w:tcW w:w="1560" w:type="dxa"/>
            <w:vAlign w:val="bottom"/>
          </w:tcPr>
          <w:p>
            <w:pPr>
              <w:spacing w:after="0" w:line="130" w:lineRule="exact"/>
              <w:rPr>
                <w:sz w:val="20"/>
                <w:szCs w:val="20"/>
                <w:color w:val="auto"/>
              </w:rPr>
            </w:pPr>
            <w:r>
              <w:rPr>
                <w:rFonts w:ascii="Arial" w:cs="Arial" w:eastAsia="Arial" w:hAnsi="Arial"/>
                <w:sz w:val="14"/>
                <w:szCs w:val="14"/>
                <w:color w:val="auto"/>
              </w:rPr>
              <w:t>Loans placed on non-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60" w:type="dxa"/>
            <w:vAlign w:val="bottom"/>
          </w:tcPr>
          <w:p>
            <w:pPr>
              <w:ind w:left="200"/>
              <w:spacing w:after="0"/>
              <w:rPr>
                <w:sz w:val="20"/>
                <w:szCs w:val="20"/>
                <w:color w:val="auto"/>
              </w:rPr>
            </w:pPr>
            <w:r>
              <w:rPr>
                <w:rFonts w:ascii="Arial" w:cs="Arial" w:eastAsia="Arial" w:hAnsi="Arial"/>
                <w:sz w:val="14"/>
                <w:szCs w:val="14"/>
                <w:color w:val="auto"/>
              </w:rPr>
              <w:t>accrual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119,783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119,783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155,007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w w:val="98"/>
              </w:rPr>
              <w:t>155,007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190,164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190,164</w:t>
            </w:r>
          </w:p>
        </w:tc>
      </w:tr>
      <w:tr>
        <w:trPr>
          <w:trHeight w:val="149"/>
        </w:trPr>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received</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(11,469)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(12,189)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(16,597)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(16,597)</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6"/>
          </w:tcPr>
          <w:p>
            <w:pPr>
              <w:jc w:val="right"/>
              <w:ind w:right="10"/>
              <w:spacing w:after="0" w:line="149" w:lineRule="exact"/>
              <w:rPr>
                <w:sz w:val="20"/>
                <w:szCs w:val="20"/>
                <w:color w:val="auto"/>
              </w:rPr>
            </w:pPr>
            <w:r>
              <w:rPr>
                <w:rFonts w:ascii="Arial" w:cs="Arial" w:eastAsia="Arial" w:hAnsi="Arial"/>
                <w:sz w:val="14"/>
                <w:szCs w:val="14"/>
                <w:color w:val="auto"/>
              </w:rPr>
              <w:t>(52,647)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(62,693)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(62,693)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(92,359)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(92,359)</w:t>
            </w:r>
          </w:p>
        </w:tc>
      </w:tr>
      <w:tr>
        <w:trPr>
          <w:trHeight w:val="149"/>
        </w:trPr>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Foreclosures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59,844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(66,994)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(56,624)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601</w:t>
            </w: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601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579</w:t>
            </w:r>
          </w:p>
        </w:tc>
      </w:tr>
      <w:tr>
        <w:trPr>
          <w:trHeight w:val="149"/>
        </w:trPr>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 property sales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(40,203)</w:t>
            </w:r>
          </w:p>
        </w:tc>
        <w:tc>
          <w:tcPr>
            <w:tcW w:w="880" w:type="dxa"/>
            <w:vAlign w:val="bottom"/>
            <w:gridSpan w:val="6"/>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(42,595)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(69,598)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(68,472)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(138,070)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(47,240)</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(55,291)</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Write downs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(7,051)</w:t>
            </w:r>
          </w:p>
        </w:tc>
        <w:tc>
          <w:tcPr>
            <w:tcW w:w="880" w:type="dxa"/>
            <w:vAlign w:val="bottom"/>
            <w:gridSpan w:val="6"/>
          </w:tcPr>
          <w:p>
            <w:pPr>
              <w:jc w:val="right"/>
              <w:ind w:right="10"/>
              <w:spacing w:after="0" w:line="149" w:lineRule="exact"/>
              <w:rPr>
                <w:sz w:val="20"/>
                <w:szCs w:val="20"/>
                <w:color w:val="auto"/>
              </w:rPr>
            </w:pPr>
            <w:r>
              <w:rPr>
                <w:rFonts w:ascii="Arial" w:cs="Arial" w:eastAsia="Arial" w:hAnsi="Arial"/>
                <w:sz w:val="14"/>
                <w:szCs w:val="14"/>
                <w:color w:val="auto"/>
              </w:rPr>
              <w:t>(7,051)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(6,094)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(1,906)</w:t>
            </w:r>
          </w:p>
        </w:tc>
        <w:tc>
          <w:tcPr>
            <w:tcW w:w="10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(1,906)</w:t>
            </w:r>
          </w:p>
        </w:tc>
      </w:tr>
      <w:tr>
        <w:trPr>
          <w:trHeight w:val="130"/>
        </w:trPr>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gains (losses) 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(7,137)</w:t>
            </w:r>
          </w:p>
        </w:tc>
        <w:tc>
          <w:tcPr>
            <w:tcW w:w="880" w:type="dxa"/>
            <w:vAlign w:val="bottom"/>
            <w:gridSpan w:val="6"/>
            <w:shd w:val="clear" w:color="auto" w:fill="CCEEFF"/>
          </w:tcPr>
          <w:p>
            <w:pPr>
              <w:jc w:val="right"/>
              <w:ind w:right="10"/>
              <w:spacing w:after="0"/>
              <w:rPr>
                <w:sz w:val="20"/>
                <w:szCs w:val="20"/>
                <w:color w:val="auto"/>
              </w:rPr>
            </w:pPr>
            <w:r>
              <w:rPr>
                <w:rFonts w:ascii="Arial" w:cs="Arial" w:eastAsia="Arial" w:hAnsi="Arial"/>
                <w:sz w:val="14"/>
                <w:szCs w:val="14"/>
                <w:color w:val="auto"/>
              </w:rPr>
              <w:t>(7,137)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(5,098)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(5,098)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(2,201)</w:t>
            </w:r>
          </w:p>
        </w:tc>
      </w:tr>
      <w:tr>
        <w:trPr>
          <w:trHeight w:val="156"/>
        </w:trPr>
        <w:tc>
          <w:tcPr>
            <w:tcW w:w="15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Ending Balance</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217,766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w w:val="98"/>
              </w:rPr>
              <w:t>129,964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6"/>
              </w:rPr>
              <w:t>$ 347,730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224,335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123,910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8"/>
              </w:rPr>
              <w:t>348,245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0"/>
              </w:rPr>
              <w:t>304,381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8"/>
              </w:rPr>
              <w:t>110,610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$ 414,991</w:t>
            </w:r>
          </w:p>
        </w:tc>
        <w:tc>
          <w:tcPr>
            <w:tcW w:w="8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17"/>
          </w:tcPr>
          <w:p>
            <w:pPr>
              <w:jc w:val="right"/>
              <w:ind w:right="700"/>
              <w:spacing w:after="0"/>
              <w:rPr>
                <w:sz w:val="20"/>
                <w:szCs w:val="20"/>
                <w:color w:val="auto"/>
              </w:rPr>
            </w:pPr>
            <w:r>
              <w:rPr>
                <w:rFonts w:ascii="Arial" w:cs="Arial" w:eastAsia="Arial" w:hAnsi="Arial"/>
                <w:sz w:val="18"/>
                <w:szCs w:val="18"/>
                <w:b w:val="1"/>
                <w:bCs w:val="1"/>
                <w:color w:val="auto"/>
                <w:w w:val="95"/>
              </w:rPr>
              <w:t xml:space="preserve">First Nine Months 2010 </w:t>
            </w:r>
            <w:r>
              <w:rPr>
                <w:rFonts w:ascii="Arial" w:cs="Arial" w:eastAsia="Arial" w:hAnsi="Arial"/>
                <w:sz w:val="15"/>
                <w:szCs w:val="15"/>
                <w:color w:val="auto"/>
                <w:w w:val="95"/>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15"/>
          </w:tcPr>
          <w:p>
            <w:pPr>
              <w:jc w:val="right"/>
              <w:ind w:right="680"/>
              <w:spacing w:after="0"/>
              <w:rPr>
                <w:sz w:val="20"/>
                <w:szCs w:val="20"/>
                <w:color w:val="auto"/>
              </w:rPr>
            </w:pPr>
            <w:r>
              <w:rPr>
                <w:rFonts w:ascii="Arial" w:cs="Arial" w:eastAsia="Arial" w:hAnsi="Arial"/>
                <w:sz w:val="18"/>
                <w:szCs w:val="18"/>
                <w:b w:val="1"/>
                <w:bCs w:val="1"/>
                <w:color w:val="auto"/>
                <w:w w:val="93"/>
              </w:rPr>
              <w:t xml:space="preserve">First Nine Months 2009 </w:t>
            </w:r>
            <w:r>
              <w:rPr>
                <w:rFonts w:ascii="Arial" w:cs="Arial" w:eastAsia="Arial" w:hAnsi="Arial"/>
                <w:sz w:val="15"/>
                <w:szCs w:val="15"/>
                <w:color w:val="auto"/>
                <w:w w:val="93"/>
              </w:rPr>
              <w:t>(1)</w:t>
            </w:r>
          </w:p>
        </w:tc>
      </w:tr>
      <w:tr>
        <w:trPr>
          <w:trHeight w:val="191"/>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top w:val="single" w:sz="8" w:color="auto"/>
            </w:tcBorders>
            <w:gridSpan w:val="8"/>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100" w:type="dxa"/>
            <w:vAlign w:val="bottom"/>
            <w:tcBorders>
              <w:top w:val="single" w:sz="8" w:color="auto"/>
            </w:tcBorders>
            <w:gridSpan w:val="6"/>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gridSpan w:val="6"/>
          </w:tcPr>
          <w:p>
            <w:pPr>
              <w:spacing w:after="0" w:line="191" w:lineRule="exact"/>
              <w:rPr>
                <w:sz w:val="20"/>
                <w:szCs w:val="20"/>
                <w:color w:val="auto"/>
              </w:rPr>
            </w:pPr>
            <w:r>
              <w:rPr>
                <w:rFonts w:ascii="Arial" w:cs="Arial" w:eastAsia="Arial" w:hAnsi="Arial"/>
                <w:sz w:val="18"/>
                <w:szCs w:val="18"/>
                <w:b w:val="1"/>
                <w:bCs w:val="1"/>
                <w:color w:val="auto"/>
                <w:w w:val="95"/>
              </w:rPr>
              <w:t>Nonaccrual</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7"/>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25"/>
              <w:spacing w:after="0" w:line="19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r>
      <w:tr>
        <w:trPr>
          <w:trHeight w:val="234"/>
        </w:trPr>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8"/>
              </w:rPr>
              <w:t>Loans</w:t>
            </w:r>
          </w:p>
        </w:tc>
        <w:tc>
          <w:tcPr>
            <w:tcW w:w="360" w:type="dxa"/>
            <w:vAlign w:val="bottom"/>
            <w:gridSpan w:val="3"/>
          </w:tcPr>
          <w:p>
            <w:pPr>
              <w:spacing w:after="0"/>
              <w:rPr>
                <w:sz w:val="20"/>
                <w:szCs w:val="20"/>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Properties</w:t>
            </w:r>
          </w:p>
        </w:tc>
        <w:tc>
          <w:tcPr>
            <w:tcW w:w="2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5"/>
              </w:rPr>
              <w:t>NPAs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8"/>
                <w:szCs w:val="18"/>
                <w:b w:val="1"/>
                <w:bCs w:val="1"/>
                <w:color w:val="auto"/>
                <w:w w:val="98"/>
              </w:rPr>
              <w:t>Loans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7"/>
              </w:rPr>
              <w:t>Properties</w:t>
            </w:r>
          </w:p>
        </w:tc>
        <w:tc>
          <w:tcPr>
            <w:tcW w:w="3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b w:val="1"/>
                <w:bCs w:val="1"/>
                <w:color w:val="auto"/>
                <w:w w:val="95"/>
              </w:rPr>
              <w:t>NPAs</w:t>
            </w:r>
          </w:p>
        </w:tc>
        <w:tc>
          <w:tcPr>
            <w:tcW w:w="80" w:type="dxa"/>
            <w:vAlign w:val="bottom"/>
          </w:tcPr>
          <w:p>
            <w:pPr>
              <w:spacing w:after="0"/>
              <w:rPr>
                <w:sz w:val="20"/>
                <w:szCs w:val="20"/>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Beginning Balance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264,092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120,770</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384,862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190,723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59,768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250,491</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gridSpan w:val="5"/>
          </w:tcPr>
          <w:p>
            <w:pPr>
              <w:spacing w:after="0"/>
              <w:rPr>
                <w:sz w:val="20"/>
                <w:szCs w:val="20"/>
                <w:color w:val="auto"/>
              </w:rPr>
            </w:pPr>
            <w:r>
              <w:rPr>
                <w:rFonts w:ascii="Arial" w:cs="Arial" w:eastAsia="Arial" w:hAnsi="Arial"/>
                <w:sz w:val="18"/>
                <w:szCs w:val="18"/>
                <w:color w:val="auto"/>
              </w:rPr>
              <w:t>Loans placed on non-accrual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413,820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413,820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5"/>
          </w:tcPr>
          <w:p>
            <w:pPr>
              <w:jc w:val="right"/>
              <w:ind w:right="8"/>
              <w:spacing w:after="0"/>
              <w:rPr>
                <w:sz w:val="20"/>
                <w:szCs w:val="20"/>
                <w:color w:val="auto"/>
              </w:rPr>
            </w:pPr>
            <w:r>
              <w:rPr>
                <w:rFonts w:ascii="Arial" w:cs="Arial" w:eastAsia="Arial" w:hAnsi="Arial"/>
                <w:sz w:val="18"/>
                <w:szCs w:val="18"/>
                <w:color w:val="auto"/>
              </w:rPr>
              <w:t>535,274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535,274</w:t>
            </w:r>
          </w:p>
        </w:tc>
        <w:tc>
          <w:tcPr>
            <w:tcW w:w="8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8"/>
              <w:spacing w:after="0"/>
              <w:rPr>
                <w:sz w:val="20"/>
                <w:szCs w:val="20"/>
                <w:color w:val="auto"/>
              </w:rPr>
            </w:pPr>
            <w:r>
              <w:rPr>
                <w:rFonts w:ascii="Arial" w:cs="Arial" w:eastAsia="Arial" w:hAnsi="Arial"/>
                <w:sz w:val="18"/>
                <w:szCs w:val="18"/>
                <w:color w:val="auto"/>
              </w:rPr>
              <w:t>(29,391)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(56,972)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(56,972)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Loan charge-offs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jc w:val="right"/>
              <w:ind w:right="208"/>
              <w:spacing w:after="0"/>
              <w:rPr>
                <w:sz w:val="20"/>
                <w:szCs w:val="20"/>
                <w:color w:val="auto"/>
              </w:rPr>
            </w:pPr>
            <w:r>
              <w:rPr>
                <w:rFonts w:ascii="Arial" w:cs="Arial" w:eastAsia="Arial" w:hAnsi="Arial"/>
                <w:sz w:val="18"/>
                <w:szCs w:val="18"/>
                <w:color w:val="auto"/>
              </w:rPr>
              <w:t>(174,237)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(174,237)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(196,810)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(196,810)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8"/>
              <w:spacing w:after="0"/>
              <w:rPr>
                <w:sz w:val="20"/>
                <w:szCs w:val="20"/>
                <w:color w:val="auto"/>
              </w:rPr>
            </w:pPr>
            <w:r>
              <w:rPr>
                <w:rFonts w:ascii="Arial" w:cs="Arial" w:eastAsia="Arial" w:hAnsi="Arial"/>
                <w:sz w:val="18"/>
                <w:szCs w:val="18"/>
                <w:color w:val="auto"/>
              </w:rPr>
              <w:t>(176,071)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176,071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(159,783)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w w:val="86"/>
              </w:rPr>
              <w:t>159,783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Capitalized costs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228"/>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2"/>
              </w:rPr>
              <w:t>Note / property sales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8"/>
              <w:spacing w:after="0"/>
              <w:rPr>
                <w:sz w:val="20"/>
                <w:szCs w:val="20"/>
                <w:color w:val="auto"/>
              </w:rPr>
            </w:pPr>
            <w:r>
              <w:rPr>
                <w:rFonts w:ascii="Arial" w:cs="Arial" w:eastAsia="Arial" w:hAnsi="Arial"/>
                <w:sz w:val="18"/>
                <w:szCs w:val="18"/>
                <w:color w:val="auto"/>
              </w:rPr>
              <w:t>(80,447)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(134,626)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(215,073)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400" w:type="dxa"/>
            <w:vAlign w:val="bottom"/>
            <w:gridSpan w:val="7"/>
            <w:shd w:val="clear" w:color="auto" w:fill="CCEEFF"/>
          </w:tcPr>
          <w:p>
            <w:pPr>
              <w:jc w:val="right"/>
              <w:ind w:right="168"/>
              <w:spacing w:after="0"/>
              <w:rPr>
                <w:sz w:val="20"/>
                <w:szCs w:val="20"/>
                <w:color w:val="auto"/>
              </w:rPr>
            </w:pPr>
            <w:r>
              <w:rPr>
                <w:rFonts w:ascii="Arial" w:cs="Arial" w:eastAsia="Arial" w:hAnsi="Arial"/>
                <w:sz w:val="18"/>
                <w:szCs w:val="18"/>
                <w:color w:val="auto"/>
              </w:rPr>
              <w:t>(103,991)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(112,042)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Write downs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(17,724)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(17,724)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168"/>
              <w:spacing w:after="0"/>
              <w:rPr>
                <w:sz w:val="20"/>
                <w:szCs w:val="20"/>
                <w:color w:val="auto"/>
              </w:rPr>
            </w:pPr>
            <w:r>
              <w:rPr>
                <w:rFonts w:ascii="Arial" w:cs="Arial" w:eastAsia="Arial" w:hAnsi="Arial"/>
                <w:sz w:val="18"/>
                <w:szCs w:val="18"/>
                <w:color w:val="auto"/>
              </w:rPr>
              <w:t>(6,795)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(6,795)</w:t>
            </w:r>
          </w:p>
        </w:tc>
      </w:tr>
      <w:tr>
        <w:trPr>
          <w:trHeight w:val="216"/>
        </w:trPr>
        <w:tc>
          <w:tcPr>
            <w:tcW w:w="2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r>
      <w:tr>
        <w:trPr>
          <w:trHeight w:val="223"/>
        </w:trPr>
        <w:tc>
          <w:tcPr>
            <w:tcW w:w="1560" w:type="dxa"/>
            <w:vAlign w:val="bottom"/>
          </w:tcPr>
          <w:p>
            <w:pPr>
              <w:ind w:left="200"/>
              <w:spacing w:after="0"/>
              <w:rPr>
                <w:sz w:val="20"/>
                <w:szCs w:val="20"/>
                <w:color w:val="auto"/>
              </w:rPr>
            </w:pPr>
            <w:r>
              <w:rPr>
                <w:rFonts w:ascii="Arial" w:cs="Arial" w:eastAsia="Arial" w:hAnsi="Arial"/>
                <w:sz w:val="18"/>
                <w:szCs w:val="18"/>
                <w:b w:val="1"/>
                <w:bCs w:val="1"/>
                <w:color w:val="auto"/>
                <w:w w:val="99"/>
              </w:rPr>
              <w:t>Ending Balance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217,766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129,964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347,730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304,381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110,610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414,991</w:t>
            </w:r>
          </w:p>
        </w:tc>
        <w:tc>
          <w:tcPr>
            <w:tcW w:w="8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 xml:space="preserve">Foreclosed property is initially recorded at fair value, less cost to sell. If the fair value, less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OREO are accounted for in accordance with ASC 360-20, </w:t>
      </w:r>
      <w:r>
        <w:rPr>
          <w:rFonts w:ascii="Arial" w:cs="Arial" w:eastAsia="Arial" w:hAnsi="Arial"/>
          <w:sz w:val="16"/>
          <w:szCs w:val="16"/>
          <w:i w:val="1"/>
          <w:iCs w:val="1"/>
          <w:color w:val="auto"/>
        </w:rPr>
        <w:t>Real</w:t>
      </w:r>
      <w:r>
        <w:rPr>
          <w:rFonts w:ascii="Arial" w:cs="Arial" w:eastAsia="Arial" w:hAnsi="Arial"/>
          <w:sz w:val="16"/>
          <w:szCs w:val="16"/>
          <w:color w:val="auto"/>
        </w:rPr>
        <w:t xml:space="preserve"> </w:t>
      </w:r>
      <w:r>
        <w:rPr>
          <w:rFonts w:ascii="Arial" w:cs="Arial" w:eastAsia="Arial" w:hAnsi="Arial"/>
          <w:sz w:val="16"/>
          <w:szCs w:val="16"/>
          <w:i w:val="1"/>
          <w:iCs w:val="1"/>
          <w:color w:val="auto"/>
        </w:rPr>
        <w:t>Estate Sales</w:t>
      </w:r>
      <w:r>
        <w:rPr>
          <w:rFonts w:ascii="Arial" w:cs="Arial" w:eastAsia="Arial" w:hAnsi="Arial"/>
          <w:sz w:val="16"/>
          <w:szCs w:val="16"/>
          <w:color w:val="auto"/>
        </w:rPr>
        <w:t>. For the third quarter and first nine months of 2010, United transferred foreclosures into OREO of $59.8 and</w:t>
      </w:r>
      <w:r>
        <w:rPr>
          <w:rFonts w:ascii="Arial" w:cs="Arial" w:eastAsia="Arial" w:hAnsi="Arial"/>
          <w:sz w:val="16"/>
          <w:szCs w:val="16"/>
          <w:i w:val="1"/>
          <w:iCs w:val="1"/>
          <w:color w:val="auto"/>
        </w:rPr>
        <w:t xml:space="preserve"> </w:t>
      </w:r>
      <w:r>
        <w:rPr>
          <w:rFonts w:ascii="Arial" w:cs="Arial" w:eastAsia="Arial" w:hAnsi="Arial"/>
          <w:sz w:val="16"/>
          <w:szCs w:val="16"/>
          <w:color w:val="auto"/>
        </w:rPr>
        <w:t>$176 million, respectively. During the same periods, proceeds from sales of OREO were $40.2 million and $135 million, respectively. During the second quarter of 2010, United sold approximately $33 million in foreclosed properties to Fletcher.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September 30, 2010 decreased $222 million from a year ago. During the second quarter of 2010, United transferred securities available for sale with a fair value of $315 million to held to maturity. At September 30, 2010, United had securities held to maturity with a carrying value of $257 million and securities available for sale totaling $1.1 billion. At September 30, 2010, December 31, 2009, and September 30, 2009, the securities portfolio represented approximately 19%, 19%, and 18% of total assets, respectively.</w:t>
      </w:r>
    </w:p>
    <w:p>
      <w:pPr>
        <w:spacing w:after="0" w:line="126"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bonds,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United performed its annual goodwill impairment assessment as of December 31, 2009. United engaged the services of a national third party valuation expert who employed commonly used valuation techniques including an earnings approach that considered discounted future expected cash earnings and three market approaches. The annual goodwill impairment test performed as of December 31, 2009, did not result in the recognition of any goodwill impairment.</w:t>
      </w:r>
    </w:p>
    <w:p>
      <w:pPr>
        <w:spacing w:after="0" w:line="12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the third quarter of 2010, United’s stock price fell from $3.95 at June 30, 2010 to a low of $2.04 in the third quarter and ended at $2.24 at September 30, 2010. The recent economic recession resulted in lower earnings with higher credit costs and those costs have been reflected in our consolidated statement of income as well as valuation adjustments to the loan balances through increases to the level of the allowance for loan losses. With the stock price continuing to trade at a significant discount to book value and tangible book value, in addition to these other factors, management believed that goodwill should be re-assessed for impairment in the third quarter of 2010.</w:t>
      </w:r>
    </w:p>
    <w:p>
      <w:pPr>
        <w:spacing w:after="0" w:line="16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As a result of this assessment, United recognized a goodwill impairment charge to earnings in the amount of $211 million during the third quarter of 2010. For the three and nine months ended September 30, 2009, impairment charges of $25 million and $95 million were recognized, respectively.</w:t>
      </w:r>
    </w:p>
    <w:p>
      <w:pPr>
        <w:spacing w:after="0" w:line="141"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In performing the third quarter of 2010 assessment, United engaged the same third party valuation firm used to assist with the annual goodwill impairment assessment, as well as the previous year’s interim impairment assessments. The interim assessment in 2010 was performed using a consistent approach with the annual assessment in the fourth quarter of 2009. The first step (Step 1) of the goodwill impairment analysis was to determine if the fair value of United exceeded the book value of equity, which would imply that goodwill is not impaired. The Step 1 analysis included four commonly used valuation techniques including an earnings approach that considered discounted future expected cash earnings and three market approaches. The first market approach was the guideline public company method that considered United’s implied value by comparing United to a select peer group of public companies and their current market valuation. The second market approach was the merger and acquisition method that considered the amount an acquiring company might be willing to pay to gain control of United based on recent merger and acquisition activity. The third market approach, which considered United’s current stock price as well as a control premium that would be expected in the event of a change in control, had not been considered in prior tests as the decline in United’s stock price had been previously considered temporary. However, due to the extended period of time over which United’s stock price has traded below tangible book value, the assumption that the stock price decline was temporary was no longer valid.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2" w:lineRule="auto"/>
        <w:rPr>
          <w:sz w:val="20"/>
          <w:szCs w:val="20"/>
          <w:color w:val="auto"/>
        </w:rPr>
      </w:pPr>
      <w:r>
        <w:rPr>
          <w:rFonts w:ascii="Arial" w:cs="Arial" w:eastAsia="Arial" w:hAnsi="Arial"/>
          <w:sz w:val="17"/>
          <w:szCs w:val="17"/>
          <w:color w:val="auto"/>
        </w:rPr>
        <w:t>The Step 1 analysis performed during the third quarter of 2010 indicated that the fair value of United was below its book value. The prolonged trading of United’s stock below tangible book value was more of an influencing factor in the third quarter 2010 interim assessment than it had been in previous goodwill tests. United proceeded to Step 2 of the impairment analysis, which required United to determine the fair value of all assets and liabilities, including separately identifiable intangible assets, and determine the implied value of goodwill as the difference between the value of United determined in Step 1 and the value of the underlying assets and liabilities determined in Step 2. In the third quarter of 2010, the implied value of goodwill resulting from the Step 2 analysis was zero, which led to the $211 million charge to earnings for the remaining amount of United’s goodwill.</w:t>
      </w:r>
    </w:p>
    <w:p>
      <w:pPr>
        <w:spacing w:after="0" w:line="15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There are a number of valuation assumptions required to determine the value of United in Step 1 and the value of the assets and liabilities in Step 2. The most significant assumption in determining the estimated fair value of United as a whole and the amount of any resulting impairment was the discount rate used in the discounted cash flows valuation method. The discount rate selected for the third quarter of 2010 was 15%, which considered a risk-free rate of return that was adjusted for the industry median beta, equity risk and size premiums, and a company-specific risk premium.</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Other significant assumptions relate to the value of the loan portfolio. Those assumptions included estimates of cash flows on non-performing loans and the probability of default rates and loss on default rates for performing loans. Changes in those assumptions, or any other significant assumptions, could have a significant impact on the results of the goodwill impairment assessment and result in future impairment charges.</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Because goodwill is an intangible asset that cannot be sold separately or otherwise disposed of, it is not recognized in determining capital adequacy for regulatory purposes. Therefore the goodwill impairment charges during 2010 and 2009 had no effect on United’s regulatory capital ratios.</w:t>
      </w:r>
    </w:p>
    <w:p>
      <w:pPr>
        <w:spacing w:after="0" w:line="154"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very successful in increasing core transaction deposit accounts and reducing more costly time deposit balances as United’s funding needs decreased due to lower loan demand.</w:t>
      </w:r>
    </w:p>
    <w:p>
      <w:pPr>
        <w:spacing w:after="0" w:line="160"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Total deposits as of September 30, 2010 were $6.0 billion, a decrease of $822 million, or 12%, from September 30, 2009. Total non-interest-bearing demand deposit accounts of $783 million increased $80.2 million, or 11%, due to the success of core deposit programs. Also impacted by the programs were NOW, money market and savings accounts of $2.3 billion which increased $143 million, or 7%.</w:t>
      </w:r>
    </w:p>
    <w:p>
      <w:pPr>
        <w:spacing w:after="0" w:line="146"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Total time deposits, excluding brokered deposits, as of September 30, 2010 were $2.5 billion, down $560 million from September 30, 2009. Time deposits less than $100,000 totaled $1.5 billion, a decrease of $356 million, or 19%, from a year ago. Time deposits of $100,000 and greater totaled $1.0 billion as of September 30, 2010, a decrease of $204 million, or 16%, from September 30, 2009. United lowered its rates on certificates of deposit during 2009 and into 2010, allowing balances to decline as United’s funding needs declined due to weak loan demand. Excess liquidity also allowed United to reduce brokered deposits which totaled $354 million as of September 30, 2010 were $354 million, compared to $840 million at September 30, 2009.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$55.1 million and $315 million as of September 30, 2010 and 2009, respectively. United anticipates continued use of this short-and long-term source of funds. FHLB advances outstanding at September 30, 2010 had fixed interest rates from 2.85% to 4.49%. During the third quarter of 2010, United repaid approximately $51 million of FHLB advances and incurred a prepayment penalty of $2.2 million. Additional information regarding FHLB advances is provided in Note 10 to the consolidated financial statements included in United’s 2009 Form 10-K.</w:t>
      </w:r>
    </w:p>
    <w:p>
      <w:pPr>
        <w:spacing w:after="0" w:line="15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At September 30, 2010, United had $104 million in repurchase agreements and other short-term borrowings outstanding, compared to $102 million at September 30, 2009. United takes advantage of these additional sources of liquidity when rates are favorable compared to other forms of short-term borrowings, such as FHLB advances and brokered deposits.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114"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14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September 30, 2010 made use of the down 200 basis points scenario problematic. At September 30, 2010 United’s simulation model indicated that a 200 basis point increase in rates would cause an approximate .48% decrease in net interest revenue over the next twelve months, and a 25 basis point decrease would cause an approximate .33% increase in net interest revenue over the next twelve months. At September 30, 2009, United’s simulation model indicated that a 200 basis point increase in rates would cause an approximate 1.61% increase in net interest revenue over the next twelve months and a 25 basis point decrease in rates would cause an approximate .74% decrease in net interest revenue over the next twelve months.</w:t>
      </w:r>
    </w:p>
    <w:p>
      <w:pPr>
        <w:spacing w:after="0" w:line="13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cost-effective and capital-effective means of modifying the repricing characteristics of on-balance sheet assets and liabilities. These contracts consist of interest rate swaps under which United pays a variable rate and receives a fixed rate.</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September 30, 2010, United had no active derivative contracts outstanding.</w:t>
      </w:r>
    </w:p>
    <w:p>
      <w:pPr>
        <w:spacing w:after="0" w:line="161"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at the time of termination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September 30, 2010, United had $23.2 million in gains from terminated derivative positions included in Other Comprehensive Income that will be amortized into earnings over their remaining original contract terms. United estimates that approximately $12.0 million of this amount will be reclassified into interest revenue over the next twelve months.</w:t>
      </w:r>
    </w:p>
    <w:p>
      <w:pPr>
        <w:spacing w:after="0" w:line="126"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202"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2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25"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$20.6 million at September 30, 2010, and typically turn over every 45 days as the closed loans are sold to investors in the secondary market. In addition, United held $109 million in short-term commercial paper, $29.8 million in balances in excess of reserve requirements at the Federal Reserve Bank and $16.8 million in certificates of deposit with other banks that have very short maturities and can quickly be converted to cash.</w:t>
      </w:r>
    </w:p>
    <w:p>
      <w:pPr>
        <w:spacing w:after="0" w:line="13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is limited by applicable law.</w:t>
      </w:r>
    </w:p>
    <w:p>
      <w:pPr>
        <w:spacing w:after="0" w:line="130"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At September 30, 2010, United had sufficient qualifying collateral to increase FHLB advances by $631 million and Federal Reserve discount window capacity of $180 million. United’s internal policy limits brokered deposits to 25% of total assets. At September 30, 2010, United had the capacity to increase brokered deposits by $1.4 billion and still remain within this limit. In addition to these wholesale sources, United has the ability to attract retail deposits at any time by competing more aggressively on pricing.</w:t>
      </w:r>
    </w:p>
    <w:p>
      <w:pPr>
        <w:spacing w:after="0" w:line="127"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$149 million for the nine months ended September 30, 2010. The net loss of $329 million for the nine-month period included non-cash expenses for provision for loan losses of $187 million, a goodwill impairment charge of $211 million, and the loss on sale of nonperforming assets of $45.3 million. Net cash provided by investing activities of $442 million consisted primarily of purchases of securities of $569 million and purchases of premises and equipment of $5.1 million, that were offset by proceeds from sales of securities of $75.5 million, maturities and calls of investment securities of $716 million, proceeds from sales of other real estate of $110 million, a net decrease in loans of $90.3 million and cash received from Fletcher of $20.6 million. Net cash used in financing activities of $690 million consisted primarily of a net decrease of $625 million in deposits and a $61.2 million repayment of FHLB advances. In the opinion of management, United’s liquidity position at September 30, 2010, was sufficient to meet its expected cash flow requirements.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18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Shareholders’ equity at September 30, 2010 was $662 million, a decrease of $300 million from December 31, 2009 of which $211 million was due to the third quarter goodwill impairment charge which had no impact on tangible equity.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decreased $293 million from December 31, 2009. During the second quarter of 2010, United recorded a $39.8 million increase to capital surplus as the result of the issuance of equity instruments to Fletcher International in conjunction with the sale of nonperforming assets. United paid $2.3 million in dividends on Series A and Series B preferred stock in the third quarter of 2010 and paid $6.8 million year-to-date. United recognizes that cash dividends are an important component of shareholder value, and therefore, intends to provide for cash dividends when earnings, capital levels and other factors permit.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2010 and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w w:val="99"/>
              </w:rPr>
              <w:t>2010</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Avg Daily</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6"/>
                <w:szCs w:val="16"/>
                <w:color w:val="auto"/>
              </w:rPr>
            </w:pPr>
          </w:p>
        </w:tc>
      </w:tr>
      <w:tr>
        <w:trPr>
          <w:trHeight w:val="234"/>
        </w:trPr>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Low</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Close</w:t>
            </w:r>
          </w:p>
        </w:tc>
        <w:tc>
          <w:tcPr>
            <w:tcW w:w="3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Volume</w:t>
            </w:r>
          </w:p>
        </w:tc>
        <w:tc>
          <w:tcPr>
            <w:tcW w:w="3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0"/>
                <w:szCs w:val="20"/>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Close</w:t>
            </w:r>
          </w:p>
        </w:tc>
        <w:tc>
          <w:tcPr>
            <w:tcW w:w="3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3.21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4.41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882,923</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$ 13.87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2.28</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4.16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524,492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6.20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3.95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849,987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9.30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5.99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244,037</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810,161</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525,369</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5.33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3.39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1,041,113</w:t>
            </w:r>
          </w:p>
        </w:tc>
      </w:tr>
    </w:tbl>
    <w:p>
      <w:pPr>
        <w:spacing w:after="0" w:line="147"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46"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1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Bank is currently subject to an informal memorandum of understanding with the FDIC and Georgia Department of Banking and Finance. The memorandum requires, among other things, that the Bank maintain its Tier 1 leverage ratio at not less than 8% and its total risk-based capital ratio at not less than 10% during the life of the memorandum. As of September 30, 2010, the Bank’s Tier I leverage ratio was slightly below the target level of 8% and management has agreed with the regulators to submit a capital plan to take corrective action in the near future. Additionally, the memorandum requires that, prior to declaring or paying any cash dividends to United, the Bank must obtain the written consent of its regulators.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United’s capital ratios, as calculated under regulatory guidelines, at September 30, 2010 and 2009.</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4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Regulatory</w:t>
            </w:r>
          </w:p>
        </w:tc>
        <w:tc>
          <w:tcPr>
            <w:tcW w:w="27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United Community Banks, Inc.</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24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Guidelines</w:t>
            </w:r>
          </w:p>
        </w:tc>
        <w:tc>
          <w:tcPr>
            <w:tcW w:w="27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(Consolidated)</w:t>
            </w:r>
          </w:p>
        </w:tc>
        <w:tc>
          <w:tcPr>
            <w:tcW w:w="21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3"/>
              </w:rPr>
              <w:t>United Community Bank</w:t>
            </w:r>
          </w:p>
        </w:tc>
      </w:tr>
      <w:tr>
        <w:trPr>
          <w:trHeight w:val="210"/>
        </w:trPr>
        <w:tc>
          <w:tcPr>
            <w:tcW w:w="2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Well</w:t>
            </w:r>
          </w:p>
        </w:tc>
        <w:tc>
          <w:tcPr>
            <w:tcW w:w="380" w:type="dxa"/>
            <w:vAlign w:val="bottom"/>
          </w:tcPr>
          <w:p>
            <w:pPr>
              <w:spacing w:after="0"/>
              <w:rPr>
                <w:sz w:val="18"/>
                <w:szCs w:val="18"/>
                <w:color w:val="auto"/>
              </w:rPr>
            </w:pPr>
          </w:p>
        </w:tc>
        <w:tc>
          <w:tcPr>
            <w:tcW w:w="24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September 30,</w:t>
            </w:r>
          </w:p>
        </w:tc>
        <w:tc>
          <w:tcPr>
            <w:tcW w:w="360" w:type="dxa"/>
            <w:vAlign w:val="bottom"/>
          </w:tcPr>
          <w:p>
            <w:pPr>
              <w:spacing w:after="0"/>
              <w:rPr>
                <w:sz w:val="18"/>
                <w:szCs w:val="18"/>
                <w:color w:val="auto"/>
              </w:rPr>
            </w:pPr>
          </w:p>
        </w:tc>
        <w:tc>
          <w:tcPr>
            <w:tcW w:w="200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As of September 30,</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Minimum</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Capitalized</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238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88"/>
              </w:rPr>
              <w:t>Risk-based ratios:</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tcPr>
          <w:p>
            <w:pPr>
              <w:jc w:val="center"/>
              <w:ind w:right="970"/>
              <w:spacing w:after="0"/>
              <w:rPr>
                <w:sz w:val="20"/>
                <w:szCs w:val="20"/>
                <w:color w:val="auto"/>
              </w:rPr>
            </w:pPr>
            <w:r>
              <w:rPr>
                <w:rFonts w:ascii="Arial" w:cs="Arial" w:eastAsia="Arial" w:hAnsi="Arial"/>
                <w:sz w:val="18"/>
                <w:szCs w:val="18"/>
                <w:color w:val="auto"/>
                <w:w w:val="93"/>
              </w:rPr>
              <w:t>Tier I capital</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10.42%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13.15%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13.33%</w:t>
            </w:r>
          </w:p>
        </w:tc>
      </w:tr>
      <w:tr>
        <w:trPr>
          <w:trHeight w:val="216"/>
        </w:trPr>
        <w:tc>
          <w:tcPr>
            <w:tcW w:w="238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90"/>
              </w:rPr>
              <w:t>Total capital</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12.99</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15.76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15.10</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Leverage ratio</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7.32</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9.48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7.94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9.84</w:t>
            </w:r>
          </w:p>
        </w:tc>
      </w:tr>
      <w:tr>
        <w:trPr>
          <w:trHeight w:val="202"/>
        </w:trPr>
        <w:tc>
          <w:tcPr>
            <w:tcW w:w="2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380" w:type="dxa"/>
            <w:vAlign w:val="bottom"/>
            <w:shd w:val="clear" w:color="auto" w:fill="CCEEFF"/>
          </w:tcPr>
          <w:p>
            <w:pPr>
              <w:jc w:val="center"/>
              <w:ind w:right="970"/>
              <w:spacing w:after="0"/>
              <w:rPr>
                <w:sz w:val="20"/>
                <w:szCs w:val="20"/>
                <w:color w:val="auto"/>
              </w:rPr>
            </w:pPr>
            <w:r>
              <w:rPr>
                <w:rFonts w:ascii="Arial" w:cs="Arial" w:eastAsia="Arial" w:hAnsi="Arial"/>
                <w:sz w:val="18"/>
                <w:szCs w:val="18"/>
                <w:color w:val="auto"/>
                <w:w w:val="93"/>
              </w:rPr>
              <w:t>Tier I capital</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520,367</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754,068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$ 567,428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$ 783,591</w:t>
            </w:r>
          </w:p>
        </w:tc>
      </w:tr>
      <w:tr>
        <w:trPr>
          <w:trHeight w:val="230"/>
        </w:trPr>
        <w:tc>
          <w:tcPr>
            <w:tcW w:w="2380" w:type="dxa"/>
            <w:vAlign w:val="bottom"/>
          </w:tcPr>
          <w:p>
            <w:pPr>
              <w:jc w:val="center"/>
              <w:ind w:right="1010"/>
              <w:spacing w:after="0"/>
              <w:rPr>
                <w:sz w:val="20"/>
                <w:szCs w:val="20"/>
                <w:color w:val="auto"/>
              </w:rPr>
            </w:pPr>
            <w:r>
              <w:rPr>
                <w:rFonts w:ascii="Arial" w:cs="Arial" w:eastAsia="Arial" w:hAnsi="Arial"/>
                <w:sz w:val="18"/>
                <w:szCs w:val="18"/>
                <w:color w:val="auto"/>
                <w:w w:val="90"/>
              </w:rPr>
              <w:t>Total capital</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648,363</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903,939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655,047</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888,036</w:t>
            </w:r>
          </w:p>
        </w:tc>
      </w:tr>
    </w:tbl>
    <w:p>
      <w:pPr>
        <w:spacing w:after="0" w:line="147"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02"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September 30, 2010 from that presented in the Annual Report on Form 10-K for the year ended December 31, 2009. The interest rate sensitivity position at September 30, 2010 is included in management’s discussion and analysis on page 45 of this report.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September 30, 2010.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ability to fully utilize deferred tax assets could be impaired under certain provisions of the Internal Revenue Code.</w:t>
      </w:r>
    </w:p>
    <w:p>
      <w:pPr>
        <w:spacing w:after="0" w:line="210"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As of September 30, 2010, our net deferred tax asset was approximately $147 million, which includes approximately $110 million of deferred tax benefits related to federal and state operating loss carryforwards. The carrying value of our net deferred tax assets and our ability to use such assets to offset future tax liabilities could be impaired if cumulative common stock transactions over a rolling three-year period resulted in an ownership change under Section 382 of the Internal Revenue Code.</w:t>
      </w:r>
    </w:p>
    <w:p>
      <w:pPr>
        <w:spacing w:after="0" w:line="131"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Other than the additional risk factor mentioned above and included in United’s Form 10-Q as of June 30, 2010, there have been no material changes from the risk factors previously disclosed in United’s Form 10-K for the year ended December 31, 2009.</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 — None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(Removed and Reserved)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 — None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540" w:type="dxa"/>
            <w:vAlign w:val="bottom"/>
          </w:tcPr>
          <w:p>
            <w:pPr>
              <w:ind w:left="380"/>
              <w:spacing w:after="0"/>
              <w:rPr>
                <w:sz w:val="20"/>
                <w:szCs w:val="20"/>
                <w:color w:val="auto"/>
              </w:rPr>
            </w:pPr>
            <w:r>
              <w:rPr>
                <w:rFonts w:ascii="Arial" w:cs="Arial" w:eastAsia="Arial" w:hAnsi="Arial"/>
                <w:sz w:val="18"/>
                <w:szCs w:val="18"/>
                <w:color w:val="auto"/>
                <w:w w:val="98"/>
              </w:rPr>
              <w:t>Restated Articles of Incorporation of United Community Banks, Inc., (incorporated herein by reference to</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3"/>
              </w:rPr>
              <w:t>Exhibit 3.1 to United Community Banks, Inc.’s Quarterly Report on Form 10-Q for the quarter ended June 30,</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2001, File No. 0-21656, filed with the Commission on August 14, 2001).</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540" w:type="dxa"/>
            <w:vAlign w:val="bottom"/>
          </w:tcPr>
          <w:p>
            <w:pPr>
              <w:ind w:left="380"/>
              <w:spacing w:after="0"/>
              <w:rPr>
                <w:sz w:val="20"/>
                <w:szCs w:val="20"/>
                <w:color w:val="auto"/>
              </w:rPr>
            </w:pPr>
            <w:r>
              <w:rPr>
                <w:rFonts w:ascii="Arial" w:cs="Arial" w:eastAsia="Arial" w:hAnsi="Arial"/>
                <w:sz w:val="18"/>
                <w:szCs w:val="18"/>
                <w:color w:val="auto"/>
                <w:w w:val="92"/>
              </w:rPr>
              <w:t>Amendment to the Restated Articles of Incorporation of United Community Banks, Inc. (incorporated herein by</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3"/>
              </w:rPr>
              <w:t>reference to Exhibit 3.3 to United Community Banks, Inc.’s Registration Statement on Form S-4, File No. 333-</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118893, filed with the Commission on September 9, 2004).</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8540" w:type="dxa"/>
            <w:vAlign w:val="bottom"/>
          </w:tcPr>
          <w:p>
            <w:pPr>
              <w:ind w:left="380"/>
              <w:spacing w:after="0"/>
              <w:rPr>
                <w:sz w:val="20"/>
                <w:szCs w:val="20"/>
                <w:color w:val="auto"/>
              </w:rPr>
            </w:pPr>
            <w:r>
              <w:rPr>
                <w:rFonts w:ascii="Arial" w:cs="Arial" w:eastAsia="Arial" w:hAnsi="Arial"/>
                <w:sz w:val="18"/>
                <w:szCs w:val="18"/>
                <w:color w:val="auto"/>
                <w:w w:val="97"/>
              </w:rPr>
              <w:t>Certificate of Designation of the Common Stock Equivalent Junior Preferred Stock, dated March 31, 2010</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4.1 to United Community Banks, Inc.’s Current Report on Form 8-K, filed</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with the Commission on April 1, 2010.)</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8540" w:type="dxa"/>
            <w:vAlign w:val="bottom"/>
          </w:tcPr>
          <w:p>
            <w:pPr>
              <w:ind w:left="380"/>
              <w:spacing w:after="0"/>
              <w:rPr>
                <w:sz w:val="20"/>
                <w:szCs w:val="20"/>
                <w:color w:val="auto"/>
              </w:rPr>
            </w:pPr>
            <w:r>
              <w:rPr>
                <w:rFonts w:ascii="Arial" w:cs="Arial" w:eastAsia="Arial" w:hAnsi="Arial"/>
                <w:sz w:val="18"/>
                <w:szCs w:val="18"/>
                <w:color w:val="auto"/>
              </w:rPr>
              <w:t>Certificate of Rights and Preferences of the Series C Convertible Preferred Stock, dated April 1, 2010</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9"/>
              </w:rPr>
              <w:t>(incorporated herein by reference to Exhibit 3.4 to United Community Banks, Inc.’s Quarterly Report on</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1"/>
              </w:rPr>
              <w:t>Form 10-Q for the quarter ended June 30, 2010, File No. 0-21656 filed with the Commission on August 4, 2010).</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8540" w:type="dxa"/>
            <w:vAlign w:val="bottom"/>
          </w:tcPr>
          <w:p>
            <w:pPr>
              <w:ind w:left="380"/>
              <w:spacing w:after="0"/>
              <w:rPr>
                <w:sz w:val="20"/>
                <w:szCs w:val="20"/>
                <w:color w:val="auto"/>
              </w:rPr>
            </w:pPr>
            <w:r>
              <w:rPr>
                <w:rFonts w:ascii="Arial" w:cs="Arial" w:eastAsia="Arial" w:hAnsi="Arial"/>
                <w:sz w:val="18"/>
                <w:szCs w:val="18"/>
                <w:color w:val="auto"/>
                <w:w w:val="92"/>
              </w:rPr>
              <w:t>Amendment to the Restated Articles of Incorporation, dated May 27, 2010 (incorporated herein by reference to</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3"/>
              </w:rPr>
              <w:t>Exhibit 3.5 to United Community Banks, Inc.’s Quarterly Report on Form 10-Q for the quarter ended June 30,</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2010, File No. 0-21656 filed with the Commission on August 4, 2010).</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8540" w:type="dxa"/>
            <w:vAlign w:val="bottom"/>
          </w:tcPr>
          <w:p>
            <w:pPr>
              <w:ind w:left="380"/>
              <w:spacing w:after="0"/>
              <w:rPr>
                <w:sz w:val="20"/>
                <w:szCs w:val="20"/>
                <w:color w:val="auto"/>
              </w:rPr>
            </w:pPr>
            <w:r>
              <w:rPr>
                <w:rFonts w:ascii="Arial" w:cs="Arial" w:eastAsia="Arial" w:hAnsi="Arial"/>
                <w:sz w:val="18"/>
                <w:szCs w:val="18"/>
                <w:color w:val="auto"/>
                <w:w w:val="95"/>
              </w:rPr>
              <w:t>Amended and Restated Bylaws of United Community Banks, Inc., dated September 12, 1997 (incorporated</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2"/>
              </w:rPr>
              <w:t>herein by reference to Exhibit 3.1 to United Community Banks, Inc.’s Annual Report on Form 10-K, for the year</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ended December 31, 1997, File No. 0-21656, filed with the Commission on March 27, 1998).</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3.7</w:t>
            </w:r>
          </w:p>
        </w:tc>
        <w:tc>
          <w:tcPr>
            <w:tcW w:w="8540" w:type="dxa"/>
            <w:vAlign w:val="bottom"/>
          </w:tcPr>
          <w:p>
            <w:pPr>
              <w:ind w:left="380"/>
              <w:spacing w:after="0"/>
              <w:rPr>
                <w:sz w:val="20"/>
                <w:szCs w:val="20"/>
                <w:color w:val="auto"/>
              </w:rPr>
            </w:pPr>
            <w:r>
              <w:rPr>
                <w:rFonts w:ascii="Arial" w:cs="Arial" w:eastAsia="Arial" w:hAnsi="Arial"/>
                <w:sz w:val="18"/>
                <w:szCs w:val="18"/>
                <w:color w:val="auto"/>
                <w:w w:val="97"/>
              </w:rPr>
              <w:t>Amendment to Amended and Restated Bylaws of United Community Banks, Inc., dated August 11, 2010</w:t>
            </w:r>
          </w:p>
        </w:tc>
      </w:tr>
      <w:tr>
        <w:trPr>
          <w:trHeight w:val="216"/>
        </w:trPr>
        <w:tc>
          <w:tcPr>
            <w:tcW w:w="7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w w:val="92"/>
              </w:rPr>
              <w:t>(incorporated herein by reference to Exhibit 3.2 to United Community Banks, Inc.’s current report on Form 8-K,</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filed with the Commission on August 12, 2010).</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8540" w:type="dxa"/>
            <w:vAlign w:val="bottom"/>
          </w:tcPr>
          <w:p>
            <w:pPr>
              <w:ind w:left="380"/>
              <w:spacing w:after="0"/>
              <w:rPr>
                <w:sz w:val="20"/>
                <w:szCs w:val="20"/>
                <w:color w:val="auto"/>
              </w:rPr>
            </w:pPr>
            <w:r>
              <w:rPr>
                <w:rFonts w:ascii="Arial" w:cs="Arial" w:eastAsia="Arial" w:hAnsi="Arial"/>
                <w:sz w:val="18"/>
                <w:szCs w:val="18"/>
                <w:color w:val="auto"/>
                <w:w w:val="90"/>
              </w:rPr>
              <w:t>See Exhibits 3.1, 3.2 and 3.3 for provisions of the Restated Articles of Incorporation, as amended, and Amended</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and Restated Bylaws, which define the rights of the Shareholders.</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8540" w:type="dxa"/>
            <w:vAlign w:val="bottom"/>
          </w:tcPr>
          <w:p>
            <w:pPr>
              <w:ind w:left="380"/>
              <w:spacing w:after="0"/>
              <w:rPr>
                <w:sz w:val="20"/>
                <w:szCs w:val="20"/>
                <w:color w:val="auto"/>
              </w:rPr>
            </w:pPr>
            <w:r>
              <w:rPr>
                <w:rFonts w:ascii="Arial" w:cs="Arial" w:eastAsia="Arial" w:hAnsi="Arial"/>
                <w:sz w:val="18"/>
                <w:szCs w:val="18"/>
                <w:color w:val="auto"/>
                <w:w w:val="94"/>
              </w:rPr>
              <w:t>Certification by Jimmy C. Tallent, President and Chief Executive Officer of United Community Banks, Inc., as</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8540" w:type="dxa"/>
            <w:vAlign w:val="bottom"/>
          </w:tcPr>
          <w:p>
            <w:pPr>
              <w:ind w:left="380"/>
              <w:spacing w:after="0"/>
              <w:rPr>
                <w:sz w:val="20"/>
                <w:szCs w:val="20"/>
                <w:color w:val="auto"/>
              </w:rPr>
            </w:pPr>
            <w:r>
              <w:rPr>
                <w:rFonts w:ascii="Arial" w:cs="Arial" w:eastAsia="Arial" w:hAnsi="Arial"/>
                <w:sz w:val="18"/>
                <w:szCs w:val="18"/>
                <w:color w:val="auto"/>
                <w:w w:val="95"/>
              </w:rPr>
              <w:t>Certification by Rex S. Schuette, Executive Vice President and Chief Financial Officer of United Community</w:t>
            </w:r>
          </w:p>
        </w:tc>
      </w:tr>
      <w:tr>
        <w:trPr>
          <w:trHeight w:val="230"/>
        </w:trPr>
        <w:tc>
          <w:tcPr>
            <w:tcW w:w="700" w:type="dxa"/>
            <w:vAlign w:val="bottom"/>
          </w:tcPr>
          <w:p>
            <w:pPr>
              <w:spacing w:after="0"/>
              <w:rPr>
                <w:sz w:val="20"/>
                <w:szCs w:val="20"/>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Banks, Inc., as adopted pursuant to Section 302 of the Sarbanes-Oxley Act of 2002.</w:t>
            </w:r>
          </w:p>
        </w:tc>
      </w:tr>
    </w:tbl>
    <w:p>
      <w:pPr>
        <w:spacing w:after="0" w:line="202" w:lineRule="exact"/>
        <w:rPr>
          <w:sz w:val="20"/>
          <w:szCs w:val="20"/>
          <w:color w:val="auto"/>
        </w:rPr>
      </w:pPr>
    </w:p>
    <w:p>
      <w:pPr>
        <w:ind w:left="1880" w:right="199" w:hanging="945"/>
        <w:spacing w:after="0" w:line="277" w:lineRule="auto"/>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22809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2280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22809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Date: November 4, 2010</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19" w:right="1440" w:bottom="1440" w:gutter="0" w:footer="0" w:header="0"/>
        </w:sectPr>
      </w:pPr>
    </w:p>
    <w:bookmarkStart w:id="55" w:name="page56"/>
    <w:bookmarkEnd w:id="55"/>
    <w:p>
      <w:pPr>
        <w:jc w:val="center"/>
        <w:ind w:right="151"/>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59" w:hanging="8"/>
        <w:spacing w:after="0" w:line="277"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-130810</wp:posOffset>
            </wp:positionV>
            <wp:extent cx="21869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Date: November 4, 2010</w:t>
      </w:r>
    </w:p>
    <w:p>
      <w:pPr>
        <w:sectPr>
          <w:pgSz w:w="11900" w:h="16838" w:orient="portrait"/>
          <w:cols w:equalWidth="0" w:num="1">
            <w:col w:w="9887"/>
          </w:cols>
          <w:pgMar w:left="572" w:top="121" w:right="1440" w:bottom="1440" w:gutter="0" w:footer="0" w:header="0"/>
        </w:sectPr>
      </w:pPr>
    </w:p>
    <w:bookmarkStart w:id="56" w:name="page57"/>
    <w:bookmarkEnd w:id="56"/>
    <w:p>
      <w:pPr>
        <w:jc w:val="center"/>
        <w:ind w:right="151"/>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59" w:hanging="8"/>
        <w:spacing w:after="0" w:line="277" w:lineRule="auto"/>
        <w:tabs>
          <w:tab w:leader="none" w:pos="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-130810</wp:posOffset>
            </wp:positionV>
            <wp:extent cx="27787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Date: November 4, 2010</w:t>
      </w:r>
    </w:p>
    <w:p>
      <w:pPr>
        <w:sectPr>
          <w:pgSz w:w="11900" w:h="16838" w:orient="portrait"/>
          <w:cols w:equalWidth="0" w:num="1">
            <w:col w:w="9887"/>
          </w:cols>
          <w:pgMar w:left="572" w:top="121" w:right="1440" w:bottom="1440" w:gutter="0" w:footer="0" w:header="0"/>
        </w:sectPr>
      </w:pPr>
    </w:p>
    <w:bookmarkStart w:id="57" w:name="page58"/>
    <w:bookmarkEnd w:id="57"/>
    <w:p>
      <w:pPr>
        <w:ind w:left="44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connection with the Quarterly Report of United Community Banks, Inc. (“United”) on Form 10-Q for the period ending September 30, 2010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31" w:lineRule="exact"/>
        <w:rPr>
          <w:sz w:val="20"/>
          <w:szCs w:val="20"/>
          <w:color w:val="auto"/>
        </w:rPr>
      </w:pPr>
    </w:p>
    <w:p>
      <w:pPr>
        <w:ind w:left="740" w:hanging="370"/>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-130810</wp:posOffset>
            </wp:positionV>
            <wp:extent cx="21869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-130810</wp:posOffset>
            </wp:positionV>
            <wp:extent cx="21869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 November 4, 2010</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2019-12-10T08:31:12Z</dcterms:created>
  <dcterms:modified xsi:type="dcterms:W3CDTF">2019-12-10T08:31:12Z</dcterms:modified>
</cp:coreProperties>
</file>