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135" w:lineRule="exact"/>
        <w:rPr>
          <w:sz w:val="24"/>
          <w:szCs w:val="24"/>
          <w:color w:val="auto"/>
        </w:rPr>
      </w:pPr>
    </w:p>
    <w:p>
      <w:pPr>
        <w:ind w:left="3320" w:hanging="1006"/>
        <w:spacing w:after="0"/>
        <w:tabs>
          <w:tab w:leader="none" w:pos="33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2020</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99" w:lineRule="exact"/>
        <w:rPr>
          <w:sz w:val="24"/>
          <w:szCs w:val="24"/>
          <w:color w:val="auto"/>
        </w:rPr>
      </w:pPr>
    </w:p>
    <w:p>
      <w:pPr>
        <w:ind w:left="3320" w:hanging="1006"/>
        <w:spacing w:after="0"/>
        <w:tabs>
          <w:tab w:leader="none" w:pos="33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ind w:left="38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001-35095</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COMMUNITY BANKS,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Georgia</w:t>
            </w:r>
          </w:p>
        </w:tc>
        <w:tc>
          <w:tcPr>
            <w:tcW w:w="2240" w:type="dxa"/>
            <w:vAlign w:val="bottom"/>
          </w:tcPr>
          <w:p>
            <w:pPr>
              <w:spacing w:after="0"/>
              <w:rPr>
                <w:sz w:val="22"/>
                <w:szCs w:val="22"/>
                <w:color w:val="auto"/>
              </w:rPr>
            </w:pP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58-1807304</w:t>
            </w:r>
          </w:p>
        </w:tc>
      </w:tr>
      <w:tr>
        <w:trPr>
          <w:trHeight w:val="233"/>
        </w:trPr>
        <w:tc>
          <w:tcPr>
            <w:tcW w:w="20" w:type="dxa"/>
            <w:vAlign w:val="bottom"/>
          </w:tcPr>
          <w:p>
            <w:pPr>
              <w:spacing w:after="0"/>
              <w:rPr>
                <w:sz w:val="20"/>
                <w:szCs w:val="20"/>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1"/>
              </w:rPr>
              <w:t>(State of incorporation)</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38"/>
        </w:trPr>
        <w:tc>
          <w:tcPr>
            <w:tcW w:w="20" w:type="dxa"/>
            <w:vAlign w:val="bottom"/>
          </w:tcPr>
          <w:p>
            <w:pPr>
              <w:spacing w:after="0"/>
              <w:rPr>
                <w:sz w:val="24"/>
                <w:szCs w:val="24"/>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2"/>
              </w:rPr>
              <w:t>125 Highway 515 East</w:t>
            </w:r>
          </w:p>
        </w:tc>
        <w:tc>
          <w:tcPr>
            <w:tcW w:w="37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5960" w:type="dxa"/>
            <w:vAlign w:val="bottom"/>
            <w:gridSpan w:val="3"/>
          </w:tcPr>
          <w:p>
            <w:pPr>
              <w:jc w:val="center"/>
              <w:ind w:right="2260"/>
              <w:spacing w:after="0"/>
              <w:rPr>
                <w:sz w:val="20"/>
                <w:szCs w:val="20"/>
                <w:color w:val="auto"/>
              </w:rPr>
            </w:pPr>
            <w:r>
              <w:rPr>
                <w:rFonts w:ascii="Arial" w:cs="Arial" w:eastAsia="Arial" w:hAnsi="Arial"/>
                <w:sz w:val="16"/>
                <w:szCs w:val="16"/>
                <w:b w:val="1"/>
                <w:bCs w:val="1"/>
                <w:color w:val="auto"/>
                <w:w w:val="92"/>
              </w:rPr>
              <w:t>Blairsville, Georgia</w:t>
            </w: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30512</w:t>
            </w:r>
          </w:p>
        </w:tc>
      </w:tr>
      <w:tr>
        <w:trPr>
          <w:trHeight w:val="207"/>
        </w:trPr>
        <w:tc>
          <w:tcPr>
            <w:tcW w:w="20" w:type="dxa"/>
            <w:vAlign w:val="bottom"/>
            <w:tcBorders>
              <w:top w:val="single" w:sz="8" w:color="auto"/>
            </w:tcBorders>
          </w:tcPr>
          <w:p>
            <w:pPr>
              <w:spacing w:after="0"/>
              <w:rPr>
                <w:sz w:val="17"/>
                <w:szCs w:val="17"/>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260" w:type="dxa"/>
            <w:vAlign w:val="bottom"/>
            <w:gridSpan w:val="2"/>
          </w:tcPr>
          <w:p>
            <w:pPr>
              <w:spacing w:after="0"/>
              <w:rPr>
                <w:sz w:val="17"/>
                <w:szCs w:val="17"/>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(Zip code)</w:t>
            </w:r>
          </w:p>
        </w:tc>
      </w:tr>
    </w:tbl>
    <w:p>
      <w:pPr>
        <w:spacing w:after="0" w:line="8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(706) 781-2265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00" w:lineRule="exact"/>
        <w:rPr>
          <w:sz w:val="24"/>
          <w:szCs w:val="24"/>
          <w:color w:val="auto"/>
        </w:rPr>
      </w:pPr>
    </w:p>
    <w:tbl>
      <w:tblPr>
        <w:tblLayout w:type="fixed"/>
        <w:tblInd w:w="40" w:type="dxa"/>
        <w:tblCellMar>
          <w:top w:w="0" w:type="dxa"/>
          <w:left w:w="0" w:type="dxa"/>
          <w:bottom w:w="0" w:type="dxa"/>
          <w:right w:w="0" w:type="dxa"/>
        </w:tblCellMar>
      </w:tblPr>
      <w:tr>
        <w:trPr>
          <w:trHeight w:val="186"/>
        </w:trPr>
        <w:tc>
          <w:tcPr>
            <w:tcW w:w="4720" w:type="dxa"/>
            <w:vAlign w:val="bottom"/>
            <w:gridSpan w:val="3"/>
          </w:tcPr>
          <w:p>
            <w:pPr>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840" w:type="dxa"/>
            <w:vAlign w:val="bottom"/>
          </w:tcPr>
          <w:p>
            <w:pPr>
              <w:spacing w:after="0"/>
              <w:rPr>
                <w:sz w:val="23"/>
                <w:szCs w:val="23"/>
                <w:color w:val="auto"/>
              </w:rPr>
            </w:pPr>
          </w:p>
        </w:tc>
        <w:tc>
          <w:tcPr>
            <w:tcW w:w="28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1"/>
              </w:rPr>
              <w:t>Title of Each Class</w:t>
            </w:r>
          </w:p>
        </w:tc>
        <w:tc>
          <w:tcPr>
            <w:tcW w:w="262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2"/>
              </w:rPr>
              <w:t>Trading Symbol(s)</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Common stock, par value $1 per share</w:t>
            </w:r>
          </w:p>
        </w:tc>
        <w:tc>
          <w:tcPr>
            <w:tcW w:w="280" w:type="dxa"/>
            <w:vAlign w:val="bottom"/>
          </w:tcPr>
          <w:p>
            <w:pPr>
              <w:spacing w:after="0"/>
              <w:rPr>
                <w:sz w:val="17"/>
                <w:szCs w:val="17"/>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rPr>
              <w:t>UCBI</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47"/>
        </w:trPr>
        <w:tc>
          <w:tcPr>
            <w:tcW w:w="472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w w:val="91"/>
              </w:rPr>
              <w:t>Depositary shares, each representing 1/1000th interest in a share of</w:t>
            </w:r>
          </w:p>
        </w:tc>
        <w:tc>
          <w:tcPr>
            <w:tcW w:w="280" w:type="dxa"/>
            <w:vAlign w:val="bottom"/>
          </w:tcPr>
          <w:p>
            <w:pPr>
              <w:spacing w:after="0"/>
              <w:rPr>
                <w:sz w:val="12"/>
                <w:szCs w:val="12"/>
                <w:color w:val="auto"/>
              </w:rPr>
            </w:pPr>
          </w:p>
        </w:tc>
        <w:tc>
          <w:tcPr>
            <w:tcW w:w="2340" w:type="dxa"/>
            <w:vAlign w:val="bottom"/>
            <w:gridSpan w:val="2"/>
            <w:vMerge w:val="restart"/>
          </w:tcPr>
          <w:p>
            <w:pPr>
              <w:jc w:val="center"/>
              <w:ind w:right="1200"/>
              <w:spacing w:after="0"/>
              <w:rPr>
                <w:sz w:val="20"/>
                <w:szCs w:val="20"/>
                <w:color w:val="auto"/>
              </w:rPr>
            </w:pPr>
            <w:r>
              <w:rPr>
                <w:rFonts w:ascii="Arial" w:cs="Arial" w:eastAsia="Arial" w:hAnsi="Arial"/>
                <w:sz w:val="14"/>
                <w:szCs w:val="14"/>
                <w:b w:val="1"/>
                <w:bCs w:val="1"/>
                <w:color w:val="auto"/>
              </w:rPr>
              <w:t>UCBIO</w:t>
            </w:r>
          </w:p>
        </w:tc>
        <w:tc>
          <w:tcPr>
            <w:tcW w:w="2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Nasdaq Global Select Market</w:t>
            </w:r>
          </w:p>
        </w:tc>
        <w:tc>
          <w:tcPr>
            <w:tcW w:w="0" w:type="dxa"/>
            <w:vAlign w:val="bottom"/>
          </w:tcPr>
          <w:p>
            <w:pPr>
              <w:spacing w:after="0"/>
              <w:rPr>
                <w:sz w:val="1"/>
                <w:szCs w:val="1"/>
                <w:color w:val="auto"/>
              </w:rPr>
            </w:pPr>
          </w:p>
        </w:tc>
      </w:tr>
      <w:tr>
        <w:trPr>
          <w:trHeight w:val="186"/>
        </w:trPr>
        <w:tc>
          <w:tcPr>
            <w:tcW w:w="472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4"/>
              </w:rPr>
              <w:t>Series I Non-Cumulative Preferred Stock</w:t>
            </w:r>
          </w:p>
        </w:tc>
        <w:tc>
          <w:tcPr>
            <w:tcW w:w="280" w:type="dxa"/>
            <w:vAlign w:val="bottom"/>
          </w:tcPr>
          <w:p>
            <w:pPr>
              <w:spacing w:after="0"/>
              <w:rPr>
                <w:sz w:val="16"/>
                <w:szCs w:val="16"/>
                <w:color w:val="auto"/>
              </w:rPr>
            </w:pPr>
          </w:p>
        </w:tc>
        <w:tc>
          <w:tcPr>
            <w:tcW w:w="2340" w:type="dxa"/>
            <w:vAlign w:val="bottom"/>
            <w:gridSpan w:val="2"/>
            <w:vMerge w:val="continue"/>
          </w:tcPr>
          <w:p>
            <w:pPr>
              <w:spacing w:after="0"/>
              <w:rPr>
                <w:sz w:val="16"/>
                <w:szCs w:val="16"/>
                <w:color w:val="auto"/>
              </w:rPr>
            </w:pPr>
          </w:p>
        </w:tc>
        <w:tc>
          <w:tcPr>
            <w:tcW w:w="2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26"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ind w:right="-19"/>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3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20" w:type="dxa"/>
            <w:vAlign w:val="bottom"/>
          </w:tcPr>
          <w:p>
            <w:pPr>
              <w:ind w:left="2560"/>
              <w:spacing w:after="0"/>
              <w:rPr>
                <w:sz w:val="20"/>
                <w:szCs w:val="20"/>
                <w:color w:val="auto"/>
              </w:rPr>
            </w:pPr>
            <w:r>
              <w:rPr>
                <w:rFonts w:ascii="Arial" w:cs="Arial" w:eastAsia="Arial" w:hAnsi="Arial"/>
                <w:sz w:val="16"/>
                <w:szCs w:val="16"/>
                <w:b w:val="1"/>
                <w:bCs w:val="1"/>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spacing w:after="0" w:line="219"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180"/>
        <w:spacing w:after="0" w:line="196"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7"/>
          <w:szCs w:val="17"/>
          <w:color w:val="auto"/>
        </w:rPr>
        <w:t>☒</w:t>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There were 86,620,219 shares of the registrant’s common stock, par value $1 per share, outstanding as of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144" w:lineRule="exact"/>
        <w:rPr>
          <w:sz w:val="20"/>
          <w:szCs w:val="20"/>
          <w:color w:val="auto"/>
        </w:rPr>
      </w:pPr>
    </w:p>
    <w:p>
      <w:pPr>
        <w:ind w:left="2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shd w:val="clear" w:color="auto" w:fill="CCEEFF"/>
          </w:tcPr>
          <w:p>
            <w:pPr>
              <w:ind w:left="980"/>
              <w:spacing w:after="0"/>
              <w:rPr>
                <w:sz w:val="20"/>
                <w:szCs w:val="20"/>
                <w:color w:val="auto"/>
              </w:rPr>
            </w:pPr>
            <w:r>
              <w:rPr>
                <w:rFonts w:ascii="Arial" w:cs="Arial" w:eastAsia="Arial" w:hAnsi="Arial"/>
                <w:sz w:val="18"/>
                <w:szCs w:val="18"/>
                <w:b w:val="1"/>
                <w:bCs w:val="1"/>
                <w:color w:val="auto"/>
              </w:rPr>
              <w:t>Item 1.</w:t>
            </w:r>
          </w:p>
        </w:tc>
        <w:tc>
          <w:tcPr>
            <w:tcW w:w="9080" w:type="dxa"/>
            <w:vAlign w:val="bottom"/>
            <w:gridSpan w:val="13"/>
            <w:shd w:val="clear" w:color="auto" w:fill="CCEEFF"/>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shd w:val="clear" w:color="auto" w:fill="CCEEFF"/>
          </w:tcPr>
          <w:p>
            <w:pPr>
              <w:spacing w:after="0"/>
              <w:rPr>
                <w:sz w:val="19"/>
                <w:szCs w:val="19"/>
                <w:color w:val="auto"/>
              </w:rPr>
            </w:pPr>
          </w:p>
        </w:tc>
      </w:tr>
      <w:tr>
        <w:trPr>
          <w:trHeight w:val="270"/>
        </w:trPr>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30"/>
        </w:trPr>
        <w:tc>
          <w:tcPr>
            <w:tcW w:w="1800" w:type="dxa"/>
            <w:vAlign w:val="bottom"/>
            <w:shd w:val="clear" w:color="auto" w:fill="CCEEFF"/>
          </w:tcPr>
          <w:p>
            <w:pPr>
              <w:spacing w:after="0"/>
              <w:rPr>
                <w:sz w:val="19"/>
                <w:szCs w:val="19"/>
                <w:color w:val="auto"/>
              </w:rPr>
            </w:pPr>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Consolidated Balance Sheets (unaudited) at September 30, 2020 and December 31, 2019</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29"/>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189"/>
        </w:trPr>
        <w:tc>
          <w:tcPr>
            <w:tcW w:w="1800" w:type="dxa"/>
            <w:vAlign w:val="bottom"/>
            <w:shd w:val="clear" w:color="auto" w:fill="CCEEFF"/>
          </w:tcPr>
          <w:p>
            <w:pPr>
              <w:spacing w:after="0"/>
              <w:rPr>
                <w:sz w:val="16"/>
                <w:szCs w:val="16"/>
                <w:color w:val="auto"/>
              </w:rPr>
            </w:pPr>
          </w:p>
        </w:tc>
        <w:tc>
          <w:tcPr>
            <w:tcW w:w="9080" w:type="dxa"/>
            <w:vAlign w:val="bottom"/>
            <w:gridSpan w:val="13"/>
            <w:shd w:val="clear" w:color="auto" w:fill="CCEEFF"/>
          </w:tcPr>
          <w:p>
            <w:pPr>
              <w:ind w:left="160"/>
              <w:spacing w:after="0" w:line="189" w:lineRule="exact"/>
              <w:rPr>
                <w:rFonts w:ascii="Arial" w:cs="Arial" w:eastAsia="Arial" w:hAnsi="Arial"/>
                <w:sz w:val="18"/>
                <w:szCs w:val="18"/>
                <w:b w:val="1"/>
                <w:bCs w:val="1"/>
                <w:color w:val="0000FF"/>
                <w:w w:val="94"/>
              </w:rPr>
            </w:pPr>
            <w:hyperlink w:anchor="page5">
              <w:r>
                <w:rPr>
                  <w:rFonts w:ascii="Arial" w:cs="Arial" w:eastAsia="Arial" w:hAnsi="Arial"/>
                  <w:sz w:val="18"/>
                  <w:szCs w:val="18"/>
                  <w:b w:val="1"/>
                  <w:bCs w:val="1"/>
                  <w:u w:val="single" w:color="auto"/>
                  <w:color w:val="0000FF"/>
                  <w:w w:val="94"/>
                </w:rPr>
                <w:t>Consolidated Statements of Income (unaudited) for the Three and</w:t>
              </w:r>
              <w:r>
                <w:rPr>
                  <w:rFonts w:ascii="Arial" w:cs="Arial" w:eastAsia="Arial" w:hAnsi="Arial"/>
                  <w:sz w:val="18"/>
                  <w:szCs w:val="18"/>
                  <w:b w:val="1"/>
                  <w:bCs w:val="1"/>
                  <w:color w:val="0000FF"/>
                  <w:w w:val="94"/>
                </w:rPr>
                <w:t xml:space="preserve"> Nine Months Ended </w:t>
              </w:r>
              <w:r>
                <w:rPr>
                  <w:rFonts w:ascii="Arial" w:cs="Arial" w:eastAsia="Arial" w:hAnsi="Arial"/>
                  <w:sz w:val="18"/>
                  <w:szCs w:val="18"/>
                  <w:b w:val="1"/>
                  <w:bCs w:val="1"/>
                  <w:u w:val="single" w:color="auto"/>
                  <w:color w:val="0000FF"/>
                  <w:w w:val="94"/>
                </w:rPr>
                <w:t>September</w:t>
              </w:r>
              <w:r>
                <w:rPr>
                  <w:rFonts w:ascii="Arial" w:cs="Arial" w:eastAsia="Arial" w:hAnsi="Arial"/>
                  <w:sz w:val="18"/>
                  <w:szCs w:val="18"/>
                  <w:b w:val="1"/>
                  <w:bCs w:val="1"/>
                  <w:color w:val="0000FF"/>
                  <w:w w:val="94"/>
                </w:rPr>
                <w:t xml:space="preserve"> 30, 2020 and</w:t>
              </w:r>
            </w:hyperlink>
          </w:p>
        </w:tc>
        <w:tc>
          <w:tcPr>
            <w:tcW w:w="3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176"/>
        </w:trPr>
        <w:tc>
          <w:tcPr>
            <w:tcW w:w="1800" w:type="dxa"/>
            <w:vAlign w:val="bottom"/>
            <w:tcBorders>
              <w:top w:val="single" w:sz="8" w:color="CCEEFF"/>
            </w:tcBorders>
            <w:shd w:val="clear" w:color="auto" w:fill="CCEEFF"/>
          </w:tcPr>
          <w:p>
            <w:pPr>
              <w:spacing w:after="0"/>
              <w:rPr>
                <w:sz w:val="15"/>
                <w:szCs w:val="15"/>
                <w:color w:val="auto"/>
              </w:rPr>
            </w:pPr>
          </w:p>
        </w:tc>
        <w:tc>
          <w:tcPr>
            <w:tcW w:w="4740" w:type="dxa"/>
            <w:vAlign w:val="bottom"/>
            <w:tcBorders>
              <w:top w:val="single" w:sz="8" w:color="CCEEFF"/>
            </w:tcBorders>
            <w:gridSpan w:val="3"/>
            <w:shd w:val="clear" w:color="auto" w:fill="CCEEFF"/>
          </w:tcPr>
          <w:p>
            <w:pPr>
              <w:ind w:left="160"/>
              <w:spacing w:after="0" w:line="156" w:lineRule="exact"/>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2019</w:t>
              </w:r>
            </w:hyperlink>
          </w:p>
        </w:tc>
        <w:tc>
          <w:tcPr>
            <w:tcW w:w="5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340" w:type="dxa"/>
            <w:vAlign w:val="bottom"/>
            <w:tcBorders>
              <w:top w:val="single" w:sz="8" w:color="0000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0000FF"/>
            </w:tcBorders>
            <w:shd w:val="clear" w:color="auto" w:fill="CCEEFF"/>
          </w:tcPr>
          <w:p>
            <w:pPr>
              <w:spacing w:after="0"/>
              <w:rPr>
                <w:sz w:val="15"/>
                <w:szCs w:val="15"/>
                <w:color w:val="auto"/>
              </w:rPr>
            </w:pPr>
          </w:p>
        </w:tc>
        <w:tc>
          <w:tcPr>
            <w:tcW w:w="60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r>
      <w:tr>
        <w:trPr>
          <w:trHeight w:val="229"/>
        </w:trPr>
        <w:tc>
          <w:tcPr>
            <w:tcW w:w="18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42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06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189"/>
        </w:trPr>
        <w:tc>
          <w:tcPr>
            <w:tcW w:w="1800" w:type="dxa"/>
            <w:vAlign w:val="bottom"/>
            <w:shd w:val="clear" w:color="auto" w:fill="CCEEFF"/>
          </w:tcPr>
          <w:p>
            <w:pPr>
              <w:spacing w:after="0"/>
              <w:rPr>
                <w:sz w:val="16"/>
                <w:szCs w:val="16"/>
                <w:color w:val="auto"/>
              </w:rPr>
            </w:pPr>
          </w:p>
        </w:tc>
        <w:tc>
          <w:tcPr>
            <w:tcW w:w="9080" w:type="dxa"/>
            <w:vAlign w:val="bottom"/>
            <w:gridSpan w:val="13"/>
            <w:shd w:val="clear" w:color="auto" w:fill="CCEEFF"/>
          </w:tcPr>
          <w:p>
            <w:pPr>
              <w:ind w:left="160"/>
              <w:spacing w:after="0" w:line="189" w:lineRule="exact"/>
              <w:rPr>
                <w:rFonts w:ascii="Arial" w:cs="Arial" w:eastAsia="Arial" w:hAnsi="Arial"/>
                <w:sz w:val="18"/>
                <w:szCs w:val="18"/>
                <w:b w:val="1"/>
                <w:bCs w:val="1"/>
                <w:color w:val="0000FF"/>
                <w:w w:val="91"/>
              </w:rPr>
            </w:pPr>
            <w:hyperlink w:anchor="page6">
              <w:r>
                <w:rPr>
                  <w:rFonts w:ascii="Arial" w:cs="Arial" w:eastAsia="Arial" w:hAnsi="Arial"/>
                  <w:sz w:val="18"/>
                  <w:szCs w:val="18"/>
                  <w:b w:val="1"/>
                  <w:bCs w:val="1"/>
                  <w:u w:val="single" w:color="auto"/>
                  <w:color w:val="0000FF"/>
                  <w:w w:val="91"/>
                </w:rPr>
                <w:t>Consolidated Statements of Comprehensive Income (unaudited) for the Three and</w:t>
              </w:r>
              <w:r>
                <w:rPr>
                  <w:rFonts w:ascii="Arial" w:cs="Arial" w:eastAsia="Arial" w:hAnsi="Arial"/>
                  <w:sz w:val="18"/>
                  <w:szCs w:val="18"/>
                  <w:b w:val="1"/>
                  <w:bCs w:val="1"/>
                  <w:color w:val="0000FF"/>
                  <w:w w:val="91"/>
                </w:rPr>
                <w:t xml:space="preserve"> Nine Months Ended </w:t>
              </w:r>
              <w:r>
                <w:rPr>
                  <w:rFonts w:ascii="Arial" w:cs="Arial" w:eastAsia="Arial" w:hAnsi="Arial"/>
                  <w:sz w:val="18"/>
                  <w:szCs w:val="18"/>
                  <w:b w:val="1"/>
                  <w:bCs w:val="1"/>
                  <w:u w:val="single" w:color="auto"/>
                  <w:color w:val="0000FF"/>
                  <w:w w:val="91"/>
                </w:rPr>
                <w:t>September</w:t>
              </w:r>
            </w:hyperlink>
          </w:p>
        </w:tc>
        <w:tc>
          <w:tcPr>
            <w:tcW w:w="3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196"/>
        </w:trPr>
        <w:tc>
          <w:tcPr>
            <w:tcW w:w="180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CCEEFF"/>
            </w:tcBorders>
            <w:gridSpan w:val="6"/>
            <w:shd w:val="clear" w:color="auto" w:fill="CCEEFF"/>
          </w:tcPr>
          <w:p>
            <w:pPr>
              <w:ind w:left="160"/>
              <w:spacing w:after="0" w:line="196" w:lineRule="exact"/>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30, 2020 and 2019</w:t>
              </w:r>
            </w:hyperlink>
          </w:p>
        </w:tc>
        <w:tc>
          <w:tcPr>
            <w:tcW w:w="720" w:type="dxa"/>
            <w:vAlign w:val="bottom"/>
            <w:tcBorders>
              <w:top w:val="single" w:sz="8" w:color="0000FF"/>
            </w:tcBorders>
            <w:gridSpan w:val="2"/>
            <w:shd w:val="clear" w:color="auto" w:fill="CCEEFF"/>
          </w:tcPr>
          <w:p>
            <w:pPr>
              <w:spacing w:after="0"/>
              <w:rPr>
                <w:sz w:val="17"/>
                <w:szCs w:val="17"/>
                <w:color w:val="auto"/>
              </w:rPr>
            </w:pPr>
          </w:p>
        </w:tc>
        <w:tc>
          <w:tcPr>
            <w:tcW w:w="860" w:type="dxa"/>
            <w:vAlign w:val="bottom"/>
            <w:tcBorders>
              <w:top w:val="single" w:sz="8" w:color="0000FF"/>
            </w:tcBorders>
            <w:gridSpan w:val="2"/>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70"/>
        </w:trPr>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189"/>
        </w:trPr>
        <w:tc>
          <w:tcPr>
            <w:tcW w:w="1800" w:type="dxa"/>
            <w:vAlign w:val="bottom"/>
            <w:shd w:val="clear" w:color="auto" w:fill="CCEEFF"/>
          </w:tcPr>
          <w:p>
            <w:pPr>
              <w:spacing w:after="0"/>
              <w:rPr>
                <w:sz w:val="16"/>
                <w:szCs w:val="16"/>
                <w:color w:val="auto"/>
              </w:rPr>
            </w:pPr>
          </w:p>
        </w:tc>
        <w:tc>
          <w:tcPr>
            <w:tcW w:w="9080" w:type="dxa"/>
            <w:vAlign w:val="bottom"/>
            <w:gridSpan w:val="13"/>
            <w:shd w:val="clear" w:color="auto" w:fill="CCEEFF"/>
          </w:tcPr>
          <w:p>
            <w:pPr>
              <w:ind w:left="160"/>
              <w:spacing w:after="0" w:line="189" w:lineRule="exact"/>
              <w:rPr>
                <w:rFonts w:ascii="Arial" w:cs="Arial" w:eastAsia="Arial" w:hAnsi="Arial"/>
                <w:sz w:val="18"/>
                <w:szCs w:val="18"/>
                <w:b w:val="1"/>
                <w:bCs w:val="1"/>
                <w:color w:val="0000FF"/>
                <w:w w:val="93"/>
              </w:rPr>
            </w:pPr>
            <w:hyperlink w:anchor="page7">
              <w:r>
                <w:rPr>
                  <w:rFonts w:ascii="Arial" w:cs="Arial" w:eastAsia="Arial" w:hAnsi="Arial"/>
                  <w:sz w:val="18"/>
                  <w:szCs w:val="18"/>
                  <w:b w:val="1"/>
                  <w:bCs w:val="1"/>
                  <w:u w:val="single" w:color="auto"/>
                  <w:color w:val="0000FF"/>
                  <w:w w:val="93"/>
                </w:rPr>
                <w:t>Consolidated Statements of Changes in Shareholders’ Equity (unaudited) for the Three and</w:t>
              </w:r>
              <w:r>
                <w:rPr>
                  <w:rFonts w:ascii="Arial" w:cs="Arial" w:eastAsia="Arial" w:hAnsi="Arial"/>
                  <w:sz w:val="18"/>
                  <w:szCs w:val="18"/>
                  <w:b w:val="1"/>
                  <w:bCs w:val="1"/>
                  <w:color w:val="0000FF"/>
                  <w:w w:val="93"/>
                </w:rPr>
                <w:t xml:space="preserve"> Nine Months Ended</w:t>
              </w:r>
            </w:hyperlink>
          </w:p>
        </w:tc>
        <w:tc>
          <w:tcPr>
            <w:tcW w:w="3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196"/>
        </w:trPr>
        <w:tc>
          <w:tcPr>
            <w:tcW w:w="180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CCEEFF"/>
            </w:tcBorders>
            <w:gridSpan w:val="8"/>
            <w:shd w:val="clear" w:color="auto" w:fill="CCEEFF"/>
          </w:tcPr>
          <w:p>
            <w:pPr>
              <w:ind w:left="160"/>
              <w:spacing w:after="0" w:line="196" w:lineRule="exact"/>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September 30, 2020 and 2019</w:t>
              </w:r>
            </w:hyperlink>
          </w:p>
        </w:tc>
        <w:tc>
          <w:tcPr>
            <w:tcW w:w="1540" w:type="dxa"/>
            <w:vAlign w:val="bottom"/>
            <w:tcBorders>
              <w:top w:val="single" w:sz="8" w:color="0000FF"/>
            </w:tcBorders>
            <w:gridSpan w:val="4"/>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r>
      <w:tr>
        <w:trPr>
          <w:trHeight w:val="23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09"/>
        </w:trPr>
        <w:tc>
          <w:tcPr>
            <w:tcW w:w="1800" w:type="dxa"/>
            <w:vAlign w:val="bottom"/>
            <w:shd w:val="clear" w:color="auto" w:fill="CCEEFF"/>
          </w:tcPr>
          <w:p>
            <w:pPr>
              <w:spacing w:after="0"/>
              <w:rPr>
                <w:sz w:val="18"/>
                <w:szCs w:val="18"/>
                <w:color w:val="auto"/>
              </w:rPr>
            </w:pPr>
          </w:p>
        </w:tc>
        <w:tc>
          <w:tcPr>
            <w:tcW w:w="9080" w:type="dxa"/>
            <w:vAlign w:val="bottom"/>
            <w:gridSpan w:val="13"/>
            <w:shd w:val="clear" w:color="auto" w:fill="CCEEFF"/>
          </w:tcPr>
          <w:p>
            <w:pPr>
              <w:ind w:left="160"/>
              <w:spacing w:after="0" w:line="189" w:lineRule="exact"/>
              <w:rPr>
                <w:rFonts w:ascii="Arial" w:cs="Arial" w:eastAsia="Arial" w:hAnsi="Arial"/>
                <w:sz w:val="18"/>
                <w:szCs w:val="18"/>
                <w:b w:val="1"/>
                <w:bCs w:val="1"/>
                <w:color w:val="0000FF"/>
                <w:w w:val="95"/>
              </w:rPr>
            </w:pPr>
            <w:hyperlink w:anchor="page8">
              <w:r>
                <w:rPr>
                  <w:rFonts w:ascii="Arial" w:cs="Arial" w:eastAsia="Arial" w:hAnsi="Arial"/>
                  <w:sz w:val="18"/>
                  <w:szCs w:val="18"/>
                  <w:b w:val="1"/>
                  <w:bCs w:val="1"/>
                  <w:u w:val="single" w:color="auto"/>
                  <w:color w:val="0000FF"/>
                  <w:w w:val="95"/>
                </w:rPr>
                <w:t>Consolidated Statements of Cash Flows (unaudited) for the</w:t>
              </w:r>
              <w:r>
                <w:rPr>
                  <w:rFonts w:ascii="Arial" w:cs="Arial" w:eastAsia="Arial" w:hAnsi="Arial"/>
                  <w:sz w:val="18"/>
                  <w:szCs w:val="18"/>
                  <w:b w:val="1"/>
                  <w:bCs w:val="1"/>
                  <w:color w:val="0000FF"/>
                  <w:w w:val="95"/>
                </w:rPr>
                <w:t xml:space="preserve"> Nine Months Ended </w:t>
              </w:r>
              <w:r>
                <w:rPr>
                  <w:rFonts w:ascii="Arial" w:cs="Arial" w:eastAsia="Arial" w:hAnsi="Arial"/>
                  <w:sz w:val="18"/>
                  <w:szCs w:val="18"/>
                  <w:b w:val="1"/>
                  <w:bCs w:val="1"/>
                  <w:u w:val="single" w:color="auto"/>
                  <w:color w:val="0000FF"/>
                  <w:w w:val="95"/>
                </w:rPr>
                <w:t>September 30, 2020 and 2019</w:t>
              </w:r>
            </w:hyperlink>
          </w:p>
        </w:tc>
        <w:tc>
          <w:tcPr>
            <w:tcW w:w="360" w:type="dxa"/>
            <w:vAlign w:val="bottom"/>
            <w:shd w:val="clear" w:color="auto" w:fill="CCEEFF"/>
          </w:tcPr>
          <w:p>
            <w:pPr>
              <w:jc w:val="right"/>
              <w:spacing w:after="0" w:line="189" w:lineRule="exact"/>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30"/>
        </w:trPr>
        <w:tc>
          <w:tcPr>
            <w:tcW w:w="18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42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1060" w:type="dxa"/>
            <w:vAlign w:val="bottom"/>
            <w:tcBorders>
              <w:top w:val="single" w:sz="8" w:color="0000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r>
      <w:tr>
        <w:trPr>
          <w:trHeight w:val="229"/>
        </w:trPr>
        <w:tc>
          <w:tcPr>
            <w:tcW w:w="1800" w:type="dxa"/>
            <w:vAlign w:val="bottom"/>
            <w:shd w:val="clear" w:color="auto" w:fill="CCEEFF"/>
          </w:tcPr>
          <w:p>
            <w:pPr>
              <w:spacing w:after="0"/>
              <w:rPr>
                <w:sz w:val="19"/>
                <w:szCs w:val="19"/>
                <w:color w:val="auto"/>
              </w:rPr>
            </w:pPr>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9">
              <w:r>
                <w:rPr>
                  <w:rFonts w:ascii="Arial" w:cs="Arial" w:eastAsia="Arial" w:hAnsi="Arial"/>
                  <w:sz w:val="18"/>
                  <w:szCs w:val="18"/>
                  <w:b w:val="1"/>
                  <w:bCs w:val="1"/>
                  <w:u w:val="single" w:color="auto"/>
                  <w:color w:val="0000FF"/>
                </w:rPr>
                <w:t>Notes to Consolidated Financial Statements</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10</w:t>
              </w:r>
            </w:hyperlink>
          </w:p>
        </w:tc>
      </w:tr>
      <w:tr>
        <w:trPr>
          <w:trHeight w:val="229"/>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1800" w:type="dxa"/>
            <w:vAlign w:val="bottom"/>
            <w:shd w:val="clear" w:color="auto" w:fill="CCEEFF"/>
          </w:tcPr>
          <w:p>
            <w:pPr>
              <w:ind w:left="98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Item 2.</w:t>
              </w:r>
            </w:hyperlink>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46">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47</w:t>
              </w:r>
            </w:hyperlink>
          </w:p>
        </w:tc>
      </w:tr>
      <w:tr>
        <w:trPr>
          <w:trHeight w:val="229"/>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1800" w:type="dxa"/>
            <w:vAlign w:val="bottom"/>
            <w:shd w:val="clear" w:color="auto" w:fill="CCEEFF"/>
          </w:tcPr>
          <w:p>
            <w:pPr>
              <w:ind w:left="980"/>
              <w:spacing w:after="0"/>
              <w:rPr>
                <w:rFonts w:ascii="Arial" w:cs="Arial" w:eastAsia="Arial" w:hAnsi="Arial"/>
                <w:sz w:val="18"/>
                <w:szCs w:val="18"/>
                <w:b w:val="1"/>
                <w:bCs w:val="1"/>
                <w:u w:val="single" w:color="auto"/>
                <w:color w:val="0000FF"/>
              </w:rPr>
            </w:pPr>
            <w:hyperlink w:anchor="page69">
              <w:r>
                <w:rPr>
                  <w:rFonts w:ascii="Arial" w:cs="Arial" w:eastAsia="Arial" w:hAnsi="Arial"/>
                  <w:sz w:val="18"/>
                  <w:szCs w:val="18"/>
                  <w:b w:val="1"/>
                  <w:bCs w:val="1"/>
                  <w:u w:val="single" w:color="auto"/>
                  <w:color w:val="0000FF"/>
                </w:rPr>
                <w:t>Item 3.</w:t>
              </w:r>
            </w:hyperlink>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69">
              <w:r>
                <w:rPr>
                  <w:rFonts w:ascii="Arial" w:cs="Arial" w:eastAsia="Arial" w:hAnsi="Arial"/>
                  <w:sz w:val="18"/>
                  <w:szCs w:val="18"/>
                  <w:b w:val="1"/>
                  <w:bCs w:val="1"/>
                  <w:u w:val="single" w:color="auto"/>
                  <w:color w:val="0000FF"/>
                </w:rPr>
                <w:t>Quantitative and Qualitative Disclosures About Market Risk.</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r>
      <w:tr>
        <w:trPr>
          <w:trHeight w:val="23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1800" w:type="dxa"/>
            <w:vAlign w:val="bottom"/>
            <w:shd w:val="clear" w:color="auto" w:fill="CCEEFF"/>
          </w:tcPr>
          <w:p>
            <w:pPr>
              <w:ind w:left="980"/>
              <w:spacing w:after="0"/>
              <w:rPr>
                <w:rFonts w:ascii="Arial" w:cs="Arial" w:eastAsia="Arial" w:hAnsi="Arial"/>
                <w:sz w:val="18"/>
                <w:szCs w:val="18"/>
                <w:b w:val="1"/>
                <w:bCs w:val="1"/>
                <w:u w:val="single" w:color="auto"/>
                <w:color w:val="0000FF"/>
              </w:rPr>
            </w:pPr>
            <w:hyperlink w:anchor="page70">
              <w:r>
                <w:rPr>
                  <w:rFonts w:ascii="Arial" w:cs="Arial" w:eastAsia="Arial" w:hAnsi="Arial"/>
                  <w:sz w:val="18"/>
                  <w:szCs w:val="18"/>
                  <w:b w:val="1"/>
                  <w:bCs w:val="1"/>
                  <w:u w:val="single" w:color="auto"/>
                  <w:color w:val="0000FF"/>
                </w:rPr>
                <w:t>Item 4.</w:t>
              </w:r>
            </w:hyperlink>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70">
              <w:r>
                <w:rPr>
                  <w:rFonts w:ascii="Arial" w:cs="Arial" w:eastAsia="Arial" w:hAnsi="Arial"/>
                  <w:sz w:val="18"/>
                  <w:szCs w:val="18"/>
                  <w:b w:val="1"/>
                  <w:bCs w:val="1"/>
                  <w:u w:val="single" w:color="auto"/>
                  <w:color w:val="0000FF"/>
                </w:rPr>
                <w:t>Controls and Procedures.</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70</w:t>
              </w:r>
            </w:hyperlink>
          </w:p>
        </w:tc>
      </w:tr>
      <w:tr>
        <w:trPr>
          <w:trHeight w:val="230"/>
        </w:trPr>
        <w:tc>
          <w:tcPr>
            <w:tcW w:w="196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10880" w:type="dxa"/>
            <w:vAlign w:val="bottom"/>
            <w:gridSpan w:val="14"/>
            <w:shd w:val="clear" w:color="auto" w:fill="CCEEFF"/>
          </w:tcPr>
          <w:p>
            <w:pPr>
              <w:ind w:left="20"/>
              <w:spacing w:after="0"/>
              <w:rPr>
                <w:rFonts w:ascii="Arial" w:cs="Arial" w:eastAsia="Arial" w:hAnsi="Arial"/>
                <w:sz w:val="18"/>
                <w:szCs w:val="18"/>
                <w:b w:val="1"/>
                <w:bCs w:val="1"/>
                <w:u w:val="single" w:color="auto"/>
                <w:color w:val="0000FF"/>
              </w:rPr>
            </w:pPr>
            <w:hyperlink w:anchor="page70">
              <w:r>
                <w:rPr>
                  <w:rFonts w:ascii="Arial" w:cs="Arial" w:eastAsia="Arial" w:hAnsi="Arial"/>
                  <w:sz w:val="18"/>
                  <w:szCs w:val="18"/>
                  <w:b w:val="1"/>
                  <w:bCs w:val="1"/>
                  <w:u w:val="single" w:color="auto"/>
                  <w:color w:val="0000FF"/>
                </w:rPr>
                <w:t>PART II - Other Information</w:t>
              </w:r>
            </w:hyperlink>
          </w:p>
        </w:tc>
        <w:tc>
          <w:tcPr>
            <w:tcW w:w="360" w:type="dxa"/>
            <w:vAlign w:val="bottom"/>
            <w:shd w:val="clear" w:color="auto" w:fill="CCEEFF"/>
          </w:tcPr>
          <w:p>
            <w:pPr>
              <w:spacing w:after="0"/>
              <w:rPr>
                <w:sz w:val="19"/>
                <w:szCs w:val="19"/>
                <w:color w:val="auto"/>
              </w:rPr>
            </w:pPr>
          </w:p>
        </w:tc>
      </w:tr>
      <w:tr>
        <w:trPr>
          <w:trHeight w:val="230"/>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1800" w:type="dxa"/>
            <w:vAlign w:val="bottom"/>
            <w:shd w:val="clear" w:color="auto" w:fill="CCEEFF"/>
          </w:tcPr>
          <w:p>
            <w:pPr>
              <w:ind w:left="98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Item 1.</w:t>
              </w:r>
            </w:hyperlink>
          </w:p>
        </w:tc>
        <w:tc>
          <w:tcPr>
            <w:tcW w:w="9080" w:type="dxa"/>
            <w:vAlign w:val="bottom"/>
            <w:gridSpan w:val="13"/>
            <w:shd w:val="clear" w:color="auto" w:fill="CCEEFF"/>
          </w:tcPr>
          <w:p>
            <w:pPr>
              <w:ind w:left="160"/>
              <w:spacing w:after="0"/>
              <w:rPr>
                <w:rFonts w:ascii="Arial" w:cs="Arial" w:eastAsia="Arial" w:hAnsi="Arial"/>
                <w:sz w:val="18"/>
                <w:szCs w:val="18"/>
                <w:b w:val="1"/>
                <w:bCs w:val="1"/>
                <w:color w:val="0000FF"/>
              </w:rPr>
            </w:pPr>
            <w:hyperlink w:anchor="page71">
              <w:r>
                <w:rPr>
                  <w:rFonts w:ascii="Arial" w:cs="Arial" w:eastAsia="Arial" w:hAnsi="Arial"/>
                  <w:sz w:val="18"/>
                  <w:szCs w:val="18"/>
                  <w:b w:val="1"/>
                  <w:bCs w:val="1"/>
                  <w:u w:val="single" w:color="auto"/>
                  <w:color w:val="0000FF"/>
                </w:rPr>
                <w:t>Legal Proceedings</w:t>
              </w:r>
              <w:r>
                <w:rPr>
                  <w:rFonts w:ascii="Arial" w:cs="Arial" w:eastAsia="Arial" w:hAnsi="Arial"/>
                  <w:sz w:val="18"/>
                  <w:szCs w:val="18"/>
                  <w:b w:val="1"/>
                  <w:bCs w:val="1"/>
                  <w:color w:val="0000FF"/>
                </w:rPr>
                <w:t>.</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r>
        <w:trPr>
          <w:trHeight w:val="230"/>
        </w:trPr>
        <w:tc>
          <w:tcPr>
            <w:tcW w:w="1800" w:type="dxa"/>
            <w:vAlign w:val="bottom"/>
          </w:tcPr>
          <w:p>
            <w:pPr>
              <w:ind w:left="98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Item 1A.</w:t>
              </w:r>
            </w:hyperlink>
          </w:p>
        </w:tc>
        <w:tc>
          <w:tcPr>
            <w:tcW w:w="9080" w:type="dxa"/>
            <w:vAlign w:val="bottom"/>
            <w:gridSpan w:val="13"/>
          </w:tcPr>
          <w:p>
            <w:pPr>
              <w:ind w:left="16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Risk Factors.</w:t>
              </w:r>
            </w:hyperlink>
          </w:p>
        </w:tc>
        <w:tc>
          <w:tcPr>
            <w:tcW w:w="360" w:type="dxa"/>
            <w:vAlign w:val="bottom"/>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r>
        <w:trPr>
          <w:trHeight w:val="230"/>
        </w:trPr>
        <w:tc>
          <w:tcPr>
            <w:tcW w:w="1800" w:type="dxa"/>
            <w:vAlign w:val="bottom"/>
            <w:shd w:val="clear" w:color="auto" w:fill="CCEEFF"/>
          </w:tcPr>
          <w:p>
            <w:pPr>
              <w:ind w:left="98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Item 6.</w:t>
              </w:r>
            </w:hyperlink>
          </w:p>
        </w:tc>
        <w:tc>
          <w:tcPr>
            <w:tcW w:w="9080" w:type="dxa"/>
            <w:vAlign w:val="bottom"/>
            <w:gridSpan w:val="13"/>
            <w:shd w:val="clear" w:color="auto" w:fill="CCEEFF"/>
          </w:tcPr>
          <w:p>
            <w:pPr>
              <w:ind w:left="160"/>
              <w:spacing w:after="0"/>
              <w:rPr>
                <w:rFonts w:ascii="Arial" w:cs="Arial" w:eastAsia="Arial" w:hAnsi="Arial"/>
                <w:sz w:val="18"/>
                <w:szCs w:val="18"/>
                <w:b w:val="1"/>
                <w:bCs w:val="1"/>
                <w:u w:val="single" w:color="auto"/>
                <w:color w:val="0000FF"/>
              </w:rPr>
            </w:pPr>
            <w:hyperlink w:anchor="page71">
              <w:r>
                <w:rPr>
                  <w:rFonts w:ascii="Arial" w:cs="Arial" w:eastAsia="Arial" w:hAnsi="Arial"/>
                  <w:sz w:val="18"/>
                  <w:szCs w:val="18"/>
                  <w:b w:val="1"/>
                  <w:bCs w:val="1"/>
                  <w:u w:val="single" w:color="auto"/>
                  <w:color w:val="0000FF"/>
                </w:rPr>
                <w:t>Exhibits.</w:t>
              </w:r>
            </w:hyperlink>
          </w:p>
        </w:tc>
        <w:tc>
          <w:tcPr>
            <w:tcW w:w="360" w:type="dxa"/>
            <w:vAlign w:val="bottom"/>
            <w:shd w:val="clear" w:color="auto" w:fill="CCEEFF"/>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71</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within the meaning of the Private Securities Litigation Reform Act of 1995. Statements regarding the potential effects of the COVID-19 pandemic on our business, operations, financial performance and prospects are forward-looking statements. Also, any statement that does not describe historical or current facts is a forward-looking statement. These statements generally can be identified by the use of forward-looking terminology such as “believes”, “expects”, “may”, “will”, “could”, “should”, “projects”, “plans”, “goal”, “targets”, “potential”, “estimates”, “pro forma”, “seeks”, “intends”, or “anticipates”, or similar expressions.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(the “Holding Company”) and its subsidiaries, including United Community Bank (the “Bank”). The Holding Company and the Bank are collectively referred to in this report as “United”</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forward-looking statements relate to the future, they are subject to known and unknown risks, uncertainties, assumptions, and changes in circumstances, many of which are beyond our control, and that are difficult to predict as to timing, extent, likelihood and degree of occurrence, and that could cause actual results to differ materially from the results implied or anticipated by the statements. Except as required by law, we expressly disclaim any obligations to publicly update any forward-looking statements, whether written or oral, that may be made from time to time, whether as a result of new information, future developments or otherwise. Important factors that could cause our actual results and financial condition to differ materially from those indicated in the forward-looking statements, in addition to those described in detail under Part II, Item 1A of this Report - “Risk Factors” - include, but are not limited to the following:</w:t>
      </w:r>
    </w:p>
    <w:p>
      <w:pPr>
        <w:spacing w:after="0" w:line="222" w:lineRule="exact"/>
        <w:rPr>
          <w:sz w:val="20"/>
          <w:szCs w:val="20"/>
          <w:color w:val="auto"/>
        </w:rPr>
      </w:pPr>
    </w:p>
    <w:p>
      <w:pPr>
        <w:jc w:val="both"/>
        <w:ind w:left="340" w:hanging="332"/>
        <w:spacing w:after="0" w:line="255"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negative economic and political conditions that adversely affect the general economy, housing prices, the real estate market, the job market, consumer confidence, the financial condition of our borrowers and consumer spending habits, which may affect, among other things, the levels of non-performing assets, charge-offs and provision expense;</w:t>
      </w:r>
    </w:p>
    <w:p>
      <w:pPr>
        <w:spacing w:after="0" w:line="2"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loan underwriting, credit review or loss policies associated with economic conditions, examination conclusions or regulatory developments, either as they currently exist or as they may be affected by conditions associated with the COVID-19 pandemic;</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and its effects on the economic and business environments in which we operate;</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continuation of historically low interest rates coupled with other potential fluctuations or unanticipated 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any unanticipated or greater than anticipated adverse conditions in the national or local economies in which we operate;</w:t>
      </w: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loan concentration in industries or sectors that may experience unanticipated or greater than anticipated adverse conditions than other industries or sectors in the national or local economies in which we operate;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mergers or acquisitions, including our ability to successfully expand and complete acquisitions and integrate businesses and operations that we acquire;</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non-bank financial technology providers, and our ability to attract customers from other financial institutions;</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our network and online banking portals, and the systems of parties with whom we contract,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hanging="332"/>
        <w:spacing w:after="0" w:line="260"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volatility in the allowance for credit losses resulting from the Current Expected Credit Loss (“CECL”) methodology, either alone or as that may be affected by conditions arising out of the COVID-19 pandemic;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340" w:right="20" w:hanging="332"/>
        <w:spacing w:after="0" w:line="274"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results (including judgments, costs, fines, reputational harm, inability to obtain necessary approvals and/or other negative effects) from current or future litigation, regulatory proceedings, examinations, investigations, or similar matters, or developments related thereto;</w:t>
      </w: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matter that would cause us to conclude that there was impairment of any asset, including intangible assets;</w:t>
      </w:r>
    </w:p>
    <w:p>
      <w:pPr>
        <w:spacing w:after="0" w:line="9" w:lineRule="exact"/>
        <w:rPr>
          <w:rFonts w:ascii="Arial" w:cs="Arial" w:eastAsia="Arial" w:hAnsi="Arial"/>
          <w:sz w:val="18"/>
          <w:szCs w:val="18"/>
          <w:color w:val="auto"/>
        </w:rPr>
      </w:pPr>
    </w:p>
    <w:p>
      <w:pPr>
        <w:ind w:left="340" w:hanging="332"/>
        <w:spacing w:after="0" w:line="25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limitations on our ability to make dividends and other distributions from the Bank to the Holding Company, which could affect Holding Company liquidity, including the ability to pay dividends to shareholders or take other capital actions; and</w:t>
      </w:r>
    </w:p>
    <w:p>
      <w:pPr>
        <w:ind w:left="340" w:hanging="332"/>
        <w:spacing w:after="0" w:line="260"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disclosed in documents filed or furnished by us with or to the SEC, any of which could cause actual results to differ materially from future results expressed, implied or otherwise anticipated by such forward-looking statements.</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caution readers that the foregoing list of factors is not exclusive, is not necessarily in order of importance and readers should not place undue reliance on forward-looking statements. Additional factors that may cause actual results to differ materially from those contemplated by any forward-looking statements also may be found in our Annual Report on Form 10-K, Quarterly Reports on Form 10-Q, and Current Reports on Form 8-K filed with the Securities and Exchange Commission (the “SEC”) and available at the SEC’s website at http://www.sec.gov. We do not intend to and hereby disclaim any obligation to update or revise any forward-looking statement contained in this Form 10-Q, which speaks only as of the date hereof, whether as a result of new information, future events, or otherwise. The financial statements and information contained herein have not been reviewed, or confirmed for accuracy or relevance, by the Federal Deposit Insurance Corporation (the “FDIC”) or any other regulator.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i w:val="1"/>
                <w:iCs w:val="1"/>
                <w:color w:val="auto"/>
              </w:rPr>
              <w:t>(in thousands, except share data)</w:t>
            </w: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tcPr>
          <w:p>
            <w:pPr>
              <w:ind w:left="40"/>
              <w:spacing w:after="0" w:line="175" w:lineRule="exact"/>
              <w:rPr>
                <w:sz w:val="20"/>
                <w:szCs w:val="20"/>
                <w:color w:val="auto"/>
              </w:rPr>
            </w:pPr>
            <w:r>
              <w:rPr>
                <w:rFonts w:ascii="Arial" w:cs="Arial" w:eastAsia="Arial" w:hAnsi="Arial"/>
                <w:sz w:val="16"/>
                <w:szCs w:val="16"/>
                <w:b w:val="1"/>
                <w:bCs w:val="1"/>
                <w:color w:val="auto"/>
              </w:rPr>
              <w:t>September 30,</w:t>
            </w: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119"/>
              <w:spacing w:after="0" w:line="175" w:lineRule="exact"/>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3"/>
        </w:trPr>
        <w:tc>
          <w:tcPr>
            <w:tcW w:w="8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0"/>
        </w:trPr>
        <w:tc>
          <w:tcPr>
            <w:tcW w:w="83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Cash and due from banks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122,048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125,844</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Interest-bearing deposits in banks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923,591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389,362</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1,045,639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515,206</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Debt securities available-for-sale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2,690,448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2,274,581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Debt securities held-to-maturity (fair value $413,820 and $287,904, respectively)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283,533</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Loans held for sale at fair value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128,587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58,484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Loans and leases held for investment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11,798,910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Less allowance for credit losses - loans and leases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(134,256)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(62,089)</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Loans and leases, net</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11,664,654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8,750,464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Premises and equipment, net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211,885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215,976</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Bank owned life insurance</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202,664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Accrued interest receivable</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48,091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32,660</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deferred tax asset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34,059</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Derivative financial instruments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103,388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35,007</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Goodwill and other intangible assets, net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342,247</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236,405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171,135</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17,152,877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4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Deposits:</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Noninterest-bearing demand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5,227,170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3,477,979</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Interest-bearing deposits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9,376,206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7,419,265</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deposits</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14,603,376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10,897,244</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326,703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212,664</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Derivative financial instruments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15,516</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222,024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154,900</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15,185,622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11,280,324</w:t>
            </w:r>
          </w:p>
        </w:tc>
        <w:tc>
          <w:tcPr>
            <w:tcW w:w="0" w:type="dxa"/>
            <w:vAlign w:val="bottom"/>
          </w:tcPr>
          <w:p>
            <w:pPr>
              <w:spacing w:after="0"/>
              <w:rPr>
                <w:sz w:val="1"/>
                <w:szCs w:val="1"/>
                <w:color w:val="auto"/>
              </w:rPr>
            </w:pPr>
          </w:p>
        </w:tc>
      </w:tr>
      <w:tr>
        <w:trPr>
          <w:trHeight w:val="193"/>
        </w:trPr>
        <w:tc>
          <w:tcPr>
            <w:tcW w:w="8440" w:type="dxa"/>
            <w:vAlign w:val="bottom"/>
            <w:gridSpan w:val="2"/>
          </w:tcPr>
          <w:p>
            <w:pPr>
              <w:ind w:left="20"/>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440" w:type="dxa"/>
            <w:vAlign w:val="bottom"/>
            <w:gridSpan w:val="2"/>
            <w:shd w:val="clear" w:color="auto" w:fill="CCEEFF"/>
          </w:tcPr>
          <w:p>
            <w:pPr>
              <w:ind w:left="140"/>
              <w:spacing w:after="0" w:line="169" w:lineRule="exact"/>
              <w:rPr>
                <w:sz w:val="20"/>
                <w:szCs w:val="20"/>
                <w:color w:val="auto"/>
              </w:rPr>
            </w:pPr>
            <w:r>
              <w:rPr>
                <w:rFonts w:ascii="Arial" w:cs="Arial" w:eastAsia="Arial" w:hAnsi="Arial"/>
                <w:sz w:val="16"/>
                <w:szCs w:val="16"/>
                <w:color w:val="auto"/>
              </w:rPr>
              <w:t>Preferred stock, $1 par value: 10,000,000 shares authorized;</w:t>
            </w:r>
          </w:p>
        </w:tc>
        <w:tc>
          <w:tcPr>
            <w:tcW w:w="1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96,422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I, $25,000 per share liquidation preference; 4,000 and no shares issued and outstanding, respectively</w:t>
            </w:r>
          </w:p>
        </w:tc>
        <w:tc>
          <w:tcPr>
            <w:tcW w:w="14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40" w:type="dxa"/>
            <w:vAlign w:val="bottom"/>
            <w:gridSpan w:val="2"/>
          </w:tcPr>
          <w:p>
            <w:pPr>
              <w:ind w:left="140"/>
              <w:spacing w:after="0" w:line="166" w:lineRule="exact"/>
              <w:rPr>
                <w:sz w:val="20"/>
                <w:szCs w:val="20"/>
                <w:color w:val="auto"/>
              </w:rPr>
            </w:pPr>
            <w:r>
              <w:rPr>
                <w:rFonts w:ascii="Arial" w:cs="Arial" w:eastAsia="Arial" w:hAnsi="Arial"/>
                <w:sz w:val="16"/>
                <w:szCs w:val="16"/>
                <w:color w:val="auto"/>
              </w:rPr>
              <w:t>Common stock, $1 par value: 150,000,000 shares authorized;</w:t>
            </w:r>
          </w:p>
        </w:tc>
        <w:tc>
          <w:tcPr>
            <w:tcW w:w="1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86,611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79,014</w:t>
            </w:r>
          </w:p>
        </w:tc>
        <w:tc>
          <w:tcPr>
            <w:tcW w:w="0" w:type="dxa"/>
            <w:vAlign w:val="bottom"/>
          </w:tcPr>
          <w:p>
            <w:pPr>
              <w:spacing w:after="0"/>
              <w:rPr>
                <w:sz w:val="1"/>
                <w:szCs w:val="1"/>
                <w:color w:val="auto"/>
              </w:rPr>
            </w:pPr>
          </w:p>
        </w:tc>
      </w:tr>
      <w:tr>
        <w:trPr>
          <w:trHeight w:val="209"/>
        </w:trPr>
        <w:tc>
          <w:tcPr>
            <w:tcW w:w="8440" w:type="dxa"/>
            <w:vAlign w:val="bottom"/>
            <w:gridSpan w:val="2"/>
          </w:tcPr>
          <w:p>
            <w:pPr>
              <w:ind w:left="220"/>
              <w:spacing w:after="0"/>
              <w:rPr>
                <w:sz w:val="20"/>
                <w:szCs w:val="20"/>
                <w:color w:val="auto"/>
              </w:rPr>
            </w:pPr>
            <w:r>
              <w:rPr>
                <w:rFonts w:ascii="Arial" w:cs="Arial" w:eastAsia="Arial" w:hAnsi="Arial"/>
                <w:sz w:val="16"/>
                <w:szCs w:val="16"/>
                <w:color w:val="auto"/>
              </w:rPr>
              <w:t>86,611,114 and 79,013,729 shares issued and outstanding, respectively</w:t>
            </w:r>
          </w:p>
        </w:tc>
        <w:tc>
          <w:tcPr>
            <w:tcW w:w="1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 issuable: 590,521 and 664,640 shares, respectively</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w:t>
            </w:r>
          </w:p>
        </w:tc>
        <w:tc>
          <w:tcPr>
            <w:tcW w:w="0" w:type="dxa"/>
            <w:vAlign w:val="bottom"/>
          </w:tcPr>
          <w:p>
            <w:pPr>
              <w:spacing w:after="0"/>
              <w:rPr>
                <w:sz w:val="1"/>
                <w:szCs w:val="1"/>
                <w:color w:val="auto"/>
              </w:rPr>
            </w:pPr>
          </w:p>
        </w:tc>
      </w:tr>
      <w:tr>
        <w:trPr>
          <w:trHeight w:val="213"/>
        </w:trPr>
        <w:tc>
          <w:tcPr>
            <w:tcW w:w="8440" w:type="dxa"/>
            <w:vAlign w:val="bottom"/>
            <w:gridSpan w:val="2"/>
          </w:tcPr>
          <w:p>
            <w:pPr>
              <w:ind w:left="120"/>
              <w:spacing w:after="0"/>
              <w:rPr>
                <w:sz w:val="20"/>
                <w:szCs w:val="20"/>
                <w:color w:val="auto"/>
              </w:rPr>
            </w:pPr>
            <w:r>
              <w:rPr>
                <w:rFonts w:ascii="Arial" w:cs="Arial" w:eastAsia="Arial" w:hAnsi="Arial"/>
                <w:sz w:val="16"/>
                <w:szCs w:val="16"/>
                <w:color w:val="auto"/>
              </w:rPr>
              <w:t>Capital surplus</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1,637,467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1,496,641</w:t>
            </w:r>
          </w:p>
        </w:tc>
        <w:tc>
          <w:tcPr>
            <w:tcW w:w="0" w:type="dxa"/>
            <w:vAlign w:val="bottom"/>
          </w:tcPr>
          <w:p>
            <w:pPr>
              <w:spacing w:after="0"/>
              <w:rPr>
                <w:sz w:val="1"/>
                <w:szCs w:val="1"/>
                <w:color w:val="auto"/>
              </w:rPr>
            </w:pPr>
          </w:p>
        </w:tc>
      </w:tr>
      <w:tr>
        <w:trPr>
          <w:trHeight w:val="219"/>
        </w:trPr>
        <w:tc>
          <w:tcPr>
            <w:tcW w:w="84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40,152</w:t>
            </w:r>
          </w:p>
        </w:tc>
        <w:tc>
          <w:tcPr>
            <w:tcW w:w="0" w:type="dxa"/>
            <w:vAlign w:val="bottom"/>
          </w:tcPr>
          <w:p>
            <w:pPr>
              <w:spacing w:after="0"/>
              <w:rPr>
                <w:sz w:val="1"/>
                <w:szCs w:val="1"/>
                <w:color w:val="auto"/>
              </w:rPr>
            </w:pPr>
          </w:p>
        </w:tc>
      </w:tr>
      <w:tr>
        <w:trPr>
          <w:trHeight w:val="213"/>
        </w:trPr>
        <w:tc>
          <w:tcPr>
            <w:tcW w:w="84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41,185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w:t>
            </w:r>
          </w:p>
        </w:tc>
        <w:tc>
          <w:tcPr>
            <w:tcW w:w="0" w:type="dxa"/>
            <w:vAlign w:val="bottom"/>
          </w:tcPr>
          <w:p>
            <w:pPr>
              <w:spacing w:after="0"/>
              <w:rPr>
                <w:sz w:val="1"/>
                <w:szCs w:val="1"/>
                <w:color w:val="auto"/>
              </w:rPr>
            </w:pPr>
          </w:p>
        </w:tc>
      </w:tr>
      <w:tr>
        <w:trPr>
          <w:trHeight w:val="210"/>
        </w:trPr>
        <w:tc>
          <w:tcPr>
            <w:tcW w:w="84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1,967,255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1,635,692</w:t>
            </w:r>
          </w:p>
        </w:tc>
        <w:tc>
          <w:tcPr>
            <w:tcW w:w="0" w:type="dxa"/>
            <w:vAlign w:val="bottom"/>
          </w:tcPr>
          <w:p>
            <w:pPr>
              <w:spacing w:after="0"/>
              <w:rPr>
                <w:sz w:val="1"/>
                <w:szCs w:val="1"/>
                <w:color w:val="auto"/>
              </w:rPr>
            </w:pPr>
          </w:p>
        </w:tc>
      </w:tr>
      <w:tr>
        <w:trPr>
          <w:trHeight w:val="213"/>
        </w:trPr>
        <w:tc>
          <w:tcPr>
            <w:tcW w:w="844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17,152,877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12,916,016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40" w:type="dxa"/>
            <w:vAlign w:val="bottom"/>
            <w:tcBorders>
              <w:top w:val="single" w:sz="8" w:color="auto"/>
            </w:tcBorders>
            <w:gridSpan w:val="5"/>
          </w:tcPr>
          <w:p>
            <w:pPr>
              <w:ind w:left="240"/>
              <w:spacing w:after="0" w:line="162" w:lineRule="exact"/>
              <w:rPr>
                <w:sz w:val="20"/>
                <w:szCs w:val="20"/>
                <w:color w:val="auto"/>
              </w:rPr>
            </w:pPr>
            <w:r>
              <w:rPr>
                <w:rFonts w:ascii="Arial" w:cs="Arial" w:eastAsia="Arial" w:hAnsi="Arial"/>
                <w:sz w:val="15"/>
                <w:szCs w:val="15"/>
                <w:b w:val="1"/>
                <w:bCs w:val="1"/>
                <w:color w:val="auto"/>
              </w:rPr>
              <w:t>Three Months Ended</w:t>
            </w:r>
          </w:p>
        </w:tc>
        <w:tc>
          <w:tcPr>
            <w:tcW w:w="26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4"/>
          </w:tcPr>
          <w:p>
            <w:pPr>
              <w:jc w:val="right"/>
              <w:ind w:right="468"/>
              <w:spacing w:after="0" w:line="162" w:lineRule="exact"/>
              <w:rPr>
                <w:sz w:val="20"/>
                <w:szCs w:val="20"/>
                <w:color w:val="auto"/>
              </w:rPr>
            </w:pPr>
            <w:r>
              <w:rPr>
                <w:rFonts w:ascii="Arial" w:cs="Arial" w:eastAsia="Arial" w:hAnsi="Arial"/>
                <w:sz w:val="15"/>
                <w:szCs w:val="15"/>
                <w:b w:val="1"/>
                <w:bCs w:val="1"/>
                <w:color w:val="auto"/>
              </w:rPr>
              <w:t>Nine Months Ended</w:t>
            </w:r>
          </w:p>
        </w:tc>
        <w:tc>
          <w:tcPr>
            <w:tcW w:w="0" w:type="dxa"/>
            <w:vAlign w:val="bottom"/>
          </w:tcPr>
          <w:p>
            <w:pPr>
              <w:spacing w:after="0"/>
              <w:rPr>
                <w:sz w:val="1"/>
                <w:szCs w:val="1"/>
                <w:color w:val="auto"/>
              </w:rPr>
            </w:pPr>
          </w:p>
        </w:tc>
      </w:tr>
      <w:tr>
        <w:trPr>
          <w:trHeight w:val="198"/>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40" w:type="dxa"/>
            <w:vAlign w:val="bottom"/>
            <w:gridSpan w:val="2"/>
          </w:tcPr>
          <w:p>
            <w:pPr>
              <w:ind w:left="20"/>
              <w:spacing w:after="0"/>
              <w:rPr>
                <w:sz w:val="20"/>
                <w:szCs w:val="20"/>
                <w:color w:val="auto"/>
              </w:rPr>
            </w:pPr>
            <w:r>
              <w:rPr>
                <w:rFonts w:ascii="Arial" w:cs="Arial" w:eastAsia="Arial" w:hAnsi="Arial"/>
                <w:sz w:val="15"/>
                <w:szCs w:val="15"/>
                <w:i w:val="1"/>
                <w:iCs w:val="1"/>
                <w:color w:val="auto"/>
              </w:rPr>
              <w:t>(in thousands, except per share data)</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jc w:val="right"/>
              <w:ind w:right="348"/>
              <w:spacing w:after="0"/>
              <w:rPr>
                <w:sz w:val="20"/>
                <w:szCs w:val="20"/>
                <w:color w:val="auto"/>
              </w:rPr>
            </w:pPr>
            <w:r>
              <w:rPr>
                <w:rFonts w:ascii="Arial" w:cs="Arial" w:eastAsia="Arial" w:hAnsi="Arial"/>
                <w:sz w:val="15"/>
                <w:szCs w:val="15"/>
                <w:b w:val="1"/>
                <w:bCs w:val="1"/>
                <w:color w:val="auto"/>
                <w:w w:val="83"/>
              </w:rPr>
              <w:t>2019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348"/>
              <w:spacing w:after="0"/>
              <w:rPr>
                <w:sz w:val="20"/>
                <w:szCs w:val="20"/>
                <w:color w:val="auto"/>
              </w:rPr>
            </w:pPr>
            <w:r>
              <w:rPr>
                <w:rFonts w:ascii="Arial" w:cs="Arial" w:eastAsia="Arial" w:hAnsi="Arial"/>
                <w:sz w:val="15"/>
                <w:szCs w:val="15"/>
                <w:b w:val="1"/>
                <w:bCs w:val="1"/>
                <w:color w:val="auto"/>
                <w:w w:val="89"/>
              </w:rPr>
              <w:t>2019</w:t>
            </w:r>
          </w:p>
        </w:tc>
        <w:tc>
          <w:tcPr>
            <w:tcW w:w="0" w:type="dxa"/>
            <w:vAlign w:val="bottom"/>
          </w:tcPr>
          <w:p>
            <w:pPr>
              <w:spacing w:after="0"/>
              <w:rPr>
                <w:sz w:val="1"/>
                <w:szCs w:val="1"/>
                <w:color w:val="auto"/>
              </w:rPr>
            </w:pPr>
          </w:p>
        </w:tc>
      </w:tr>
      <w:tr>
        <w:trPr>
          <w:trHeight w:val="183"/>
        </w:trPr>
        <w:tc>
          <w:tcPr>
            <w:tcW w:w="6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Interest revenue:</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Loans, including fees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126,936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122,645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352,861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357,575</w:t>
            </w:r>
          </w:p>
        </w:tc>
        <w:tc>
          <w:tcPr>
            <w:tcW w:w="0" w:type="dxa"/>
            <w:vAlign w:val="bottom"/>
          </w:tcPr>
          <w:p>
            <w:pPr>
              <w:spacing w:after="0"/>
              <w:rPr>
                <w:sz w:val="1"/>
                <w:szCs w:val="1"/>
                <w:color w:val="auto"/>
              </w:rPr>
            </w:pPr>
          </w:p>
        </w:tc>
      </w:tr>
      <w:tr>
        <w:trPr>
          <w:trHeight w:val="135"/>
        </w:trPr>
        <w:tc>
          <w:tcPr>
            <w:tcW w:w="6340" w:type="dxa"/>
            <w:vAlign w:val="bottom"/>
            <w:gridSpan w:val="2"/>
          </w:tcPr>
          <w:p>
            <w:pPr>
              <w:ind w:left="140"/>
              <w:spacing w:after="0" w:line="135" w:lineRule="exact"/>
              <w:rPr>
                <w:sz w:val="20"/>
                <w:szCs w:val="20"/>
                <w:color w:val="auto"/>
              </w:rPr>
            </w:pPr>
            <w:r>
              <w:rPr>
                <w:rFonts w:ascii="Arial" w:cs="Arial" w:eastAsia="Arial" w:hAnsi="Arial"/>
                <w:sz w:val="14"/>
                <w:szCs w:val="14"/>
                <w:color w:val="auto"/>
              </w:rPr>
              <w:t>Investment securities, including tax exempt of $1,895, $1,118, $4,988 and $3,409,</w:t>
            </w: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14,558</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17,744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47,567</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57,638</w:t>
            </w:r>
          </w:p>
        </w:tc>
        <w:tc>
          <w:tcPr>
            <w:tcW w:w="0" w:type="dxa"/>
            <w:vAlign w:val="bottom"/>
          </w:tcPr>
          <w:p>
            <w:pPr>
              <w:spacing w:after="0"/>
              <w:rPr>
                <w:sz w:val="1"/>
                <w:szCs w:val="1"/>
                <w:color w:val="auto"/>
              </w:rPr>
            </w:pPr>
          </w:p>
        </w:tc>
      </w:tr>
      <w:tr>
        <w:trPr>
          <w:trHeight w:val="186"/>
        </w:trPr>
        <w:tc>
          <w:tcPr>
            <w:tcW w:w="6340" w:type="dxa"/>
            <w:vAlign w:val="bottom"/>
            <w:gridSpan w:val="2"/>
          </w:tcPr>
          <w:p>
            <w:pPr>
              <w:ind w:left="220"/>
              <w:spacing w:after="0"/>
              <w:rPr>
                <w:sz w:val="20"/>
                <w:szCs w:val="20"/>
                <w:color w:val="auto"/>
              </w:rPr>
            </w:pPr>
            <w:r>
              <w:rPr>
                <w:rFonts w:ascii="Arial" w:cs="Arial" w:eastAsia="Arial" w:hAnsi="Arial"/>
                <w:sz w:val="14"/>
                <w:szCs w:val="14"/>
                <w:color w:val="auto"/>
              </w:rPr>
              <w:t>respectively</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Deposits in banks and short-term investments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1,497</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1,074</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interest revenue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140,615</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401,925</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416,287</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Interest expense: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8,998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35,344</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50,185</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Short-term borrowings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838</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Federal Home Loan Bank advances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2,695</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Long-term debt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10,186</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9,813</w:t>
            </w:r>
          </w:p>
        </w:tc>
        <w:tc>
          <w:tcPr>
            <w:tcW w:w="0" w:type="dxa"/>
            <w:vAlign w:val="bottom"/>
          </w:tcPr>
          <w:p>
            <w:pPr>
              <w:spacing w:after="0"/>
              <w:rPr>
                <w:sz w:val="1"/>
                <w:szCs w:val="1"/>
                <w:color w:val="auto"/>
              </w:rPr>
            </w:pPr>
          </w:p>
        </w:tc>
      </w:tr>
      <w:tr>
        <w:trPr>
          <w:trHeight w:val="18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interest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45,561</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63,531</w:t>
            </w:r>
          </w:p>
        </w:tc>
        <w:tc>
          <w:tcPr>
            <w:tcW w:w="0" w:type="dxa"/>
            <w:vAlign w:val="bottom"/>
          </w:tcPr>
          <w:p>
            <w:pPr>
              <w:spacing w:after="0"/>
              <w:rPr>
                <w:sz w:val="1"/>
                <w:szCs w:val="1"/>
                <w:color w:val="auto"/>
              </w:rPr>
            </w:pPr>
          </w:p>
        </w:tc>
      </w:tr>
      <w:tr>
        <w:trPr>
          <w:trHeight w:val="179"/>
        </w:trPr>
        <w:tc>
          <w:tcPr>
            <w:tcW w:w="6340" w:type="dxa"/>
            <w:vAlign w:val="bottom"/>
            <w:gridSpan w:val="2"/>
          </w:tcPr>
          <w:p>
            <w:pPr>
              <w:ind w:left="220"/>
              <w:spacing w:after="0"/>
              <w:rPr>
                <w:sz w:val="20"/>
                <w:szCs w:val="20"/>
                <w:color w:val="auto"/>
              </w:rPr>
            </w:pPr>
            <w:r>
              <w:rPr>
                <w:rFonts w:ascii="Arial" w:cs="Arial" w:eastAsia="Arial" w:hAnsi="Arial"/>
                <w:sz w:val="14"/>
                <w:szCs w:val="14"/>
                <w:color w:val="auto"/>
              </w:rPr>
              <w:t>Net interest revenue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128,454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119,338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356,364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352,756</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21,793</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77,527</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9,650</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Net interest revenue after provision for credit losses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106,661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116,238</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278,837</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343,106</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 charges and fees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8,260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23,893</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27,429</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Mortgage loan gains and other related fees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25,144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8,658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57,113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17,750</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Brokerage and wealth management fees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6,019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Gains from sales of other loans, net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3,889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4,412</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Securities gains (losses), net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23,074</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20,433</w:t>
            </w:r>
          </w:p>
        </w:tc>
        <w:tc>
          <w:tcPr>
            <w:tcW w:w="0" w:type="dxa"/>
            <w:vAlign w:val="bottom"/>
          </w:tcPr>
          <w:p>
            <w:pPr>
              <w:spacing w:after="0"/>
              <w:rPr>
                <w:sz w:val="1"/>
                <w:szCs w:val="1"/>
                <w:color w:val="auto"/>
              </w:rPr>
            </w:pPr>
          </w:p>
        </w:tc>
      </w:tr>
      <w:tr>
        <w:trPr>
          <w:trHeight w:val="18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noninterest income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48,682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29,031</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114,734</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74,530</w:t>
            </w:r>
          </w:p>
        </w:tc>
        <w:tc>
          <w:tcPr>
            <w:tcW w:w="0" w:type="dxa"/>
            <w:vAlign w:val="bottom"/>
          </w:tcPr>
          <w:p>
            <w:pPr>
              <w:spacing w:after="0"/>
              <w:rPr>
                <w:sz w:val="1"/>
                <w:szCs w:val="1"/>
                <w:color w:val="auto"/>
              </w:rPr>
            </w:pPr>
          </w:p>
        </w:tc>
      </w:tr>
      <w:tr>
        <w:trPr>
          <w:trHeight w:val="179"/>
        </w:trPr>
        <w:tc>
          <w:tcPr>
            <w:tcW w:w="634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155,343</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145,269</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393,571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417,636</w:t>
            </w:r>
          </w:p>
        </w:tc>
        <w:tc>
          <w:tcPr>
            <w:tcW w:w="0" w:type="dxa"/>
            <w:vAlign w:val="bottom"/>
          </w:tcPr>
          <w:p>
            <w:pPr>
              <w:spacing w:after="0"/>
              <w:rPr>
                <w:sz w:val="1"/>
                <w:szCs w:val="1"/>
                <w:color w:val="auto"/>
              </w:rPr>
            </w:pPr>
          </w:p>
        </w:tc>
      </w:tr>
      <w:tr>
        <w:trPr>
          <w:trHeight w:val="186"/>
        </w:trPr>
        <w:tc>
          <w:tcPr>
            <w:tcW w:w="6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40" w:type="dxa"/>
            <w:vAlign w:val="bottom"/>
            <w:gridSpan w:val="2"/>
          </w:tcPr>
          <w:p>
            <w:pPr>
              <w:ind w:left="20"/>
              <w:spacing w:after="0"/>
              <w:rPr>
                <w:sz w:val="20"/>
                <w:szCs w:val="20"/>
                <w:color w:val="auto"/>
              </w:rPr>
            </w:pPr>
            <w:r>
              <w:rPr>
                <w:rFonts w:ascii="Arial" w:cs="Arial" w:eastAsia="Arial" w:hAnsi="Arial"/>
                <w:sz w:val="14"/>
                <w:szCs w:val="14"/>
                <w:b w:val="1"/>
                <w:bCs w:val="1"/>
                <w:color w:val="auto"/>
              </w:rPr>
              <w:t>Noninterest expenses:</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Salaries and employee benefits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59,067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162,236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146,161</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Communications and equipment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6,960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6,223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18,233</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Occupancy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Advertising and public relations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5,312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4,256</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Postage, printing and supplies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Professional fees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4,715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14,003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11,930</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Lending and loan servicing expense</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7,509</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Outside services - electronic banking</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1,934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5,101</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FDIC assessments and other regulatory charges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3,571</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Amortization of intangibles</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1,099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3,845</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Merger-related and other charges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186"/>
        </w:trPr>
        <w:tc>
          <w:tcPr>
            <w:tcW w:w="634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10,670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11,077</w:t>
            </w:r>
          </w:p>
        </w:tc>
        <w:tc>
          <w:tcPr>
            <w:tcW w:w="0" w:type="dxa"/>
            <w:vAlign w:val="bottom"/>
          </w:tcPr>
          <w:p>
            <w:pPr>
              <w:spacing w:after="0"/>
              <w:rPr>
                <w:sz w:val="1"/>
                <w:szCs w:val="1"/>
                <w:color w:val="auto"/>
              </w:rPr>
            </w:pPr>
          </w:p>
        </w:tc>
      </w:tr>
      <w:tr>
        <w:trPr>
          <w:trHeight w:val="186"/>
        </w:trPr>
        <w:tc>
          <w:tcPr>
            <w:tcW w:w="6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noninterest expenses</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95,981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82,924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261,499</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240,821</w:t>
            </w:r>
          </w:p>
        </w:tc>
        <w:tc>
          <w:tcPr>
            <w:tcW w:w="0" w:type="dxa"/>
            <w:vAlign w:val="bottom"/>
          </w:tcPr>
          <w:p>
            <w:pPr>
              <w:spacing w:after="0"/>
              <w:rPr>
                <w:sz w:val="1"/>
                <w:szCs w:val="1"/>
                <w:color w:val="auto"/>
              </w:rPr>
            </w:pPr>
          </w:p>
        </w:tc>
      </w:tr>
      <w:tr>
        <w:trPr>
          <w:trHeight w:val="179"/>
        </w:trPr>
        <w:tc>
          <w:tcPr>
            <w:tcW w:w="6340" w:type="dxa"/>
            <w:vAlign w:val="bottom"/>
            <w:gridSpan w:val="2"/>
          </w:tcPr>
          <w:p>
            <w:pPr>
              <w:ind w:left="220"/>
              <w:spacing w:after="0"/>
              <w:rPr>
                <w:sz w:val="20"/>
                <w:szCs w:val="20"/>
                <w:color w:val="auto"/>
              </w:rPr>
            </w:pPr>
            <w:r>
              <w:rPr>
                <w:rFonts w:ascii="Arial" w:cs="Arial" w:eastAsia="Arial" w:hAnsi="Arial"/>
                <w:sz w:val="14"/>
                <w:szCs w:val="14"/>
                <w:color w:val="auto"/>
              </w:rPr>
              <w:t>Net income before income taxes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59,362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62,345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132,072</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176,815</w:t>
            </w:r>
          </w:p>
        </w:tc>
        <w:tc>
          <w:tcPr>
            <w:tcW w:w="0" w:type="dxa"/>
            <w:vAlign w:val="bottom"/>
          </w:tcPr>
          <w:p>
            <w:pPr>
              <w:spacing w:after="0"/>
              <w:rPr>
                <w:sz w:val="1"/>
                <w:szCs w:val="1"/>
                <w:color w:val="auto"/>
              </w:rPr>
            </w:pPr>
          </w:p>
        </w:tc>
      </w:tr>
      <w:tr>
        <w:trPr>
          <w:trHeight w:val="189"/>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11,755</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13,983</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27,485</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40,106</w:t>
            </w:r>
          </w:p>
        </w:tc>
        <w:tc>
          <w:tcPr>
            <w:tcW w:w="0" w:type="dxa"/>
            <w:vAlign w:val="bottom"/>
          </w:tcPr>
          <w:p>
            <w:pPr>
              <w:spacing w:after="0"/>
              <w:rPr>
                <w:sz w:val="1"/>
                <w:szCs w:val="1"/>
                <w:color w:val="auto"/>
              </w:rPr>
            </w:pPr>
          </w:p>
        </w:tc>
      </w:tr>
      <w:tr>
        <w:trPr>
          <w:trHeight w:val="186"/>
        </w:trPr>
        <w:tc>
          <w:tcPr>
            <w:tcW w:w="634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47,607</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48,362</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104,587</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136,709</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34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 income available to common shareholders</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45,437</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48,011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101,994</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135,727</w:t>
            </w:r>
          </w:p>
        </w:tc>
        <w:tc>
          <w:tcPr>
            <w:tcW w:w="0" w:type="dxa"/>
            <w:vAlign w:val="bottom"/>
          </w:tcPr>
          <w:p>
            <w:pPr>
              <w:spacing w:after="0"/>
              <w:rPr>
                <w:sz w:val="1"/>
                <w:szCs w:val="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340" w:type="dxa"/>
            <w:vAlign w:val="bottom"/>
            <w:gridSpan w:val="2"/>
          </w:tcPr>
          <w:p>
            <w:pPr>
              <w:ind w:left="20"/>
              <w:spacing w:after="0"/>
              <w:rPr>
                <w:sz w:val="20"/>
                <w:szCs w:val="20"/>
                <w:color w:val="auto"/>
              </w:rPr>
            </w:pPr>
            <w:r>
              <w:rPr>
                <w:rFonts w:ascii="Arial" w:cs="Arial" w:eastAsia="Arial" w:hAnsi="Arial"/>
                <w:sz w:val="14"/>
                <w:szCs w:val="14"/>
                <w:color w:val="auto"/>
              </w:rPr>
              <w:t>Net income per common share:</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common shares outstanding:</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4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87,129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79,663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81,815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79,714</w:t>
            </w:r>
          </w:p>
        </w:tc>
        <w:tc>
          <w:tcPr>
            <w:tcW w:w="0" w:type="dxa"/>
            <w:vAlign w:val="bottom"/>
          </w:tcPr>
          <w:p>
            <w:pPr>
              <w:spacing w:after="0"/>
              <w:rPr>
                <w:sz w:val="1"/>
                <w:szCs w:val="1"/>
                <w:color w:val="auto"/>
              </w:rPr>
            </w:pPr>
          </w:p>
        </w:tc>
      </w:tr>
      <w:tr>
        <w:trPr>
          <w:trHeight w:val="192"/>
        </w:trPr>
        <w:tc>
          <w:tcPr>
            <w:tcW w:w="63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87,205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79,667</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81,876</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79,718</w:t>
            </w:r>
          </w:p>
        </w:tc>
        <w:tc>
          <w:tcPr>
            <w:tcW w:w="0" w:type="dxa"/>
            <w:vAlign w:val="bottom"/>
          </w:tcPr>
          <w:p>
            <w:pPr>
              <w:spacing w:after="0"/>
              <w:rPr>
                <w:sz w:val="1"/>
                <w:szCs w:val="1"/>
                <w:color w:val="auto"/>
              </w:rPr>
            </w:pPr>
          </w:p>
        </w:tc>
      </w:tr>
    </w:tbl>
    <w:p>
      <w:pPr>
        <w:spacing w:after="0" w:line="7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40"/>
          </w:cols>
          <w:pgMar w:left="320" w:top="1215"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5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0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7"/>
          </w:tcPr>
          <w:p>
            <w:pPr>
              <w:jc w:val="center"/>
              <w:ind w:right="41"/>
              <w:spacing w:after="0"/>
              <w:rPr>
                <w:sz w:val="20"/>
                <w:szCs w:val="20"/>
                <w:color w:val="auto"/>
              </w:rPr>
            </w:pPr>
            <w:r>
              <w:rPr>
                <w:rFonts w:ascii="Arial" w:cs="Arial" w:eastAsia="Arial" w:hAnsi="Arial"/>
                <w:sz w:val="16"/>
                <w:szCs w:val="16"/>
                <w:b w:val="1"/>
                <w:bCs w:val="1"/>
                <w:color w:val="auto"/>
                <w:w w:val="91"/>
              </w:rPr>
              <w:t>Three Months Ended September 30,</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140" w:type="dxa"/>
            <w:vAlign w:val="bottom"/>
            <w:tcBorders>
              <w:top w:val="single" w:sz="8" w:color="auto"/>
              <w:bottom w:val="single" w:sz="8" w:color="auto"/>
            </w:tcBorders>
            <w:gridSpan w:val="7"/>
          </w:tcPr>
          <w:p>
            <w:pPr>
              <w:jc w:val="center"/>
              <w:ind w:right="41"/>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58"/>
        </w:trPr>
        <w:tc>
          <w:tcPr>
            <w:tcW w:w="4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Before-tax</w:t>
            </w: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4"/>
              </w:rPr>
              <w:t>Tax</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Net of Tax</w:t>
            </w:r>
          </w:p>
        </w:tc>
        <w:tc>
          <w:tcPr>
            <w:tcW w:w="12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0"/>
              </w:rPr>
              <w:t>Before-tax</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4"/>
              </w:rPr>
              <w:t>Tax</w:t>
            </w:r>
          </w:p>
        </w:tc>
        <w:tc>
          <w:tcPr>
            <w:tcW w:w="140" w:type="dxa"/>
            <w:vAlign w:val="bottom"/>
          </w:tcPr>
          <w:p>
            <w:pPr>
              <w:spacing w:after="0"/>
              <w:rPr>
                <w:sz w:val="13"/>
                <w:szCs w:val="13"/>
                <w:color w:val="auto"/>
              </w:rPr>
            </w:pPr>
          </w:p>
        </w:tc>
        <w:tc>
          <w:tcPr>
            <w:tcW w:w="900" w:type="dxa"/>
            <w:vAlign w:val="bottom"/>
            <w:vMerge w:val="restart"/>
          </w:tcPr>
          <w:p>
            <w:pPr>
              <w:jc w:val="right"/>
              <w:ind w:right="81"/>
              <w:spacing w:after="0"/>
              <w:rPr>
                <w:sz w:val="20"/>
                <w:szCs w:val="20"/>
                <w:color w:val="auto"/>
              </w:rPr>
            </w:pPr>
            <w:r>
              <w:rPr>
                <w:rFonts w:ascii="Arial" w:cs="Arial" w:eastAsia="Arial" w:hAnsi="Arial"/>
                <w:sz w:val="16"/>
                <w:szCs w:val="16"/>
                <w:b w:val="1"/>
                <w:bCs w:val="1"/>
                <w:color w:val="auto"/>
                <w:w w:val="93"/>
              </w:rPr>
              <w:t>Net of Tax</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(Expense)</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8"/>
              </w:rPr>
              <w:t>(Expense)</w:t>
            </w: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Benefit</w:t>
            </w:r>
          </w:p>
        </w:tc>
        <w:tc>
          <w:tcPr>
            <w:tcW w:w="140" w:type="dxa"/>
            <w:vAlign w:val="bottom"/>
          </w:tcPr>
          <w:p>
            <w:pPr>
              <w:spacing w:after="0"/>
              <w:rPr>
                <w:sz w:val="18"/>
                <w:szCs w:val="18"/>
                <w:color w:val="auto"/>
              </w:rPr>
            </w:pPr>
          </w:p>
        </w:tc>
        <w:tc>
          <w:tcPr>
            <w:tcW w:w="900" w:type="dxa"/>
            <w:vAlign w:val="bottom"/>
          </w:tcPr>
          <w:p>
            <w:pPr>
              <w:jc w:val="right"/>
              <w:ind w:right="161"/>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181"/>
        </w:trPr>
        <w:tc>
          <w:tcPr>
            <w:tcW w:w="44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92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88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47,607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132,072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104,587</w:t>
            </w:r>
          </w:p>
        </w:tc>
        <w:tc>
          <w:tcPr>
            <w:tcW w:w="0" w:type="dxa"/>
            <w:vAlign w:val="bottom"/>
          </w:tcPr>
          <w:p>
            <w:pPr>
              <w:spacing w:after="0"/>
              <w:rPr>
                <w:sz w:val="1"/>
                <w:szCs w:val="1"/>
                <w:color w:val="auto"/>
              </w:rPr>
            </w:pPr>
          </w:p>
        </w:tc>
      </w:tr>
      <w:tr>
        <w:trPr>
          <w:trHeight w:val="201"/>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ind w:left="220"/>
              <w:spacing w:after="0"/>
              <w:rPr>
                <w:sz w:val="20"/>
                <w:szCs w:val="20"/>
                <w:color w:val="auto"/>
              </w:rPr>
            </w:pPr>
            <w:r>
              <w:rPr>
                <w:rFonts w:ascii="Arial" w:cs="Arial" w:eastAsia="Arial" w:hAnsi="Arial"/>
                <w:sz w:val="16"/>
                <w:szCs w:val="16"/>
                <w:color w:val="auto"/>
              </w:rPr>
              <w:t>Unrealized gains on available-for-sale securities</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(10,583)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33,028</w:t>
            </w: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Reclassification adjustment for gains included in net income</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195"/>
        </w:trPr>
        <w:tc>
          <w:tcPr>
            <w:tcW w:w="4540" w:type="dxa"/>
            <w:vAlign w:val="bottom"/>
            <w:gridSpan w:val="2"/>
          </w:tcPr>
          <w:p>
            <w:pPr>
              <w:ind w:left="340"/>
              <w:spacing w:after="0"/>
              <w:rPr>
                <w:sz w:val="20"/>
                <w:szCs w:val="20"/>
                <w:color w:val="auto"/>
              </w:rPr>
            </w:pPr>
            <w:r>
              <w:rPr>
                <w:rFonts w:ascii="Arial" w:cs="Arial" w:eastAsia="Arial" w:hAnsi="Arial"/>
                <w:sz w:val="16"/>
                <w:szCs w:val="16"/>
                <w:color w:val="auto"/>
              </w:rPr>
              <w:t>Net unrealized gains</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42,865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(10,392)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32,473</w:t>
            </w:r>
          </w:p>
        </w:tc>
        <w:tc>
          <w:tcPr>
            <w:tcW w:w="0" w:type="dxa"/>
            <w:vAlign w:val="bottom"/>
          </w:tcPr>
          <w:p>
            <w:pPr>
              <w:spacing w:after="0"/>
              <w:rPr>
                <w:sz w:val="1"/>
                <w:szCs w:val="1"/>
                <w:color w:val="auto"/>
              </w:rPr>
            </w:pPr>
          </w:p>
        </w:tc>
      </w:tr>
      <w:tr>
        <w:trPr>
          <w:trHeight w:val="150"/>
        </w:trPr>
        <w:tc>
          <w:tcPr>
            <w:tcW w:w="4540" w:type="dxa"/>
            <w:vAlign w:val="bottom"/>
            <w:gridSpan w:val="2"/>
            <w:shd w:val="clear" w:color="auto" w:fill="CCEEFF"/>
          </w:tcPr>
          <w:p>
            <w:pPr>
              <w:ind w:left="120"/>
              <w:spacing w:after="0" w:line="150" w:lineRule="exact"/>
              <w:rPr>
                <w:sz w:val="20"/>
                <w:szCs w:val="20"/>
                <w:color w:val="auto"/>
              </w:rPr>
            </w:pPr>
            <w:r>
              <w:rPr>
                <w:rFonts w:ascii="Arial" w:cs="Arial" w:eastAsia="Arial" w:hAnsi="Arial"/>
                <w:sz w:val="16"/>
                <w:szCs w:val="16"/>
                <w:color w:val="auto"/>
                <w:w w:val="93"/>
              </w:rPr>
              <w:t>Amortization of losses included in net income on available-for-sale</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414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securities transferred to held-to-maturity</w:t>
            </w: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ind w:left="120"/>
              <w:spacing w:after="0"/>
              <w:rPr>
                <w:sz w:val="20"/>
                <w:szCs w:val="20"/>
                <w:color w:val="auto"/>
              </w:rPr>
            </w:pPr>
            <w:r>
              <w:rPr>
                <w:rFonts w:ascii="Arial" w:cs="Arial" w:eastAsia="Arial" w:hAnsi="Arial"/>
                <w:sz w:val="16"/>
                <w:szCs w:val="16"/>
                <w:color w:val="auto"/>
              </w:rPr>
              <w:t>Derivative instruments designated as cash flow hedges: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2"/>
              </w:rPr>
              <w:t>Unrealized holding losses on derivatives arising during the period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w:t>
            </w:r>
          </w:p>
        </w:tc>
        <w:tc>
          <w:tcPr>
            <w:tcW w:w="0" w:type="dxa"/>
            <w:vAlign w:val="bottom"/>
          </w:tcPr>
          <w:p>
            <w:pPr>
              <w:spacing w:after="0"/>
              <w:rPr>
                <w:sz w:val="1"/>
                <w:szCs w:val="1"/>
                <w:color w:val="auto"/>
              </w:rPr>
            </w:pPr>
          </w:p>
        </w:tc>
      </w:tr>
      <w:tr>
        <w:trPr>
          <w:trHeight w:val="148"/>
        </w:trPr>
        <w:tc>
          <w:tcPr>
            <w:tcW w:w="4540" w:type="dxa"/>
            <w:vAlign w:val="bottom"/>
            <w:gridSpan w:val="2"/>
          </w:tcPr>
          <w:p>
            <w:pPr>
              <w:ind w:left="240"/>
              <w:spacing w:after="0" w:line="148" w:lineRule="exact"/>
              <w:rPr>
                <w:sz w:val="20"/>
                <w:szCs w:val="20"/>
                <w:color w:val="auto"/>
              </w:rPr>
            </w:pPr>
            <w:r>
              <w:rPr>
                <w:rFonts w:ascii="Arial" w:cs="Arial" w:eastAsia="Arial" w:hAnsi="Arial"/>
                <w:sz w:val="16"/>
                <w:szCs w:val="16"/>
                <w:color w:val="auto"/>
                <w:w w:val="92"/>
              </w:rPr>
              <w:t>Reclassification of losses on derivative instruments realized in net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1"/>
        </w:trPr>
        <w:tc>
          <w:tcPr>
            <w:tcW w:w="45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income</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Net cash flow hedge activity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0" w:type="dxa"/>
            <w:vAlign w:val="bottom"/>
          </w:tcPr>
          <w:p>
            <w:pPr>
              <w:spacing w:after="0"/>
              <w:rPr>
                <w:sz w:val="1"/>
                <w:szCs w:val="1"/>
                <w:color w:val="auto"/>
              </w:rPr>
            </w:pPr>
          </w:p>
        </w:tc>
      </w:tr>
      <w:tr>
        <w:trPr>
          <w:trHeight w:val="148"/>
        </w:trPr>
        <w:tc>
          <w:tcPr>
            <w:tcW w:w="4540" w:type="dxa"/>
            <w:vAlign w:val="bottom"/>
            <w:gridSpan w:val="2"/>
          </w:tcPr>
          <w:p>
            <w:pPr>
              <w:ind w:left="120"/>
              <w:spacing w:after="0" w:line="148" w:lineRule="exact"/>
              <w:rPr>
                <w:sz w:val="20"/>
                <w:szCs w:val="20"/>
                <w:color w:val="auto"/>
              </w:rPr>
            </w:pPr>
            <w:r>
              <w:rPr>
                <w:rFonts w:ascii="Arial" w:cs="Arial" w:eastAsia="Arial" w:hAnsi="Arial"/>
                <w:sz w:val="16"/>
                <w:szCs w:val="16"/>
                <w:color w:val="auto"/>
                <w:w w:val="95"/>
              </w:rPr>
              <w:t>Amortization of prior service cost and actuarial losses included in</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1"/>
        </w:trPr>
        <w:tc>
          <w:tcPr>
            <w:tcW w:w="45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net periodic pension cost for defined benefit pension plan</w:t>
            </w: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635</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43,276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32,791</w:t>
            </w:r>
          </w:p>
        </w:tc>
        <w:tc>
          <w:tcPr>
            <w:tcW w:w="0" w:type="dxa"/>
            <w:vAlign w:val="bottom"/>
          </w:tcPr>
          <w:p>
            <w:pPr>
              <w:spacing w:after="0"/>
              <w:rPr>
                <w:sz w:val="1"/>
                <w:szCs w:val="1"/>
                <w:color w:val="auto"/>
              </w:rPr>
            </w:pPr>
          </w:p>
        </w:tc>
      </w:tr>
      <w:tr>
        <w:trPr>
          <w:trHeight w:val="197"/>
        </w:trPr>
        <w:tc>
          <w:tcPr>
            <w:tcW w:w="4540" w:type="dxa"/>
            <w:vAlign w:val="bottom"/>
            <w:gridSpan w:val="2"/>
          </w:tcPr>
          <w:p>
            <w:pPr>
              <w:ind w:left="34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60,122</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(11,880)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48,242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175,348</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(37,970)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137,378</w:t>
            </w:r>
          </w:p>
        </w:tc>
        <w:tc>
          <w:tcPr>
            <w:tcW w:w="0" w:type="dxa"/>
            <w:vAlign w:val="bottom"/>
          </w:tcPr>
          <w:p>
            <w:pPr>
              <w:spacing w:after="0"/>
              <w:rPr>
                <w:sz w:val="1"/>
                <w:szCs w:val="1"/>
                <w:color w:val="auto"/>
              </w:rPr>
            </w:pP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48,362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176,815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(40,106)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136,709</w:t>
            </w:r>
          </w:p>
        </w:tc>
        <w:tc>
          <w:tcPr>
            <w:tcW w:w="0" w:type="dxa"/>
            <w:vAlign w:val="bottom"/>
          </w:tcPr>
          <w:p>
            <w:pPr>
              <w:spacing w:after="0"/>
              <w:rPr>
                <w:sz w:val="1"/>
                <w:szCs w:val="1"/>
                <w:color w:val="auto"/>
              </w:rPr>
            </w:pPr>
          </w:p>
        </w:tc>
      </w:tr>
      <w:tr>
        <w:trPr>
          <w:trHeight w:val="201"/>
        </w:trPr>
        <w:tc>
          <w:tcPr>
            <w:tcW w:w="454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gains on available-for-sale securities:</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ind w:left="220"/>
              <w:spacing w:after="0"/>
              <w:rPr>
                <w:sz w:val="20"/>
                <w:szCs w:val="20"/>
                <w:color w:val="auto"/>
              </w:rPr>
            </w:pPr>
            <w:r>
              <w:rPr>
                <w:rFonts w:ascii="Arial" w:cs="Arial" w:eastAsia="Arial" w:hAnsi="Arial"/>
                <w:sz w:val="16"/>
                <w:szCs w:val="16"/>
                <w:color w:val="auto"/>
              </w:rPr>
              <w:t>Unrealized holding gains arising during period</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8,014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70,944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(17,194)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53,750</w:t>
            </w: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9"/>
              </w:rPr>
              <w:t>Reclassification adjustment for losses included in net income</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95"/>
        </w:trPr>
        <w:tc>
          <w:tcPr>
            <w:tcW w:w="4540" w:type="dxa"/>
            <w:vAlign w:val="bottom"/>
            <w:gridSpan w:val="2"/>
          </w:tcPr>
          <w:p>
            <w:pPr>
              <w:ind w:left="340"/>
              <w:spacing w:after="0"/>
              <w:rPr>
                <w:sz w:val="20"/>
                <w:szCs w:val="20"/>
                <w:color w:val="auto"/>
              </w:rPr>
            </w:pPr>
            <w:r>
              <w:rPr>
                <w:rFonts w:ascii="Arial" w:cs="Arial" w:eastAsia="Arial" w:hAnsi="Arial"/>
                <w:sz w:val="16"/>
                <w:szCs w:val="16"/>
                <w:color w:val="auto"/>
              </w:rPr>
              <w:t>Net unrealized gains</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8,014</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6,117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71,062</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(17,224)</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53,838</w:t>
            </w:r>
          </w:p>
        </w:tc>
        <w:tc>
          <w:tcPr>
            <w:tcW w:w="0" w:type="dxa"/>
            <w:vAlign w:val="bottom"/>
          </w:tcPr>
          <w:p>
            <w:pPr>
              <w:spacing w:after="0"/>
              <w:rPr>
                <w:sz w:val="1"/>
                <w:szCs w:val="1"/>
                <w:color w:val="auto"/>
              </w:rPr>
            </w:pPr>
          </w:p>
        </w:tc>
      </w:tr>
      <w:tr>
        <w:trPr>
          <w:trHeight w:val="150"/>
        </w:trPr>
        <w:tc>
          <w:tcPr>
            <w:tcW w:w="4540" w:type="dxa"/>
            <w:vAlign w:val="bottom"/>
            <w:gridSpan w:val="2"/>
            <w:shd w:val="clear" w:color="auto" w:fill="CCEEFF"/>
          </w:tcPr>
          <w:p>
            <w:pPr>
              <w:ind w:left="120"/>
              <w:spacing w:after="0" w:line="150" w:lineRule="exact"/>
              <w:rPr>
                <w:sz w:val="20"/>
                <w:szCs w:val="20"/>
                <w:color w:val="auto"/>
              </w:rPr>
            </w:pPr>
            <w:r>
              <w:rPr>
                <w:rFonts w:ascii="Arial" w:cs="Arial" w:eastAsia="Arial" w:hAnsi="Arial"/>
                <w:sz w:val="16"/>
                <w:szCs w:val="16"/>
                <w:color w:val="auto"/>
                <w:w w:val="93"/>
              </w:rPr>
              <w:t>Amortization of losses included in net income on available-for-sale</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securities transferred to held-to-maturity</w:t>
            </w: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gridSpan w:val="2"/>
          </w:tcPr>
          <w:p>
            <w:pPr>
              <w:ind w:left="120"/>
              <w:spacing w:after="0" w:line="148" w:lineRule="exact"/>
              <w:rPr>
                <w:sz w:val="20"/>
                <w:szCs w:val="20"/>
                <w:color w:val="auto"/>
              </w:rPr>
            </w:pPr>
            <w:r>
              <w:rPr>
                <w:rFonts w:ascii="Arial" w:cs="Arial" w:eastAsia="Arial" w:hAnsi="Arial"/>
                <w:sz w:val="16"/>
                <w:szCs w:val="16"/>
                <w:color w:val="auto"/>
              </w:rPr>
              <w:t>Amortization of losses included in net income on terminated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gridSpan w:val="2"/>
          </w:tcPr>
          <w:p>
            <w:pPr>
              <w:ind w:left="120"/>
              <w:spacing w:after="0" w:line="148" w:lineRule="exact"/>
              <w:rPr>
                <w:sz w:val="20"/>
                <w:szCs w:val="20"/>
                <w:color w:val="auto"/>
              </w:rPr>
            </w:pPr>
            <w:r>
              <w:rPr>
                <w:rFonts w:ascii="Arial" w:cs="Arial" w:eastAsia="Arial" w:hAnsi="Arial"/>
                <w:sz w:val="16"/>
                <w:szCs w:val="16"/>
                <w:color w:val="auto"/>
                <w:w w:val="94"/>
              </w:rPr>
              <w:t>derivative financial instruments that were previously accounted for</w:t>
            </w:r>
          </w:p>
        </w:tc>
        <w:tc>
          <w:tcPr>
            <w:tcW w:w="100" w:type="dxa"/>
            <w:vAlign w:val="bottom"/>
          </w:tcPr>
          <w:p>
            <w:pPr>
              <w:spacing w:after="0"/>
              <w:rPr>
                <w:sz w:val="12"/>
                <w:szCs w:val="12"/>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1"/>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01"/>
        </w:trPr>
        <w:tc>
          <w:tcPr>
            <w:tcW w:w="4540" w:type="dxa"/>
            <w:vAlign w:val="bottom"/>
            <w:gridSpan w:val="2"/>
          </w:tcPr>
          <w:p>
            <w:pPr>
              <w:ind w:left="120"/>
              <w:spacing w:after="0"/>
              <w:rPr>
                <w:sz w:val="20"/>
                <w:szCs w:val="20"/>
                <w:color w:val="auto"/>
              </w:rPr>
            </w:pPr>
            <w:r>
              <w:rPr>
                <w:rFonts w:ascii="Arial" w:cs="Arial" w:eastAsia="Arial" w:hAnsi="Arial"/>
                <w:sz w:val="16"/>
                <w:szCs w:val="16"/>
                <w:color w:val="auto"/>
              </w:rPr>
              <w:t>as cash flow hedges</w:t>
            </w:r>
          </w:p>
        </w:tc>
        <w:tc>
          <w:tcPr>
            <w:tcW w:w="10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Defined benefit pension plan activity:</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540" w:type="dxa"/>
            <w:vAlign w:val="bottom"/>
            <w:gridSpan w:val="2"/>
          </w:tcPr>
          <w:p>
            <w:pPr>
              <w:ind w:left="220"/>
              <w:spacing w:after="0"/>
              <w:rPr>
                <w:sz w:val="20"/>
                <w:szCs w:val="20"/>
                <w:color w:val="auto"/>
              </w:rPr>
            </w:pPr>
            <w:r>
              <w:rPr>
                <w:rFonts w:ascii="Arial" w:cs="Arial" w:eastAsia="Arial" w:hAnsi="Arial"/>
                <w:sz w:val="16"/>
                <w:szCs w:val="16"/>
                <w:color w:val="auto"/>
              </w:rPr>
              <w:t>Termination of defined benefit pension plan</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1"/>
              <w:spacing w:after="0"/>
              <w:rPr>
                <w:sz w:val="20"/>
                <w:szCs w:val="20"/>
                <w:color w:val="auto"/>
              </w:rPr>
            </w:pPr>
            <w:r>
              <w:rPr>
                <w:rFonts w:ascii="Arial" w:cs="Arial" w:eastAsia="Arial" w:hAnsi="Arial"/>
                <w:sz w:val="16"/>
                <w:szCs w:val="16"/>
                <w:color w:val="auto"/>
              </w:rPr>
              <w:t>1,160</w:t>
            </w:r>
          </w:p>
        </w:tc>
        <w:tc>
          <w:tcPr>
            <w:tcW w:w="0" w:type="dxa"/>
            <w:vAlign w:val="bottom"/>
          </w:tcPr>
          <w:p>
            <w:pPr>
              <w:spacing w:after="0"/>
              <w:rPr>
                <w:sz w:val="1"/>
                <w:szCs w:val="1"/>
                <w:color w:val="auto"/>
              </w:rPr>
            </w:pPr>
          </w:p>
        </w:tc>
      </w:tr>
      <w:tr>
        <w:trPr>
          <w:trHeight w:val="150"/>
        </w:trPr>
        <w:tc>
          <w:tcPr>
            <w:tcW w:w="4540" w:type="dxa"/>
            <w:vAlign w:val="bottom"/>
            <w:gridSpan w:val="2"/>
            <w:shd w:val="clear" w:color="auto" w:fill="CCEEFF"/>
          </w:tcPr>
          <w:p>
            <w:pPr>
              <w:ind w:left="240"/>
              <w:spacing w:after="0" w:line="150" w:lineRule="exact"/>
              <w:rPr>
                <w:sz w:val="20"/>
                <w:szCs w:val="20"/>
                <w:color w:val="auto"/>
              </w:rPr>
            </w:pPr>
            <w:r>
              <w:rPr>
                <w:rFonts w:ascii="Arial" w:cs="Arial" w:eastAsia="Arial" w:hAnsi="Arial"/>
                <w:sz w:val="16"/>
                <w:szCs w:val="16"/>
                <w:color w:val="auto"/>
                <w:w w:val="93"/>
              </w:rPr>
              <w:t>Amortization of prior service cost and actuarial losses included in</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periodic pension cost for defined benefit pension plan</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54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Net defined benefit pension plan activity</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1,548</w:t>
            </w:r>
          </w:p>
        </w:tc>
        <w:tc>
          <w:tcPr>
            <w:tcW w:w="0" w:type="dxa"/>
            <w:vAlign w:val="bottom"/>
          </w:tcPr>
          <w:p>
            <w:pPr>
              <w:spacing w:after="0"/>
              <w:rPr>
                <w:sz w:val="1"/>
                <w:szCs w:val="1"/>
                <w:color w:val="auto"/>
              </w:rPr>
            </w:pPr>
          </w:p>
        </w:tc>
      </w:tr>
      <w:tr>
        <w:trPr>
          <w:trHeight w:val="196"/>
        </w:trPr>
        <w:tc>
          <w:tcPr>
            <w:tcW w:w="45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other comprehensive income</w:t>
            </w: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9,851</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7,486</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73,760</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(17,908)</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55,852</w:t>
            </w:r>
          </w:p>
        </w:tc>
        <w:tc>
          <w:tcPr>
            <w:tcW w:w="0" w:type="dxa"/>
            <w:vAlign w:val="bottom"/>
          </w:tcPr>
          <w:p>
            <w:pPr>
              <w:spacing w:after="0"/>
              <w:rPr>
                <w:sz w:val="1"/>
                <w:szCs w:val="1"/>
                <w:color w:val="auto"/>
              </w:rPr>
            </w:pPr>
          </w:p>
        </w:tc>
      </w:tr>
      <w:tr>
        <w:trPr>
          <w:trHeight w:val="197"/>
        </w:trPr>
        <w:tc>
          <w:tcPr>
            <w:tcW w:w="4540" w:type="dxa"/>
            <w:vAlign w:val="bottom"/>
            <w:gridSpan w:val="2"/>
          </w:tcPr>
          <w:p>
            <w:pPr>
              <w:ind w:left="340"/>
              <w:spacing w:after="0"/>
              <w:rPr>
                <w:sz w:val="20"/>
                <w:szCs w:val="20"/>
                <w:color w:val="auto"/>
              </w:rPr>
            </w:pPr>
            <w:r>
              <w:rPr>
                <w:rFonts w:ascii="Arial" w:cs="Arial" w:eastAsia="Arial" w:hAnsi="Arial"/>
                <w:sz w:val="16"/>
                <w:szCs w:val="16"/>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72,196</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55,848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(58,014)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192,561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5" w:right="399" w:bottom="1440" w:gutter="0" w:footer="0" w:header="0"/>
        </w:sectPr>
      </w:pPr>
    </w:p>
    <w:bookmarkStart w:id="7" w:name="page8"/>
    <w:bookmarkEnd w:id="7"/>
    <w:p>
      <w:pPr>
        <w:ind w:left="20"/>
        <w:spacing w:after="0"/>
        <w:rPr>
          <w:sz w:val="20"/>
          <w:szCs w:val="20"/>
          <w:color w:val="auto"/>
        </w:rPr>
      </w:pPr>
      <w:r>
        <w:rPr>
          <w:rFonts w:ascii="Arial" w:cs="Arial" w:eastAsia="Arial" w:hAnsi="Arial"/>
          <w:sz w:val="16"/>
          <w:szCs w:val="16"/>
          <w:b w:val="1"/>
          <w:bCs w:val="1"/>
          <w:color w:val="auto"/>
        </w:rPr>
        <w:t>UNITED COMMUNITY BANKS,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7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7"/>
          </w:tcPr>
          <w:p>
            <w:pPr>
              <w:ind w:left="200"/>
              <w:spacing w:after="0"/>
              <w:rPr>
                <w:sz w:val="20"/>
                <w:szCs w:val="20"/>
                <w:color w:val="auto"/>
              </w:rPr>
            </w:pPr>
            <w:r>
              <w:rPr>
                <w:rFonts w:ascii="Arial" w:cs="Arial" w:eastAsia="Arial" w:hAnsi="Arial"/>
                <w:sz w:val="11"/>
                <w:szCs w:val="11"/>
                <w:b w:val="1"/>
                <w:bCs w:val="1"/>
                <w:color w:val="auto"/>
                <w:w w:val="91"/>
              </w:rPr>
              <w:t>Three Months Ended September 30,</w:t>
            </w:r>
          </w:p>
        </w:tc>
        <w:tc>
          <w:tcPr>
            <w:tcW w:w="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7"/>
          </w:tcPr>
          <w:p>
            <w:pPr>
              <w:ind w:left="220"/>
              <w:spacing w:after="0"/>
              <w:rPr>
                <w:sz w:val="20"/>
                <w:szCs w:val="20"/>
                <w:color w:val="auto"/>
              </w:rPr>
            </w:pPr>
            <w:r>
              <w:rPr>
                <w:rFonts w:ascii="Arial" w:cs="Arial" w:eastAsia="Arial" w:hAnsi="Arial"/>
                <w:sz w:val="11"/>
                <w:szCs w:val="11"/>
                <w:b w:val="1"/>
                <w:bCs w:val="1"/>
                <w:color w:val="auto"/>
                <w:w w:val="92"/>
              </w:rPr>
              <w:t>Nine Months Ended September 30,</w:t>
            </w: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center"/>
              <w:ind w:right="180"/>
              <w:spacing w:after="0" w:line="102" w:lineRule="exact"/>
              <w:rPr>
                <w:sz w:val="20"/>
                <w:szCs w:val="20"/>
                <w:color w:val="auto"/>
              </w:rPr>
            </w:pPr>
            <w:r>
              <w:rPr>
                <w:rFonts w:ascii="Arial" w:cs="Arial" w:eastAsia="Arial" w:hAnsi="Arial"/>
                <w:sz w:val="11"/>
                <w:szCs w:val="11"/>
                <w:b w:val="1"/>
                <w:bCs w:val="1"/>
                <w:color w:val="auto"/>
                <w:w w:val="90"/>
              </w:rPr>
              <w:t>Retained</w:t>
            </w:r>
          </w:p>
        </w:tc>
        <w:tc>
          <w:tcPr>
            <w:tcW w:w="60" w:type="dxa"/>
            <w:vAlign w:val="bottom"/>
          </w:tcPr>
          <w:p>
            <w:pPr>
              <w:spacing w:after="0"/>
              <w:rPr>
                <w:sz w:val="8"/>
                <w:szCs w:val="8"/>
                <w:color w:val="auto"/>
              </w:rPr>
            </w:pPr>
          </w:p>
        </w:tc>
        <w:tc>
          <w:tcPr>
            <w:tcW w:w="7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8"/>
              </w:rPr>
              <w:t>Common</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90"/>
              </w:rPr>
              <w:t>Retained</w:t>
            </w:r>
          </w:p>
        </w:tc>
        <w:tc>
          <w:tcPr>
            <w:tcW w:w="80" w:type="dxa"/>
            <w:vAlign w:val="bottom"/>
          </w:tcPr>
          <w:p>
            <w:pPr>
              <w:spacing w:after="0"/>
              <w:rPr>
                <w:sz w:val="8"/>
                <w:szCs w:val="8"/>
                <w:color w:val="auto"/>
              </w:rPr>
            </w:pPr>
          </w:p>
        </w:tc>
        <w:tc>
          <w:tcPr>
            <w:tcW w:w="76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9"/>
              </w:rPr>
              <w:t>Accumulated</w:t>
            </w: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840" w:type="dxa"/>
            <w:vAlign w:val="bottom"/>
            <w:gridSpan w:val="2"/>
            <w:vMerge w:val="restart"/>
          </w:tcPr>
          <w:p>
            <w:pPr>
              <w:ind w:left="20"/>
              <w:spacing w:after="0"/>
              <w:rPr>
                <w:sz w:val="20"/>
                <w:szCs w:val="20"/>
                <w:color w:val="auto"/>
              </w:rPr>
            </w:pPr>
            <w:r>
              <w:rPr>
                <w:rFonts w:ascii="Arial" w:cs="Arial" w:eastAsia="Arial" w:hAnsi="Arial"/>
                <w:sz w:val="11"/>
                <w:szCs w:val="11"/>
                <w:i w:val="1"/>
                <w:iCs w:val="1"/>
                <w:color w:val="auto"/>
              </w:rPr>
              <w:t>(in thousands, except share and per</w:t>
            </w: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Preferred</w:t>
            </w:r>
          </w:p>
        </w:tc>
        <w:tc>
          <w:tcPr>
            <w:tcW w:w="6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8"/>
              </w:rPr>
              <w:t>Common</w:t>
            </w:r>
          </w:p>
        </w:tc>
        <w:tc>
          <w:tcPr>
            <w:tcW w:w="580" w:type="dxa"/>
            <w:vAlign w:val="bottom"/>
            <w:gridSpan w:val="3"/>
            <w:vMerge w:val="continue"/>
          </w:tcPr>
          <w:p>
            <w:pPr>
              <w:spacing w:after="0"/>
              <w:rPr>
                <w:sz w:val="9"/>
                <w:szCs w:val="9"/>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9"/>
                <w:szCs w:val="9"/>
                <w:color w:val="auto"/>
              </w:rPr>
            </w:pPr>
          </w:p>
        </w:tc>
        <w:tc>
          <w:tcPr>
            <w:tcW w:w="6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9"/>
              </w:rPr>
              <w:t>Earnings</w:t>
            </w:r>
          </w:p>
        </w:tc>
        <w:tc>
          <w:tcPr>
            <w:tcW w:w="60" w:type="dxa"/>
            <w:vAlign w:val="bottom"/>
          </w:tcPr>
          <w:p>
            <w:pPr>
              <w:spacing w:after="0"/>
              <w:rPr>
                <w:sz w:val="9"/>
                <w:szCs w:val="9"/>
                <w:color w:val="auto"/>
              </w:rPr>
            </w:pPr>
          </w:p>
        </w:tc>
        <w:tc>
          <w:tcPr>
            <w:tcW w:w="76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8"/>
              </w:rPr>
              <w:t>Other</w:t>
            </w: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restart"/>
          </w:tcPr>
          <w:p>
            <w:pPr>
              <w:jc w:val="center"/>
              <w:ind w:right="80"/>
              <w:spacing w:after="0"/>
              <w:rPr>
                <w:sz w:val="20"/>
                <w:szCs w:val="20"/>
                <w:color w:val="auto"/>
              </w:rPr>
            </w:pPr>
            <w:r>
              <w:rPr>
                <w:rFonts w:ascii="Arial" w:cs="Arial" w:eastAsia="Arial" w:hAnsi="Arial"/>
                <w:sz w:val="11"/>
                <w:szCs w:val="11"/>
                <w:b w:val="1"/>
                <w:bCs w:val="1"/>
                <w:color w:val="auto"/>
                <w:w w:val="89"/>
              </w:rPr>
              <w:t>Preferred</w:t>
            </w:r>
          </w:p>
        </w:tc>
        <w:tc>
          <w:tcPr>
            <w:tcW w:w="60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88"/>
              </w:rPr>
              <w:t>Common</w:t>
            </w:r>
          </w:p>
        </w:tc>
        <w:tc>
          <w:tcPr>
            <w:tcW w:w="580" w:type="dxa"/>
            <w:vAlign w:val="bottom"/>
            <w:gridSpan w:val="3"/>
            <w:vMerge w:val="continue"/>
          </w:tcPr>
          <w:p>
            <w:pPr>
              <w:spacing w:after="0"/>
              <w:rPr>
                <w:sz w:val="9"/>
                <w:szCs w:val="9"/>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Capital</w:t>
            </w:r>
          </w:p>
        </w:tc>
        <w:tc>
          <w:tcPr>
            <w:tcW w:w="100" w:type="dxa"/>
            <w:vAlign w:val="bottom"/>
          </w:tcPr>
          <w:p>
            <w:pPr>
              <w:spacing w:after="0"/>
              <w:rPr>
                <w:sz w:val="9"/>
                <w:szCs w:val="9"/>
                <w:color w:val="auto"/>
              </w:rPr>
            </w:pPr>
          </w:p>
        </w:tc>
        <w:tc>
          <w:tcPr>
            <w:tcW w:w="6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89"/>
              </w:rPr>
              <w:t>Earnings</w:t>
            </w:r>
          </w:p>
        </w:tc>
        <w:tc>
          <w:tcPr>
            <w:tcW w:w="80" w:type="dxa"/>
            <w:vAlign w:val="bottom"/>
          </w:tcPr>
          <w:p>
            <w:pPr>
              <w:spacing w:after="0"/>
              <w:rPr>
                <w:sz w:val="9"/>
                <w:szCs w:val="9"/>
                <w:color w:val="auto"/>
              </w:rPr>
            </w:pPr>
          </w:p>
        </w:tc>
        <w:tc>
          <w:tcPr>
            <w:tcW w:w="7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Stock</w:t>
            </w:r>
          </w:p>
        </w:tc>
        <w:tc>
          <w:tcPr>
            <w:tcW w:w="680" w:type="dxa"/>
            <w:vAlign w:val="bottom"/>
            <w:gridSpan w:val="2"/>
            <w:vMerge w:val="continue"/>
          </w:tcPr>
          <w:p>
            <w:pPr>
              <w:spacing w:after="0"/>
              <w:rPr>
                <w:sz w:val="9"/>
                <w:szCs w:val="9"/>
                <w:color w:val="auto"/>
              </w:rPr>
            </w:pPr>
          </w:p>
        </w:tc>
        <w:tc>
          <w:tcPr>
            <w:tcW w:w="78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(Accumulated</w:t>
            </w:r>
          </w:p>
        </w:tc>
        <w:tc>
          <w:tcPr>
            <w:tcW w:w="820" w:type="dxa"/>
            <w:vAlign w:val="bottom"/>
            <w:gridSpan w:val="3"/>
          </w:tcPr>
          <w:p>
            <w:pPr>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6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Total</w:t>
            </w:r>
          </w:p>
        </w:tc>
        <w:tc>
          <w:tcPr>
            <w:tcW w:w="600" w:type="dxa"/>
            <w:vAlign w:val="bottom"/>
            <w:gridSpan w:val="3"/>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6"/>
              </w:rPr>
              <w:t>Stock</w:t>
            </w:r>
          </w:p>
        </w:tc>
        <w:tc>
          <w:tcPr>
            <w:tcW w:w="680" w:type="dxa"/>
            <w:vAlign w:val="bottom"/>
            <w:gridSpan w:val="2"/>
            <w:vMerge w:val="continue"/>
          </w:tcPr>
          <w:p>
            <w:pPr>
              <w:spacing w:after="0"/>
              <w:rPr>
                <w:sz w:val="9"/>
                <w:szCs w:val="9"/>
                <w:color w:val="auto"/>
              </w:rPr>
            </w:pPr>
          </w:p>
        </w:tc>
        <w:tc>
          <w:tcPr>
            <w:tcW w:w="76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84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w w:val="96"/>
              </w:rPr>
              <w:t>Comprehensive</w:t>
            </w:r>
          </w:p>
        </w:tc>
        <w:tc>
          <w:tcPr>
            <w:tcW w:w="6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i w:val="1"/>
                <w:iCs w:val="1"/>
                <w:color w:val="auto"/>
              </w:rPr>
              <w:t>share data)</w:t>
            </w: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00" w:type="dxa"/>
            <w:vAlign w:val="bottom"/>
          </w:tcPr>
          <w:p>
            <w:pPr>
              <w:spacing w:after="0"/>
              <w:rPr>
                <w:sz w:val="12"/>
                <w:szCs w:val="12"/>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Stock</w:t>
            </w:r>
          </w:p>
        </w:tc>
        <w:tc>
          <w:tcPr>
            <w:tcW w:w="5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Issuable</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Surplus</w:t>
            </w:r>
          </w:p>
        </w:tc>
        <w:tc>
          <w:tcPr>
            <w:tcW w:w="100" w:type="dxa"/>
            <w:vAlign w:val="bottom"/>
          </w:tcPr>
          <w:p>
            <w:pPr>
              <w:spacing w:after="0"/>
              <w:rPr>
                <w:sz w:val="12"/>
                <w:szCs w:val="12"/>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Income (Loss)</w:t>
            </w: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79"/>
              </w:rPr>
              <w:t>Stock</w:t>
            </w:r>
          </w:p>
        </w:tc>
        <w:tc>
          <w:tcPr>
            <w:tcW w:w="100" w:type="dxa"/>
            <w:vAlign w:val="bottom"/>
          </w:tcPr>
          <w:p>
            <w:pPr>
              <w:spacing w:after="0"/>
              <w:rPr>
                <w:sz w:val="12"/>
                <w:szCs w:val="12"/>
                <w:color w:val="auto"/>
              </w:rPr>
            </w:pPr>
          </w:p>
        </w:tc>
        <w:tc>
          <w:tcPr>
            <w:tcW w:w="5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Stock</w:t>
            </w:r>
          </w:p>
        </w:tc>
        <w:tc>
          <w:tcPr>
            <w:tcW w:w="5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6"/>
              </w:rPr>
              <w:t>Issuable</w:t>
            </w: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Surplus</w:t>
            </w:r>
          </w:p>
        </w:tc>
        <w:tc>
          <w:tcPr>
            <w:tcW w:w="10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Deficit)</w:t>
            </w:r>
          </w:p>
        </w:tc>
        <w:tc>
          <w:tcPr>
            <w:tcW w:w="8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8"/>
              </w:rPr>
              <w:t>Income (Loss)</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760" w:type="dxa"/>
            <w:vAlign w:val="bottom"/>
          </w:tcPr>
          <w:p>
            <w:pPr>
              <w:ind w:left="20"/>
              <w:spacing w:after="0"/>
              <w:rPr>
                <w:sz w:val="20"/>
                <w:szCs w:val="20"/>
                <w:color w:val="auto"/>
              </w:rPr>
            </w:pPr>
            <w:r>
              <w:rPr>
                <w:rFonts w:ascii="Arial" w:cs="Arial" w:eastAsia="Arial" w:hAnsi="Arial"/>
                <w:sz w:val="11"/>
                <w:szCs w:val="11"/>
                <w:b w:val="1"/>
                <w:bCs w:val="1"/>
                <w:color w:val="auto"/>
              </w:rPr>
              <w:t>2020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96,660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78,335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10,646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$ 1,480,464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64,990</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40,550</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$ 1,771,645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79,014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11,491</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$ 1,496,641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40,152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8,394</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$ 1,635,692</w:t>
            </w: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47,607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47,607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104,587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104,587</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635</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635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32,791</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32,791</w:t>
            </w: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Issuance of preferred stock (4,000</w:t>
            </w: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color w:val="auto"/>
              </w:rPr>
              <w:t>96,422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96,422</w:t>
            </w:r>
          </w:p>
        </w:tc>
        <w:tc>
          <w:tcPr>
            <w:tcW w:w="0" w:type="dxa"/>
            <w:vAlign w:val="bottom"/>
          </w:tcPr>
          <w:p>
            <w:pPr>
              <w:spacing w:after="0"/>
              <w:rPr>
                <w:sz w:val="1"/>
                <w:szCs w:val="1"/>
                <w:color w:val="auto"/>
              </w:rPr>
            </w:pPr>
          </w:p>
        </w:tc>
      </w:tr>
      <w:tr>
        <w:trPr>
          <w:trHeight w:val="13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shares), net</w:t>
            </w: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issued to dividend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reinvestment plan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w w:val="98"/>
              </w:rPr>
              <w:t>employee benefit plans (37,863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652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1,018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1,078</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59,455 shares, 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Common stock issued for acquisition</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color w:val="auto"/>
              </w:rPr>
              <w:t>8,131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155,458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163,589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8,131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155,458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163,589</w:t>
            </w:r>
          </w:p>
        </w:tc>
        <w:tc>
          <w:tcPr>
            <w:tcW w:w="0" w:type="dxa"/>
            <w:vAlign w:val="bottom"/>
          </w:tcPr>
          <w:p>
            <w:pPr>
              <w:spacing w:after="0"/>
              <w:rPr>
                <w:sz w:val="1"/>
                <w:szCs w:val="1"/>
                <w:color w:val="auto"/>
              </w:rPr>
            </w:pPr>
          </w:p>
        </w:tc>
      </w:tr>
      <w:tr>
        <w:trPr>
          <w:trHeight w:val="13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(8,130,633 shares)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Amortization of restricted stock unit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1,683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1,683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5,939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5,939</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awards</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5"/>
              </w:rPr>
              <w:t>Vesting of restricted stock unit awards,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net of shares surrendered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100"/>
              <w:spacing w:after="0" w:line="108" w:lineRule="exact"/>
              <w:rPr>
                <w:sz w:val="20"/>
                <w:szCs w:val="20"/>
                <w:color w:val="auto"/>
              </w:rPr>
            </w:pPr>
            <w:r>
              <w:rPr>
                <w:rFonts w:ascii="Arial" w:cs="Arial" w:eastAsia="Arial" w:hAnsi="Arial"/>
                <w:sz w:val="11"/>
                <w:szCs w:val="11"/>
                <w:color w:val="auto"/>
              </w:rPr>
              <w:t>to cover payroll taxes (89,095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151,347 shares issued,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100"/>
              <w:spacing w:after="0" w:line="108" w:lineRule="exact"/>
              <w:rPr>
                <w:sz w:val="20"/>
                <w:szCs w:val="20"/>
                <w:color w:val="auto"/>
              </w:rPr>
            </w:pPr>
            <w:r>
              <w:rPr>
                <w:rFonts w:ascii="Arial" w:cs="Arial" w:eastAsia="Arial" w:hAnsi="Arial"/>
                <w:sz w:val="11"/>
                <w:szCs w:val="11"/>
                <w:color w:val="auto"/>
                <w:w w:val="96"/>
              </w:rPr>
              <w:t>respectively, and 13,164 and 37,509</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shares deferred,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color w:val="auto"/>
              </w:rPr>
              <w:t>89</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332</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(1,064)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(643)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151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color w:val="auto"/>
              </w:rPr>
              <w:t>1,008</w:t>
            </w: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(2,481)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(1,322)</w:t>
            </w:r>
          </w:p>
        </w:tc>
        <w:tc>
          <w:tcPr>
            <w:tcW w:w="0" w:type="dxa"/>
            <w:vAlign w:val="bottom"/>
          </w:tcPr>
          <w:p>
            <w:pPr>
              <w:spacing w:after="0"/>
              <w:rPr>
                <w:sz w:val="1"/>
                <w:szCs w:val="1"/>
                <w:color w:val="auto"/>
              </w:rPr>
            </w:pPr>
          </w:p>
        </w:tc>
      </w:tr>
      <w:tr>
        <w:trPr>
          <w:trHeight w:val="136"/>
        </w:trPr>
        <w:tc>
          <w:tcPr>
            <w:tcW w:w="1840" w:type="dxa"/>
            <w:vAlign w:val="bottom"/>
            <w:gridSpan w:val="2"/>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7"/>
              </w:rPr>
              <w:t>Purchases of common stock (826,482</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(19,955)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(20,782)</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shares)</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Deferred compensation plan, net,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including dividend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ind w:right="6"/>
              <w:spacing w:after="0"/>
              <w:rPr>
                <w:sz w:val="20"/>
                <w:szCs w:val="20"/>
                <w:color w:val="auto"/>
              </w:rPr>
            </w:pPr>
            <w:r>
              <w:rPr>
                <w:rFonts w:ascii="Arial" w:cs="Arial" w:eastAsia="Arial" w:hAnsi="Arial"/>
                <w:sz w:val="11"/>
                <w:szCs w:val="11"/>
                <w:color w:val="auto"/>
              </w:rPr>
              <w:t>380</w:t>
            </w: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380</w:t>
            </w:r>
          </w:p>
        </w:tc>
        <w:tc>
          <w:tcPr>
            <w:tcW w:w="0" w:type="dxa"/>
            <w:vAlign w:val="bottom"/>
          </w:tcPr>
          <w:p>
            <w:pPr>
              <w:spacing w:after="0"/>
              <w:rPr>
                <w:sz w:val="1"/>
                <w:szCs w:val="1"/>
                <w:color w:val="auto"/>
              </w:rPr>
            </w:pPr>
          </w:p>
        </w:tc>
      </w:tr>
      <w:tr>
        <w:trPr>
          <w:trHeight w:val="13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equivalents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issued from deferred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compensation plan, net of</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w w:val="99"/>
              </w:rPr>
              <w:t>shares surrendered to cover payroll</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taxes (18,396 and 82,432</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(459)</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312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(2,247)</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847</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(1,318)</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shares, 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Preferred stock dividends</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(1,814)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(1,814)</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dividends ($0.18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$0.54 per share,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(15,845)</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(44,458)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(44,458)</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color w:val="auto"/>
                <w:w w:val="99"/>
              </w:rPr>
              <w:t>Adoption of new accounting standard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(3,529)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(3,529)</w:t>
            </w:r>
          </w:p>
        </w:tc>
        <w:tc>
          <w:tcPr>
            <w:tcW w:w="0" w:type="dxa"/>
            <w:vAlign w:val="bottom"/>
          </w:tcPr>
          <w:p>
            <w:pPr>
              <w:spacing w:after="0"/>
              <w:rPr>
                <w:sz w:val="1"/>
                <w:szCs w:val="1"/>
                <w:color w:val="auto"/>
              </w:rPr>
            </w:pPr>
          </w:p>
        </w:tc>
      </w:tr>
      <w:tr>
        <w:trPr>
          <w:trHeight w:val="22"/>
        </w:trPr>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2020</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96,422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86,611</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10,632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$ 1,637,467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94,938</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41,185</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$ 1,967,255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96,422</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86,611</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10,632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$ 1,637,467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94,938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41,185</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$ 1,967,255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7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Balance at beginning of period</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79,075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10,858</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$ 1,498,740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(29,116)</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6,777</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$ 1,566,334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79,234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4"/>
              </w:rPr>
              <w:t>10,744</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$ 1,499,584</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(90,419)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(41,589)</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9"/>
              </w:rPr>
              <w:t>$ 1,457,554</w:t>
            </w: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Net income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48,362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48,362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136,709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136,709</w:t>
            </w: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Other comprehensive income</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7,486</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7,486</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55,852</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55,852</w:t>
            </w: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Exercise of stock options (12,000</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185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3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issued to dividend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reinvestment plan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80"/>
              <w:spacing w:after="0" w:line="108" w:lineRule="exact"/>
              <w:rPr>
                <w:sz w:val="20"/>
                <w:szCs w:val="20"/>
                <w:color w:val="auto"/>
              </w:rPr>
            </w:pPr>
            <w:r>
              <w:rPr>
                <w:rFonts w:ascii="Arial" w:cs="Arial" w:eastAsia="Arial" w:hAnsi="Arial"/>
                <w:sz w:val="11"/>
                <w:szCs w:val="11"/>
                <w:color w:val="auto"/>
                <w:w w:val="99"/>
              </w:rPr>
              <w:t>employee benefit plans (34,190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76,613 shares,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879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913</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1,928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2,004</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Amortization of restricted stock unit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1,678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1,678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7,680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7,680</w:t>
            </w:r>
          </w:p>
        </w:tc>
        <w:tc>
          <w:tcPr>
            <w:tcW w:w="0" w:type="dxa"/>
            <w:vAlign w:val="bottom"/>
          </w:tcPr>
          <w:p>
            <w:pPr>
              <w:spacing w:after="0"/>
              <w:rPr>
                <w:sz w:val="1"/>
                <w:szCs w:val="1"/>
                <w:color w:val="auto"/>
              </w:rPr>
            </w:pPr>
          </w:p>
        </w:tc>
      </w:tr>
      <w:tr>
        <w:trPr>
          <w:trHeight w:val="136"/>
        </w:trPr>
        <w:tc>
          <w:tcPr>
            <w:tcW w:w="1840" w:type="dxa"/>
            <w:vAlign w:val="bottom"/>
            <w:gridSpan w:val="2"/>
          </w:tcPr>
          <w:p>
            <w:pPr>
              <w:ind w:left="20"/>
              <w:spacing w:after="0"/>
              <w:rPr>
                <w:sz w:val="20"/>
                <w:szCs w:val="20"/>
                <w:color w:val="auto"/>
              </w:rPr>
            </w:pPr>
            <w:r>
              <w:rPr>
                <w:rFonts w:ascii="Arial" w:cs="Arial" w:eastAsia="Arial" w:hAnsi="Arial"/>
                <w:sz w:val="11"/>
                <w:szCs w:val="11"/>
                <w:color w:val="auto"/>
              </w:rPr>
              <w:t>awards</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w w:val="95"/>
              </w:rPr>
              <w:t>Vesting of restricted stock unit awards,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net of shares surrendered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rPr>
              <w:t>to cover payroll taxes (60,199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81,178 shares issued,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1"/>
                <w:szCs w:val="11"/>
                <w:color w:val="auto"/>
                <w:w w:val="96"/>
              </w:rPr>
              <w:t>respectively, and 14,919 and 51,580</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shares deferred,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356</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(1,046)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1,365</w:t>
            </w: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(2,468)</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(1,022)</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w w:val="97"/>
              </w:rPr>
              <w:t>Purchases of common stock (195,443</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and 500,495 shares,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restart"/>
          </w:tcPr>
          <w:p>
            <w:pPr>
              <w:jc w:val="right"/>
              <w:spacing w:after="0"/>
              <w:rPr>
                <w:sz w:val="20"/>
                <w:szCs w:val="20"/>
                <w:color w:val="auto"/>
              </w:rPr>
            </w:pPr>
            <w:r>
              <w:rPr>
                <w:rFonts w:ascii="Arial" w:cs="Arial" w:eastAsia="Arial" w:hAnsi="Arial"/>
                <w:sz w:val="11"/>
                <w:szCs w:val="11"/>
                <w:color w:val="auto"/>
              </w:rPr>
              <w:t>(195)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(4,985)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(5,180)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(500)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(12,520)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(13,020)</w:t>
            </w:r>
          </w:p>
        </w:tc>
        <w:tc>
          <w:tcPr>
            <w:tcW w:w="0" w:type="dxa"/>
            <w:vAlign w:val="bottom"/>
          </w:tcPr>
          <w:p>
            <w:pPr>
              <w:spacing w:after="0"/>
              <w:rPr>
                <w:sz w:val="1"/>
                <w:szCs w:val="1"/>
                <w:color w:val="auto"/>
              </w:rPr>
            </w:pPr>
          </w:p>
        </w:tc>
      </w:tr>
      <w:tr>
        <w:trPr>
          <w:trHeight w:val="136"/>
        </w:trPr>
        <w:tc>
          <w:tcPr>
            <w:tcW w:w="1840" w:type="dxa"/>
            <w:vAlign w:val="bottom"/>
            <w:gridSpan w:val="2"/>
          </w:tcPr>
          <w:p>
            <w:pPr>
              <w:ind w:left="80"/>
              <w:spacing w:after="0"/>
              <w:rPr>
                <w:sz w:val="20"/>
                <w:szCs w:val="20"/>
                <w:color w:val="auto"/>
              </w:rPr>
            </w:pPr>
            <w:r>
              <w:rPr>
                <w:rFonts w:ascii="Arial" w:cs="Arial" w:eastAsia="Arial" w:hAnsi="Arial"/>
                <w:sz w:val="11"/>
                <w:szCs w:val="11"/>
                <w:color w:val="auto"/>
              </w:rPr>
              <w:t>respectively)</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Deferred compensation plan, net,</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including dividend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114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406</w:t>
            </w: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406</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equivalents</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184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Common stock issued from deferred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compensation plan, net of</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80"/>
              <w:spacing w:after="0" w:line="108" w:lineRule="exact"/>
              <w:rPr>
                <w:sz w:val="20"/>
                <w:szCs w:val="20"/>
                <w:color w:val="auto"/>
              </w:rPr>
            </w:pPr>
            <w:r>
              <w:rPr>
                <w:rFonts w:ascii="Arial" w:cs="Arial" w:eastAsia="Arial" w:hAnsi="Arial"/>
                <w:sz w:val="11"/>
                <w:szCs w:val="11"/>
                <w:color w:val="auto"/>
              </w:rPr>
              <w:t>shares surrendered to cover payroll</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taxes (34 and</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restart"/>
          </w:tcPr>
          <w:p>
            <w:pPr>
              <w:jc w:val="right"/>
              <w:spacing w:after="0"/>
              <w:rPr>
                <w:sz w:val="20"/>
                <w:szCs w:val="20"/>
                <w:color w:val="auto"/>
              </w:rPr>
            </w:pPr>
            <w:r>
              <w:rPr>
                <w:rFonts w:ascii="Arial" w:cs="Arial" w:eastAsia="Arial" w:hAnsi="Arial"/>
                <w:sz w:val="11"/>
                <w:szCs w:val="11"/>
                <w:color w:val="auto"/>
              </w:rPr>
              <w:t>(1,188)</w:t>
            </w:r>
          </w:p>
        </w:tc>
        <w:tc>
          <w:tcPr>
            <w:tcW w:w="80" w:type="dxa"/>
            <w:vAlign w:val="bottom"/>
          </w:tcPr>
          <w:p>
            <w:pPr>
              <w:spacing w:after="0"/>
              <w:rPr>
                <w:sz w:val="9"/>
                <w:szCs w:val="9"/>
                <w:color w:val="auto"/>
              </w:rPr>
            </w:pPr>
          </w:p>
        </w:tc>
        <w:tc>
          <w:tcPr>
            <w:tcW w:w="600" w:type="dxa"/>
            <w:vAlign w:val="bottom"/>
            <w:vMerge w:val="restart"/>
          </w:tcPr>
          <w:p>
            <w:pPr>
              <w:jc w:val="right"/>
              <w:ind w:right="6"/>
              <w:spacing w:after="0"/>
              <w:rPr>
                <w:sz w:val="20"/>
                <w:szCs w:val="20"/>
                <w:color w:val="auto"/>
              </w:rPr>
            </w:pPr>
            <w:r>
              <w:rPr>
                <w:rFonts w:ascii="Arial" w:cs="Arial" w:eastAsia="Arial" w:hAnsi="Arial"/>
                <w:sz w:val="11"/>
                <w:szCs w:val="11"/>
                <w:color w:val="auto"/>
              </w:rPr>
              <w:t>878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36"/>
        </w:trPr>
        <w:tc>
          <w:tcPr>
            <w:tcW w:w="1840" w:type="dxa"/>
            <w:vAlign w:val="bottom"/>
            <w:gridSpan w:val="2"/>
          </w:tcPr>
          <w:p>
            <w:pPr>
              <w:ind w:left="80"/>
              <w:spacing w:after="0"/>
              <w:rPr>
                <w:sz w:val="20"/>
                <w:szCs w:val="20"/>
                <w:color w:val="auto"/>
              </w:rPr>
            </w:pPr>
            <w:r>
              <w:rPr>
                <w:rFonts w:ascii="Arial" w:cs="Arial" w:eastAsia="Arial" w:hAnsi="Arial"/>
                <w:sz w:val="11"/>
                <w:szCs w:val="11"/>
                <w:color w:val="auto"/>
              </w:rPr>
              <w:t>70,826 shares, respectively)</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84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Common stock dividends ($0.17 and</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gridSpan w:val="2"/>
            <w:shd w:val="clear" w:color="auto" w:fill="CCEEFF"/>
          </w:tcPr>
          <w:p>
            <w:pPr>
              <w:ind w:left="20"/>
              <w:spacing w:after="0" w:line="108" w:lineRule="exact"/>
              <w:rPr>
                <w:sz w:val="20"/>
                <w:szCs w:val="20"/>
                <w:color w:val="auto"/>
              </w:rPr>
            </w:pPr>
            <w:r>
              <w:rPr>
                <w:rFonts w:ascii="Arial" w:cs="Arial" w:eastAsia="Arial" w:hAnsi="Arial"/>
                <w:sz w:val="11"/>
                <w:szCs w:val="11"/>
                <w:color w:val="auto"/>
              </w:rPr>
              <w:t>$0.50 per share,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(13,652)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(13,652)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(40,147)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(40,147)</w:t>
            </w:r>
          </w:p>
        </w:tc>
        <w:tc>
          <w:tcPr>
            <w:tcW w:w="0" w:type="dxa"/>
            <w:vAlign w:val="bottom"/>
          </w:tcPr>
          <w:p>
            <w:pPr>
              <w:spacing w:after="0"/>
              <w:rPr>
                <w:sz w:val="1"/>
                <w:szCs w:val="1"/>
                <w:color w:val="auto"/>
              </w:rPr>
            </w:pPr>
          </w:p>
        </w:tc>
      </w:tr>
      <w:tr>
        <w:trPr>
          <w:trHeight w:val="138"/>
        </w:trPr>
        <w:tc>
          <w:tcPr>
            <w:tcW w:w="18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1"/>
                <w:szCs w:val="11"/>
                <w:color w:val="auto"/>
              </w:rPr>
              <w:t>respectively)</w:t>
            </w: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840" w:type="dxa"/>
            <w:vAlign w:val="bottom"/>
            <w:gridSpan w:val="2"/>
          </w:tcPr>
          <w:p>
            <w:pPr>
              <w:ind w:left="20"/>
              <w:spacing w:after="0"/>
              <w:rPr>
                <w:sz w:val="20"/>
                <w:szCs w:val="20"/>
                <w:color w:val="auto"/>
              </w:rPr>
            </w:pPr>
            <w:r>
              <w:rPr>
                <w:rFonts w:ascii="Arial" w:cs="Arial" w:eastAsia="Arial" w:hAnsi="Arial"/>
                <w:sz w:val="11"/>
                <w:szCs w:val="11"/>
                <w:color w:val="auto"/>
                <w:w w:val="99"/>
              </w:rPr>
              <w:t>Adoption of new accounting standard</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(549)</w:t>
            </w:r>
          </w:p>
        </w:tc>
        <w:tc>
          <w:tcPr>
            <w:tcW w:w="0" w:type="dxa"/>
            <w:vAlign w:val="bottom"/>
          </w:tcPr>
          <w:p>
            <w:pPr>
              <w:spacing w:after="0"/>
              <w:rPr>
                <w:sz w:val="1"/>
                <w:szCs w:val="1"/>
                <w:color w:val="auto"/>
              </w:rPr>
            </w:pPr>
          </w:p>
        </w:tc>
      </w:tr>
      <w:tr>
        <w:trPr>
          <w:trHeight w:val="22"/>
        </w:trPr>
        <w:tc>
          <w:tcPr>
            <w:tcW w:w="17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2019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78,974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11,327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$ 1,495,267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5,594</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$ 1,605,425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78,974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4"/>
              </w:rPr>
              <w:t>11,327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$ 1,495,267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1"/>
                <w:szCs w:val="11"/>
                <w:color w:val="auto"/>
                <w:w w:val="97"/>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5,594</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14,263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89"/>
              </w:rPr>
              <w:t>$ 1,605,425</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 (unaudited).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440" w:type="dxa"/>
            <w:vAlign w:val="bottom"/>
            <w:tcBorders>
              <w:top w:val="single" w:sz="8" w:color="auto"/>
              <w:bottom w:val="single" w:sz="8" w:color="auto"/>
            </w:tcBorders>
            <w:gridSpan w:val="4"/>
          </w:tcPr>
          <w:p>
            <w:pPr>
              <w:jc w:val="right"/>
              <w:ind w:right="253"/>
              <w:spacing w:after="0"/>
              <w:rPr>
                <w:sz w:val="20"/>
                <w:szCs w:val="20"/>
                <w:color w:val="auto"/>
              </w:rPr>
            </w:pPr>
            <w:r>
              <w:rPr>
                <w:rFonts w:ascii="Arial" w:cs="Arial" w:eastAsia="Arial" w:hAnsi="Arial"/>
                <w:sz w:val="13"/>
                <w:szCs w:val="13"/>
                <w:b w:val="1"/>
                <w:bCs w:val="1"/>
                <w:color w:val="auto"/>
                <w:w w:val="98"/>
              </w:rPr>
              <w:t>Nine Months Ended September 30,</w:t>
            </w:r>
          </w:p>
        </w:tc>
      </w:tr>
      <w:tr>
        <w:trPr>
          <w:trHeight w:val="183"/>
        </w:trPr>
        <w:tc>
          <w:tcPr>
            <w:tcW w:w="8480" w:type="dxa"/>
            <w:vAlign w:val="bottom"/>
            <w:tcBorders>
              <w:bottom w:val="single" w:sz="8" w:color="auto"/>
            </w:tcBorders>
          </w:tcPr>
          <w:p>
            <w:pPr>
              <w:ind w:left="20"/>
              <w:spacing w:after="0"/>
              <w:rPr>
                <w:sz w:val="20"/>
                <w:szCs w:val="20"/>
                <w:color w:val="auto"/>
              </w:rPr>
            </w:pPr>
            <w:r>
              <w:rPr>
                <w:rFonts w:ascii="Arial" w:cs="Arial" w:eastAsia="Arial" w:hAnsi="Arial"/>
                <w:sz w:val="13"/>
                <w:szCs w:val="13"/>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2019</w:t>
            </w:r>
          </w:p>
        </w:tc>
      </w:tr>
      <w:tr>
        <w:trPr>
          <w:trHeight w:val="18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104,587</w:t>
            </w:r>
          </w:p>
        </w:tc>
        <w:tc>
          <w:tcPr>
            <w:tcW w:w="10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136,709</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Depreciation, amortization and accretion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18,009</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Provision for credit losses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77,527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9,650</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Stock based compensation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7,680</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Deferred income tax expense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12,149</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Securities (gains) losses, net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(746)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118</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Gains from sales of other loans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(4,783)</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Changes in assets and liabilities: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Other assets and accrued interest receivable</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(44,570)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(47,543)</w:t>
            </w:r>
          </w:p>
        </w:tc>
      </w:tr>
      <w:tr>
        <w:trPr>
          <w:trHeight w:val="182"/>
        </w:trPr>
        <w:tc>
          <w:tcPr>
            <w:tcW w:w="8580" w:type="dxa"/>
            <w:vAlign w:val="bottom"/>
            <w:gridSpan w:val="2"/>
          </w:tcPr>
          <w:p>
            <w:pPr>
              <w:ind w:left="340"/>
              <w:spacing w:after="0"/>
              <w:rPr>
                <w:sz w:val="20"/>
                <w:szCs w:val="20"/>
                <w:color w:val="auto"/>
              </w:rPr>
            </w:pPr>
            <w:r>
              <w:rPr>
                <w:rFonts w:ascii="Arial" w:cs="Arial" w:eastAsia="Arial" w:hAnsi="Arial"/>
                <w:sz w:val="13"/>
                <w:szCs w:val="13"/>
                <w:color w:val="auto"/>
              </w:rPr>
              <w:t>Accrued expenses and other liabilities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(20,869)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(188)</w:t>
            </w:r>
          </w:p>
        </w:tc>
      </w:tr>
      <w:tr>
        <w:trPr>
          <w:trHeight w:val="196"/>
        </w:trPr>
        <w:tc>
          <w:tcPr>
            <w:tcW w:w="85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Loans held for sale</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(69,875)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(35,690)</w:t>
            </w:r>
          </w:p>
        </w:tc>
      </w:tr>
      <w:tr>
        <w:trPr>
          <w:trHeight w:val="176"/>
        </w:trPr>
        <w:tc>
          <w:tcPr>
            <w:tcW w:w="85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53,625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96,111</w:t>
            </w:r>
          </w:p>
        </w:tc>
      </w:tr>
      <w:tr>
        <w:trPr>
          <w:trHeight w:val="148"/>
        </w:trPr>
        <w:tc>
          <w:tcPr>
            <w:tcW w:w="8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82"/>
        </w:trPr>
        <w:tc>
          <w:tcPr>
            <w:tcW w:w="858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Debt securities held-to-maturity:</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Proceeds from maturities and calls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45,171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39,787</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Purchases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(8,499)</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Debt securities available-for-sale and equity securities: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Proceeds from sales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40,365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225,883</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Proceeds from maturities and calls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604,180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238,514</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Purchases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(668,484)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(45,629)</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Net increase in loans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(1,523,516)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(296,076)</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sales of premises and equipment</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5,870</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Purchases of premises and equipment</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(5,991)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(16,532)</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cash received in (paid for) acquisition</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194,606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(19,545)</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Proceeds from sale of other real estate</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2,344</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Other investing activities, net</w:t>
            </w: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(8,185)</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85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b w:val="1"/>
                <w:bCs w:val="1"/>
                <w:color w:val="auto"/>
              </w:rPr>
              <w:t>Net cash (used in) provided by investing activities</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(1,426,369)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126,117</w:t>
            </w:r>
          </w:p>
        </w:tc>
      </w:tr>
      <w:tr>
        <w:trPr>
          <w:trHeight w:val="149"/>
        </w:trPr>
        <w:tc>
          <w:tcPr>
            <w:tcW w:w="8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82"/>
        </w:trPr>
        <w:tc>
          <w:tcPr>
            <w:tcW w:w="8580" w:type="dxa"/>
            <w:vAlign w:val="bottom"/>
            <w:gridSpan w:val="2"/>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Net increase in deposits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1,904,549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10,538</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Repayment of long-term debt</w:t>
            </w:r>
          </w:p>
        </w:tc>
        <w:tc>
          <w:tcPr>
            <w:tcW w:w="20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(27,500)</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FHLB advances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1,625,000</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Repayment of FHLB advances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(134,121)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(1,745,000)</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issuance of senior debentures, net of issuance costs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98,552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Proceeds from issuance of common stock for dividend reinvestment and employee benefit plans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1,078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2,004</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exercise of stock options</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Cash paid for shares withheld to cover payroll taxes upon vesting of restricted stock units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(2,640)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(1,261)</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Proceeds from issuance of Series I preferred stock, net of issuance costs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96,422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Repurchase of common stock</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(20,782)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(13,020)</w:t>
            </w:r>
          </w:p>
        </w:tc>
      </w:tr>
      <w:tr>
        <w:trPr>
          <w:trHeight w:val="196"/>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dividends on common stock</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(39,392)</w:t>
            </w:r>
          </w:p>
        </w:tc>
      </w:tr>
      <w:tr>
        <w:trPr>
          <w:trHeight w:val="183"/>
        </w:trPr>
        <w:tc>
          <w:tcPr>
            <w:tcW w:w="8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Cash dividends on preferred stock</w:t>
            </w: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(1,814)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(used in) financing activities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1,903,177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(188,434)</w:t>
            </w:r>
          </w:p>
        </w:tc>
      </w:tr>
      <w:tr>
        <w:trPr>
          <w:trHeight w:val="162"/>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Net change in cash and cash equivalents, including restricted cash</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530,433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33,794</w:t>
            </w:r>
          </w:p>
        </w:tc>
      </w:tr>
      <w:tr>
        <w:trPr>
          <w:trHeight w:val="162"/>
        </w:trPr>
        <w:tc>
          <w:tcPr>
            <w:tcW w:w="8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85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Cash and cash equivalents, including restricted cash, at beginning of period</w:t>
            </w: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515,206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327,265</w:t>
            </w:r>
          </w:p>
        </w:tc>
      </w:tr>
      <w:tr>
        <w:trPr>
          <w:trHeight w:val="148"/>
        </w:trPr>
        <w:tc>
          <w:tcPr>
            <w:tcW w:w="8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4"/>
        </w:trPr>
        <w:tc>
          <w:tcPr>
            <w:tcW w:w="8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Cash and cash equivalents, including restricted cash, at end of period</w:t>
            </w: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1,045,639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361,059</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89"/>
        </w:trPr>
        <w:tc>
          <w:tcPr>
            <w:tcW w:w="858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2"/>
        </w:trPr>
        <w:tc>
          <w:tcPr>
            <w:tcW w:w="8580" w:type="dxa"/>
            <w:vAlign w:val="bottom"/>
            <w:gridSpan w:val="2"/>
          </w:tcPr>
          <w:p>
            <w:pPr>
              <w:ind w:left="120"/>
              <w:spacing w:after="0"/>
              <w:rPr>
                <w:sz w:val="20"/>
                <w:szCs w:val="20"/>
                <w:color w:val="auto"/>
              </w:rPr>
            </w:pPr>
            <w:r>
              <w:rPr>
                <w:rFonts w:ascii="Arial" w:cs="Arial" w:eastAsia="Arial" w:hAnsi="Arial"/>
                <w:sz w:val="13"/>
                <w:szCs w:val="13"/>
                <w:color w:val="auto"/>
              </w:rPr>
              <w:t>Significant non-cash investing and financing transactions: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Unsettled government guaranteed loan sales</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6,850</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Transfers of loans to foreclosed properties</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853</w:t>
            </w:r>
          </w:p>
        </w:tc>
      </w:tr>
      <w:tr>
        <w:trPr>
          <w:trHeight w:val="196"/>
        </w:trPr>
        <w:tc>
          <w:tcPr>
            <w:tcW w:w="85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Unsettled securities purchases</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580" w:type="dxa"/>
            <w:vAlign w:val="bottom"/>
            <w:gridSpan w:val="2"/>
          </w:tcPr>
          <w:p>
            <w:pPr>
              <w:ind w:left="220"/>
              <w:spacing w:after="0"/>
              <w:rPr>
                <w:sz w:val="20"/>
                <w:szCs w:val="20"/>
                <w:color w:val="auto"/>
              </w:rPr>
            </w:pPr>
            <w:r>
              <w:rPr>
                <w:rFonts w:ascii="Arial" w:cs="Arial" w:eastAsia="Arial" w:hAnsi="Arial"/>
                <w:sz w:val="13"/>
                <w:szCs w:val="13"/>
                <w:color w:val="auto"/>
              </w:rPr>
              <w:t>Acquisitions:</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6"/>
        </w:trPr>
        <w:tc>
          <w:tcPr>
            <w:tcW w:w="85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Assets acquired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2,174,723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264,937</w:t>
            </w:r>
          </w:p>
        </w:tc>
      </w:tr>
      <w:tr>
        <w:trPr>
          <w:trHeight w:val="182"/>
        </w:trPr>
        <w:tc>
          <w:tcPr>
            <w:tcW w:w="8580" w:type="dxa"/>
            <w:vAlign w:val="bottom"/>
            <w:gridSpan w:val="2"/>
          </w:tcPr>
          <w:p>
            <w:pPr>
              <w:ind w:left="340"/>
              <w:spacing w:after="0"/>
              <w:rPr>
                <w:sz w:val="20"/>
                <w:szCs w:val="20"/>
                <w:color w:val="auto"/>
              </w:rPr>
            </w:pPr>
            <w:r>
              <w:rPr>
                <w:rFonts w:ascii="Arial" w:cs="Arial" w:eastAsia="Arial" w:hAnsi="Arial"/>
                <w:sz w:val="13"/>
                <w:szCs w:val="13"/>
                <w:color w:val="auto"/>
              </w:rPr>
              <w:t>Liabilities assumed</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1,987,026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212,844</w:t>
            </w:r>
          </w:p>
        </w:tc>
      </w:tr>
      <w:tr>
        <w:trPr>
          <w:trHeight w:val="196"/>
        </w:trPr>
        <w:tc>
          <w:tcPr>
            <w:tcW w:w="85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Net assets acquired</w:t>
            </w: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187,697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52,093</w:t>
            </w:r>
          </w:p>
        </w:tc>
      </w:tr>
      <w:tr>
        <w:trPr>
          <w:trHeight w:val="175"/>
        </w:trPr>
        <w:tc>
          <w:tcPr>
            <w:tcW w:w="8580" w:type="dxa"/>
            <w:vAlign w:val="bottom"/>
            <w:gridSpan w:val="2"/>
          </w:tcPr>
          <w:p>
            <w:pPr>
              <w:ind w:left="340"/>
              <w:spacing w:after="0"/>
              <w:rPr>
                <w:sz w:val="20"/>
                <w:szCs w:val="20"/>
                <w:color w:val="auto"/>
              </w:rPr>
            </w:pPr>
            <w:r>
              <w:rPr>
                <w:rFonts w:ascii="Arial" w:cs="Arial" w:eastAsia="Arial" w:hAnsi="Arial"/>
                <w:sz w:val="13"/>
                <w:szCs w:val="13"/>
                <w:color w:val="auto"/>
              </w:rPr>
              <w:t>Common stock issued in acquisition</w:t>
            </w: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163,589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32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220"/>
          </w:cols>
          <w:pgMar w:left="320" w:top="972" w:right="35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72"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accounting and financial reporting policies of United Community Banks, Inc. and its subsidiaries, including United Community Bank (the “Bank”), (collectively referred to herein as “United”) conform to accounting principles generally accepted in the United States (“GAAP”) and reporting guidelines of banking regulatory authorities. The accompanying interim consolidated financial statements have not been audited. All material intercompany balances and transactions have been eliminated. In addition to those items mentioned below, a more detailed description of United’s accounting policies is included in its Annual Report on Form 10-K for the year ended December 31, 2019 (the “2019 10-K”).</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2019 10-K. Certain amounts reported in prior periods' consolidated financial statements have been reclassified to conform to the current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Debt securities are classified as held-to-maturity and carried at amortized cost when management has the positive intent and ability to hold them to maturity. Debt securities are classified as available-for-sale when they might be sold before maturity. Securities available-for-sale are carried at fair value, with unrealized holding gains and losses reported in other comprehensive income, net of tax.</w:t>
      </w:r>
    </w:p>
    <w:p>
      <w:pPr>
        <w:spacing w:after="0" w:line="2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income includes amortization of purchase premiums or discounts. Premiums and discounts on securities are generally amortized on the level-yield method without anticipating prepayments, except for mortgage-backed securities where prepayments are anticipated. Premiums on callable debt securities are amortized to their earliest call date. Gains and losses on sales are recorded on the trade date and determined using the specific identification method.</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sheets.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debt security is placed on nonaccrual status at the time any principal or interest payments become 90 days delinquent. Interest accrued but not received for a security placed on nonaccrual is reversed against interest income.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Allowance for Credit Losses (“ACL”) - Held-to-Maturity Securities: </w:t>
      </w:r>
      <w:r>
        <w:rPr>
          <w:rFonts w:ascii="Arial" w:cs="Arial" w:eastAsia="Arial" w:hAnsi="Arial"/>
          <w:sz w:val="18"/>
          <w:szCs w:val="18"/>
          <w:color w:val="auto"/>
        </w:rPr>
        <w:t>Management measures expected credit losses on held-to-maturity debt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on a collective basis by major security type. Accrued interest receivable on held-to-maturity debt securities totaled $1.52 million at September 30, 2020 and was excluded from the estimate of credit losses.</w:t>
      </w:r>
    </w:p>
    <w:p>
      <w:pPr>
        <w:spacing w:after="0" w:line="20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estimate of expected credit losses considers historical credit loss information that is adjusted for current conditions and reasonable and supportable forecasts. Management classifies the held-to-maturity portfolio into the following major security types: State and political subdivisions, Residential mortgage-backed, agency and Commercial mortgage-backed, agency.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residential and commercial mortgage-backed securities held by United are issued by U.S. government agencies. These securities are either explicitly or implicitly guaranteed by the U.S. government, are highly rated by major rating agencies and have a long history of no credit losses. The state and political subdivision securities are highly rated by major rating agencies. As a result, no ACL was recorded on the held-to-maturity portfolio at September 30, 2020.</w:t>
      </w:r>
    </w:p>
    <w:p>
      <w:pPr>
        <w:spacing w:after="0" w:line="21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ACL - Available-For-Sale Securities: </w:t>
      </w:r>
      <w:r>
        <w:rPr>
          <w:rFonts w:ascii="Arial" w:cs="Arial" w:eastAsia="Arial" w:hAnsi="Arial"/>
          <w:sz w:val="16"/>
          <w:szCs w:val="16"/>
          <w:color w:val="auto"/>
        </w:rPr>
        <w:t>For available-for-sale debt securities in an unrealized loss position, United first assesses whether it intends to sell,</w:t>
      </w:r>
      <w:r>
        <w:rPr>
          <w:rFonts w:ascii="Arial" w:cs="Arial" w:eastAsia="Arial" w:hAnsi="Arial"/>
          <w:sz w:val="16"/>
          <w:szCs w:val="16"/>
          <w:b w:val="1"/>
          <w:bCs w:val="1"/>
          <w:color w:val="auto"/>
        </w:rPr>
        <w:t xml:space="preserve"> </w:t>
      </w:r>
      <w:r>
        <w:rPr>
          <w:rFonts w:ascii="Arial" w:cs="Arial" w:eastAsia="Arial" w:hAnsi="Arial"/>
          <w:sz w:val="16"/>
          <w:szCs w:val="16"/>
          <w:color w:val="auto"/>
        </w:rPr>
        <w:t>or whether it is more likely than not that it will be required to sell the security before recovery of its amortized cost basis. If either of the criteria regarding intent or requirement to sell is met, the security's amortized cost basis is written down to fair value through income. For debt securities available-for-sale that do not meet the aforementioned criteria, United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value of cash flows expected to be collected is less than the amortized cost basis, a credit loss exists and an ACL is recorded for the credit loss, limited by the amount that the fair value is less than the amortized cost basis. Any amount of unrealized loss that has not been recorded through an ACL is recognized in other comprehensive income.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ACL are recorded as provision for (or reversal of) credit loss expense. Losses are charged against the ACL when management believes the uncollectability of an available-for-sale security is confirmed or when either of the criteria regarding intent or requirement to sell is met. At September 30, 2020, there was no ACL related to the available-for-sale portfolio.</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interest receivable on available-for-sale debt securities totaled $8.93 million at September 30, 2020 and was excluded from the estimate of credit losses.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Loans and Leases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amortized cost. Amortized cost is the principal balance outstanding, net of purchase premiums and discounts and deferred fees and costs. Accrued interest receivable related to loans totaled $36.5 million at September 30, 2020 and was reported in accrued interest receivable on the consolidated balance sheets. Interest income is accrued on the unpaid principal balance. Loan origination fees, net of certain direct origination costs, are deferred and recognized in interest income using methods that approximate a level yield without anticipating prepayments.</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accrual of interest is generally discontinued when a loan becomes 90 days past due or when management believes, after considering economic and business conditions and collection efforts, that the principal or interest will not be collectable in the normal course of business. A loan may continue to accrue interest after 90 days if it is well collateralized and in the process of collection. Past due status is based on contractual terms of the loan. Loans where United has granted payment deferrals for borrowers experiencing temporary cash flow shortages as a result of the COVID-19 pandemic are not considered past due.</w:t>
      </w:r>
    </w:p>
    <w:p>
      <w:pPr>
        <w:spacing w:after="0" w:line="1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interest accrued but not received for loans placed on nonaccrual is reversed against interest income. Interest received on such loans is accounted for using the cost-recovery method, until qualifying for return to accrual. Under the cost-recovery method, interest income is not recognized until the loan balance is reduced to zero. Loans are returned to accrual status when all the principal and interest amounts contractually due are brought current, there is a sustained period of repayment performance and future payments are reasonably assured.</w:t>
      </w:r>
    </w:p>
    <w:p>
      <w:pPr>
        <w:spacing w:after="0" w:line="1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Equipment Financing Lease Receivables: </w:t>
      </w:r>
      <w:r>
        <w:rPr>
          <w:rFonts w:ascii="Arial" w:cs="Arial" w:eastAsia="Arial" w:hAnsi="Arial"/>
          <w:sz w:val="17"/>
          <w:szCs w:val="17"/>
          <w:color w:val="auto"/>
        </w:rPr>
        <w:t>Equipment financing lease receivables, which are classified as sales-type or direct financing leases, are</w:t>
      </w:r>
      <w:r>
        <w:rPr>
          <w:rFonts w:ascii="Arial" w:cs="Arial" w:eastAsia="Arial" w:hAnsi="Arial"/>
          <w:sz w:val="17"/>
          <w:szCs w:val="17"/>
          <w:b w:val="1"/>
          <w:bCs w:val="1"/>
          <w:color w:val="auto"/>
        </w:rPr>
        <w:t xml:space="preserve"> </w:t>
      </w:r>
      <w:r>
        <w:rPr>
          <w:rFonts w:ascii="Arial" w:cs="Arial" w:eastAsia="Arial" w:hAnsi="Arial"/>
          <w:sz w:val="17"/>
          <w:szCs w:val="17"/>
          <w:color w:val="auto"/>
        </w:rPr>
        <w:t>recorded as the sum of the future minimum lease payments, initial deferred costs and estimated or contractual residual values less unearned income and security deposits. The determination of residual value is derived from a variety of sources including equipment valuation services, appraisals, and publicly available market data on recent sales transactions on similar equipment. The length of time until contract termination, the cyclical nature of equipment values and the limited marketplace for re-sale of certain leased assets are important variables considered in making this determination. Interest income, which is included in loan interest revenue in the consolidated statements of income, is recognized as earned using the effective interest method. Direct fees and costs associated with the origination of leases are deferred and included as a component of equipment financing receivables. Net deferred fees or costs are recognized as an adjustment to interest income over the contractual life of the lease using the effective interest method. These lease agreements may include options to renew and for the lessee to purchase the leased equipment at the end of the lease term. United excludes sales taxes from consideration in these lease contracts.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Purchased Credit Deteriorated (“PCD”) Loans: </w:t>
      </w:r>
      <w:r>
        <w:rPr>
          <w:rFonts w:ascii="Arial" w:cs="Arial" w:eastAsia="Arial" w:hAnsi="Arial"/>
          <w:sz w:val="18"/>
          <w:szCs w:val="18"/>
          <w:color w:val="auto"/>
        </w:rPr>
        <w:t>Upon adoption of Accounting Standards Codification (“ASC”) Topic 326, Financial Instruments -</w:t>
      </w:r>
      <w:r>
        <w:rPr>
          <w:rFonts w:ascii="Arial" w:cs="Arial" w:eastAsia="Arial" w:hAnsi="Arial"/>
          <w:sz w:val="18"/>
          <w:szCs w:val="18"/>
          <w:b w:val="1"/>
          <w:bCs w:val="1"/>
          <w:color w:val="auto"/>
        </w:rPr>
        <w:t xml:space="preserve"> </w:t>
      </w:r>
      <w:r>
        <w:rPr>
          <w:rFonts w:ascii="Arial" w:cs="Arial" w:eastAsia="Arial" w:hAnsi="Arial"/>
          <w:sz w:val="18"/>
          <w:szCs w:val="18"/>
          <w:color w:val="auto"/>
        </w:rPr>
        <w:t>Credit Losses (“ASC 326”), loans that were designated as purchased credit impaired (“PCI”) loans under the previous accounting guidance were classified as PCD loans without reassessment.</w:t>
      </w:r>
    </w:p>
    <w:p>
      <w:pPr>
        <w:spacing w:after="0" w:line="1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acquisitions, United may acquire loans, some of which have experienced more than insignificant credit deterioration since origination. In those cases, United will consider internal loan grades, delinquency status and other relevant factors in assessing whether purchased loans are PCD. PCD loans are recorded at the amount paid. An initial ACL is determined using the same methodology as other loans held for investment, but with no impact to earnings. The initial ACL determined on a collective basis is allocated to individual loans. The sum of the loan's purchase price and ACL becomes its initial amortized cost basis. The difference between the initial amortized cost basis and the par value of the loan is a noncredit discount or premium, which is amortized into interest income over the life of the loan. Subsequent to initial recognition, PCD loans are subject to the same interest income recognition and impairment model as non-PCD loans, with changes to the ACL recorded through provision expense.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Loans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ACL is a valuation account that is deducted from the loans' amortized cost basis to present the net amount expected to be collected on the loans. Loans are charged off against the ACL when management believes the uncollectability of a loan balance is confirmed. Expected recoveries do not exceed the aggregate of amounts previously charged-off and expected to be charged-off. Accrued interest receivable is excluded from the estimate of credit losses.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determines the ACL balance using relevant available information, from internal and external sources, relating to past events, current conditions, and reasonable and supportable forecasts. Historical credit behaviors along with model judgments provide the basis for the estimation of expected credit losses. Adjustments to modeled loss estimates may be made for differences in current loan-specific risk characteristics such as differences in underwriting standards, portfolio mix, delinquency level, or term as well as for changes in environmental conditions, such as changes in economic conditions, property values, or other relevant factors.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ACL is measured on a collective basis when similar risk characteristics exist. United has identified the following portfolio segments and calculates the ACL for each using a discounted cash flow methodology at the loan level, with loss rates, prepayment assumptions and curtailment assumptions driven by each loan’s collateral type:</w:t>
      </w:r>
    </w:p>
    <w:p>
      <w:pPr>
        <w:spacing w:after="0" w:line="20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business failure and general economic conditions.</w:t>
      </w:r>
    </w:p>
    <w:p>
      <w:pPr>
        <w:spacing w:after="0" w:line="252"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declines in occupancy rates, and lack of suitable alternative use for the property.</w:t>
      </w:r>
    </w:p>
    <w:p>
      <w:pPr>
        <w:spacing w:after="0" w:line="189" w:lineRule="exact"/>
        <w:rPr>
          <w:sz w:val="20"/>
          <w:szCs w:val="20"/>
          <w:color w:val="auto"/>
        </w:rPr>
      </w:pPr>
    </w:p>
    <w:p>
      <w:pPr>
        <w:jc w:val="both"/>
        <w:ind w:left="260"/>
        <w:spacing w:after="0" w:line="266" w:lineRule="auto"/>
        <w:rPr>
          <w:sz w:val="20"/>
          <w:szCs w:val="20"/>
          <w:color w:val="auto"/>
        </w:rPr>
      </w:pPr>
      <w:r>
        <w:rPr>
          <w:rFonts w:ascii="Arial" w:cs="Arial" w:eastAsia="Arial" w:hAnsi="Arial"/>
          <w:sz w:val="18"/>
          <w:szCs w:val="18"/>
          <w:b w:val="1"/>
          <w:bCs w:val="1"/>
          <w:color w:val="auto"/>
        </w:rPr>
        <w:t xml:space="preserve">Commercial &amp; industrial - </w:t>
      </w:r>
      <w:r>
        <w:rPr>
          <w:rFonts w:ascii="Arial" w:cs="Arial" w:eastAsia="Arial" w:hAnsi="Arial"/>
          <w:sz w:val="18"/>
          <w:szCs w:val="18"/>
          <w:color w:val="auto"/>
        </w:rPr>
        <w:t>Risks to this loan category include the inability to monitor the condition of the collateral, which often consists of inventory,</w:t>
      </w:r>
      <w:r>
        <w:rPr>
          <w:rFonts w:ascii="Arial" w:cs="Arial" w:eastAsia="Arial" w:hAnsi="Arial"/>
          <w:sz w:val="18"/>
          <w:szCs w:val="18"/>
          <w:b w:val="1"/>
          <w:bCs w:val="1"/>
          <w:color w:val="auto"/>
        </w:rPr>
        <w:t xml:space="preserve"> </w:t>
      </w:r>
      <w:r>
        <w:rPr>
          <w:rFonts w:ascii="Arial" w:cs="Arial" w:eastAsia="Arial" w:hAnsi="Arial"/>
          <w:sz w:val="18"/>
          <w:szCs w:val="18"/>
          <w:color w:val="auto"/>
        </w:rPr>
        <w:t>accounts receivable and other non-real estate assets. Equipment and inventory obsolescence can also pose a risk. Declines in general economic conditions and other events can cause cash flows to fall to levels insufficient to service debt.</w:t>
      </w:r>
    </w:p>
    <w:p>
      <w:pPr>
        <w:spacing w:after="0" w:line="203" w:lineRule="exact"/>
        <w:rPr>
          <w:sz w:val="20"/>
          <w:szCs w:val="20"/>
          <w:color w:val="auto"/>
        </w:rPr>
      </w:pPr>
    </w:p>
    <w:p>
      <w:pPr>
        <w:jc w:val="both"/>
        <w:ind w:left="260" w:right="20"/>
        <w:spacing w:after="0" w:line="282" w:lineRule="auto"/>
        <w:rPr>
          <w:sz w:val="20"/>
          <w:szCs w:val="20"/>
          <w:color w:val="auto"/>
        </w:rPr>
      </w:pPr>
      <w:r>
        <w:rPr>
          <w:rFonts w:ascii="Arial" w:cs="Arial" w:eastAsia="Arial" w:hAnsi="Arial"/>
          <w:sz w:val="18"/>
          <w:szCs w:val="18"/>
          <w:b w:val="1"/>
          <w:bCs w:val="1"/>
          <w:color w:val="auto"/>
        </w:rPr>
        <w:t xml:space="preserve">Commercial construction - </w:t>
      </w:r>
      <w:r>
        <w:rPr>
          <w:rFonts w:ascii="Arial" w:cs="Arial" w:eastAsia="Arial" w:hAnsi="Arial"/>
          <w:sz w:val="18"/>
          <w:szCs w:val="18"/>
          <w:color w:val="auto"/>
        </w:rPr>
        <w:t>Risks common to commercial construction loans are cost overruns, changes in market demand for property,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 and declines in real estate values.</w:t>
      </w:r>
    </w:p>
    <w:p>
      <w:pPr>
        <w:spacing w:after="0" w:line="189" w:lineRule="exact"/>
        <w:rPr>
          <w:sz w:val="20"/>
          <w:szCs w:val="20"/>
          <w:color w:val="auto"/>
        </w:rPr>
      </w:pPr>
    </w:p>
    <w:p>
      <w:pPr>
        <w:jc w:val="both"/>
        <w:ind w:left="260"/>
        <w:spacing w:after="0" w:line="312" w:lineRule="auto"/>
        <w:rPr>
          <w:sz w:val="20"/>
          <w:szCs w:val="20"/>
          <w:color w:val="auto"/>
        </w:rPr>
      </w:pPr>
      <w:r>
        <w:rPr>
          <w:rFonts w:ascii="Arial" w:cs="Arial" w:eastAsia="Arial" w:hAnsi="Arial"/>
          <w:sz w:val="17"/>
          <w:szCs w:val="17"/>
          <w:b w:val="1"/>
          <w:bCs w:val="1"/>
          <w:color w:val="auto"/>
        </w:rPr>
        <w:t xml:space="preserve">Equipment financing - </w:t>
      </w:r>
      <w:r>
        <w:rPr>
          <w:rFonts w:ascii="Arial" w:cs="Arial" w:eastAsia="Arial" w:hAnsi="Arial"/>
          <w:sz w:val="17"/>
          <w:szCs w:val="17"/>
          <w:color w:val="auto"/>
        </w:rPr>
        <w:t>Risks associated with equipment financing are similar to those described for commercial and industrial loans, including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economic conditions, as well as appropriate lien priority on equipment, equipment obsolescence and the general mobility of the collateral.</w:t>
      </w:r>
    </w:p>
    <w:p>
      <w:pPr>
        <w:spacing w:after="0" w:line="167"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Residential mortgage - </w:t>
      </w:r>
      <w:r>
        <w:rPr>
          <w:rFonts w:ascii="Arial" w:cs="Arial" w:eastAsia="Arial" w:hAnsi="Arial"/>
          <w:sz w:val="18"/>
          <w:szCs w:val="18"/>
          <w:color w:val="auto"/>
        </w:rPr>
        <w:t>Residential mortgage loans are susceptible to weakening general economic conditions,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89"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including an increase in unemployment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rates, and declining real estate values that reduce or eliminate the borrower’s home equity.</w:t>
      </w:r>
    </w:p>
    <w:p>
      <w:pPr>
        <w:spacing w:after="0" w:line="189"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Residential construction - </w:t>
      </w:r>
      <w:r>
        <w:rPr>
          <w:rFonts w:ascii="Arial" w:cs="Arial" w:eastAsia="Arial" w:hAnsi="Arial"/>
          <w:sz w:val="18"/>
          <w:szCs w:val="18"/>
          <w:color w:val="auto"/>
        </w:rPr>
        <w:t>Residential construction loans are susceptible to the same risks as residential mortgage loans. Changes in market demand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lead to longer marketing times resulting in higher carrying costs and declining values.</w:t>
      </w:r>
    </w:p>
    <w:p>
      <w:pPr>
        <w:spacing w:after="0" w:line="189" w:lineRule="exact"/>
        <w:rPr>
          <w:sz w:val="20"/>
          <w:szCs w:val="20"/>
          <w:color w:val="auto"/>
        </w:rPr>
      </w:pPr>
    </w:p>
    <w:p>
      <w:pPr>
        <w:jc w:val="both"/>
        <w:ind w:left="260"/>
        <w:spacing w:after="0" w:line="282" w:lineRule="auto"/>
        <w:rPr>
          <w:sz w:val="20"/>
          <w:szCs w:val="20"/>
          <w:color w:val="auto"/>
        </w:rPr>
      </w:pPr>
      <w:r>
        <w:rPr>
          <w:rFonts w:ascii="Arial" w:cs="Arial" w:eastAsia="Arial" w:hAnsi="Arial"/>
          <w:sz w:val="18"/>
          <w:szCs w:val="18"/>
          <w:b w:val="1"/>
          <w:bCs w:val="1"/>
          <w:color w:val="auto"/>
        </w:rPr>
        <w:t xml:space="preserve">Consumer - </w:t>
      </w:r>
      <w:r>
        <w:rPr>
          <w:rFonts w:ascii="Arial" w:cs="Arial" w:eastAsia="Arial" w:hAnsi="Arial"/>
          <w:sz w:val="18"/>
          <w:szCs w:val="18"/>
          <w:color w:val="auto"/>
        </w:rPr>
        <w:t>Risks common to consumer direct loans include unemployment and changes in local economic conditions as well as the inability to</w:t>
      </w:r>
      <w:r>
        <w:rPr>
          <w:rFonts w:ascii="Arial" w:cs="Arial" w:eastAsia="Arial" w:hAnsi="Arial"/>
          <w:sz w:val="18"/>
          <w:szCs w:val="18"/>
          <w:b w:val="1"/>
          <w:bCs w:val="1"/>
          <w:color w:val="auto"/>
        </w:rPr>
        <w:t xml:space="preserve"> </w:t>
      </w:r>
      <w:r>
        <w:rPr>
          <w:rFonts w:ascii="Arial" w:cs="Arial" w:eastAsia="Arial" w:hAnsi="Arial"/>
          <w:sz w:val="18"/>
          <w:szCs w:val="18"/>
          <w:color w:val="auto"/>
        </w:rPr>
        <w:t>monitor collateral consisting of personal property.</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When management determines that foreclosure is probable or when the borrower is experiencing financial difficulty at the reporting date and repayment is expected to be provided substantially through the operation or sale of the collateral, expected credit losses are based on the fair value of the collateral at the reporting date, adjusted for selling costs as appropriate.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the discounted cash flow method is used to determine the ACL, management adjusts the effective interest rate used to discount expected cash flows to incorporate expected prepayments.</w:t>
      </w:r>
    </w:p>
    <w:p>
      <w:pPr>
        <w:spacing w:after="0" w:line="19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Determining the Contractual Term: </w:t>
      </w:r>
      <w:r>
        <w:rPr>
          <w:rFonts w:ascii="Arial" w:cs="Arial" w:eastAsia="Arial" w:hAnsi="Arial"/>
          <w:sz w:val="17"/>
          <w:szCs w:val="17"/>
          <w:color w:val="auto"/>
        </w:rPr>
        <w:t>Expected credit losses are estimated over the contractual term of the loans, adjusted for expected prepayments when</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The contractual term excludes expected extensions, renewals, and modifications unless either of the following applies: management has a reasonable expectation at the reporting date that a troubled debt restructuring will be executed with an individual borrower or the extension or renewal options are included in the original or modified contract at the reporting date and are not unconditionally cancellable by United.</w:t>
      </w:r>
    </w:p>
    <w:p>
      <w:pPr>
        <w:spacing w:after="0" w:line="19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Troubled Debt Restructurings (“TDR”s): </w:t>
      </w:r>
      <w:r>
        <w:rPr>
          <w:rFonts w:ascii="Arial" w:cs="Arial" w:eastAsia="Arial" w:hAnsi="Arial"/>
          <w:sz w:val="18"/>
          <w:szCs w:val="18"/>
          <w:color w:val="auto"/>
        </w:rPr>
        <w:t>A loan for which the terms have been modified resulting in a more than insignificant concession, and for which</w:t>
      </w:r>
      <w:r>
        <w:rPr>
          <w:rFonts w:ascii="Arial" w:cs="Arial" w:eastAsia="Arial" w:hAnsi="Arial"/>
          <w:sz w:val="18"/>
          <w:szCs w:val="18"/>
          <w:b w:val="1"/>
          <w:bCs w:val="1"/>
          <w:color w:val="auto"/>
        </w:rPr>
        <w:t xml:space="preserve"> </w:t>
      </w:r>
      <w:r>
        <w:rPr>
          <w:rFonts w:ascii="Arial" w:cs="Arial" w:eastAsia="Arial" w:hAnsi="Arial"/>
          <w:sz w:val="18"/>
          <w:szCs w:val="18"/>
          <w:color w:val="auto"/>
        </w:rPr>
        <w:t>the borrower is experiencing financial difficulties, is generally considered to be a TDR. The ACL on a TDR is measured using the same method as all other loans held for investment, except that the original interest rate is used to discount the expected cash flows, not the rate specified within the restructuring. As discussed in Note 2, in accordance with the Coronavirus Aid, Relief, and Economic Security Act (“CARES Act”), United implemented loan modification programs in response to the COVID-19</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pandemic in order to provide borrowers with flexibility with respect to repayment terms. These loan modifications were not considered TDRs to the extent that the borrower was impacted by the COVID-19 pandemic and was not more than 30 days past due at December 31, 2019, or in certain circumstances, at the time that the COVID-19 loan modification program was implemented, unless the loan was previously classified as a TDR.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ACL - Off-Balance Sheet Credit Exposures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estimates expected credit losses on commitments to extend credit over the contractual period during which United is exposed to credit risk on the underlying commitments. The ACL on off-balance sheet credit exposures is adjusted as a provision for credit loss expense. The estimate includes consideration of the likelihood that funding will occur and an estimate of expected credit losses on commitments expected to be funded over its estimated life. The ACL is calculated using the same aggregate reserve rates calculated for the funded portion of loans at the portfolio level applied to the amount of commitments expected to fund.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 2020, United adopted ASC 326</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replaced the incurred loss impairment framework in prior GAAP (“Incurred Loss”) with a current expected credit loss (“CECL”) framework. The CECL framework requires an estimate of credit losses for the remaining estimated life of the financial asset using historical experience, current conditions, and reasonable and supportable forecasts and generally applies to financial assets measured at amortized cost, including loan receivables and held-to-maturity debt securities, and some off-balance sheet credit exposures such as unfunded commitments to extend credit. Financial assets measured at amortized cost will be presented at the net amount expected to be collected by using an ACL. PCD loans will receive an initial allowance at the acquisition date that represents an adjustment to the amortized cost basis of the loan, with no impact to earnings. Credit losses relating to available-for-sale debt securities will be recorded through an ACL prospectively, with such allowance limited to the amount by which fair value is below amortized cost.</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adopted ASC 326 as of January 1, 2020 using the modified retrospective method for loans, leases and off-balance sheet credit exposures. Adoption of this guidance resulted in an $8.75 million increase in the ACL, comprised of increases in the ACL for loans of $6.88 million and the ACL for unfunded commitments of $1.87 million, with $3.59 million of the increase reclassified from the amortized cost basis of PCD financial assets that were previously classified as PCI. The cumulative effect adjustment to retained earnings was $3.53 million, net of tax. Calculated credit losses on held-to-maturity debt securities were not material and there was no impact to the available-for-sale securities portfolio or other financial instruments. Results for reporting periods beginning after January 1, 2020 are presented under ASC 326 while prior period amounts continue to be reported in accordance with Incurred Loss.</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ACL for the majority of loans and leases was calculated using a discounted cash flow methodology applied at a loan level with a one-year reasonable and supportable forecast period and a two-year straight-line reversion period. In connection with the adoption, management has implemented changes to relevant systems, processes and controls where necessary. Model validation was completed during the fourth quarter of 2019 and implementation of the accounting, reporting and governance processes to comply with the new guidance was completed in the first quarter of 2020. United’s CECL allowance will fluctuate over time due to macroeconomic conditions and forecasts as well as the size and composition of the loan portfolios. United has adopted the relief provided by federal banking regulatory agencies for the delay of the adverse capital impact of CECL at adoption and during the subsequent two-year period following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adopted ASC 326 using the prospective transition approach for PCD assets that were previously classified as PCI. In accordance with the standard, management did not reassess whether PCI assets met the criteria of PCD assets as of the date of adoption. As mentioned above, the amortized cost basis of the PCD assets was adjusted to reflect the addition of $3.59 million to the ACL. The remaining noncredit discount (based on the adjusted amortized cost basis) will be accreted into interest income at a rate that approximates the effective interest rate as of January 1, 2020.</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PCD assets, because United elected to disaggregate the former PCI pools and no longer considers these pools to be the unit of account, contractually delinquent PCD loans will be reported as nonaccrual loans using the same criteria as other loans. Similarly, although management did not reassess whether modifications to individual acquired financial assets accounted for in pools were TDRs as of the date of adoption, PCD loans that are restructured and meet the definition of TDR after the adoption of CECL will be reported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elected not to measure an ACL for accrued interest receivable and instead to reverse interest income on those loans that are 90 days past due, to exclude accrued interest receivable from the amortized cost basis of financial instruments subject to CECL and to separately state the balance of accrued interest receivable on the consolidated balance sheet. In addition, United elected to adjust the discount rate used to calculate credit losses for expected prepayments and will include all changes in discounted cash flows as credit loss. As a practical expedient, United has also elected to use the fair value of collateral when determining the ACL for loans if repayment is expected to be provided substantially through the operation or sale of the collateral when the borrower is experiencing financial difficulty (collateral-dependent loans).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27, 2020, the CARES Act was signed into law. The CARES Act includes a number of provisions that were applicable to United, including the following:</w:t>
      </w:r>
    </w:p>
    <w:p>
      <w:pPr>
        <w:spacing w:after="0" w:line="193" w:lineRule="exact"/>
        <w:rPr>
          <w:sz w:val="20"/>
          <w:szCs w:val="20"/>
          <w:color w:val="auto"/>
        </w:rPr>
      </w:pPr>
    </w:p>
    <w:p>
      <w:pPr>
        <w:jc w:val="both"/>
        <w:ind w:left="660" w:right="320" w:hanging="328"/>
        <w:spacing w:after="0" w:line="272"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Accounting Relief for TDRs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CARES Act provides that modifications under certain forbearance conditions for loans that were not more</w:t>
      </w:r>
      <w:r>
        <w:rPr>
          <w:rFonts w:ascii="Arial" w:cs="Arial" w:eastAsia="Arial" w:hAnsi="Arial"/>
          <w:sz w:val="17"/>
          <w:szCs w:val="17"/>
          <w:i w:val="1"/>
          <w:iCs w:val="1"/>
          <w:color w:val="auto"/>
        </w:rPr>
        <w:t xml:space="preserve"> </w:t>
      </w:r>
      <w:r>
        <w:rPr>
          <w:rFonts w:ascii="Arial" w:cs="Arial" w:eastAsia="Arial" w:hAnsi="Arial"/>
          <w:sz w:val="17"/>
          <w:szCs w:val="17"/>
          <w:color w:val="auto"/>
        </w:rPr>
        <w:t>than 30 days past due at December 31, 2019 will not be considered TDRs for regulatory reporting and GAAP. This exemption period ends on the earlier of December 31, 2020 or the date that is 60 days after the termination date of the national emergency.</w:t>
      </w:r>
    </w:p>
    <w:p>
      <w:pPr>
        <w:spacing w:after="0" w:line="1" w:lineRule="exact"/>
        <w:rPr>
          <w:rFonts w:ascii="Arial" w:cs="Arial" w:eastAsia="Arial" w:hAnsi="Arial"/>
          <w:sz w:val="17"/>
          <w:szCs w:val="17"/>
          <w:color w:val="auto"/>
        </w:rPr>
      </w:pPr>
    </w:p>
    <w:p>
      <w:pPr>
        <w:jc w:val="both"/>
        <w:ind w:left="660" w:right="320" w:hanging="328"/>
        <w:spacing w:after="0" w:line="281"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Optional Delay and Regulatory Relief for CECL Implementation</w:t>
      </w:r>
      <w:r>
        <w:rPr>
          <w:rFonts w:ascii="Arial" w:cs="Arial" w:eastAsia="Arial" w:hAnsi="Arial"/>
          <w:sz w:val="16"/>
          <w:szCs w:val="16"/>
          <w:color w:val="auto"/>
        </w:rPr>
        <w:t>: The CARES Act stipulates that large SEC filers have the option of delaying</w:t>
      </w:r>
      <w:r>
        <w:rPr>
          <w:rFonts w:ascii="Arial" w:cs="Arial" w:eastAsia="Arial" w:hAnsi="Arial"/>
          <w:sz w:val="16"/>
          <w:szCs w:val="16"/>
          <w:i w:val="1"/>
          <w:iCs w:val="1"/>
          <w:color w:val="auto"/>
        </w:rPr>
        <w:t xml:space="preserve"> </w:t>
      </w:r>
      <w:r>
        <w:rPr>
          <w:rFonts w:ascii="Arial" w:cs="Arial" w:eastAsia="Arial" w:hAnsi="Arial"/>
          <w:sz w:val="16"/>
          <w:szCs w:val="16"/>
          <w:color w:val="auto"/>
        </w:rPr>
        <w:t>the adoption of CECL from January 1, 2020 to the earlier of the end of the COVID-19 emergency period or December 31, 2020. Banks that were required to implement CECL by the end of 2020 were granted the option to defer any impact of CECL on regulatory capital for two years before beginning the original three-year regulatory phase-in period, for a total five-year phase-in period. Although United did not elect to delay the adoption of CECL, the Company elected the five-year phase-in period for regulatory capital purposes, as discussed above.</w:t>
      </w:r>
    </w:p>
    <w:p>
      <w:pPr>
        <w:spacing w:after="0" w:line="2" w:lineRule="exact"/>
        <w:rPr>
          <w:rFonts w:ascii="Arial" w:cs="Arial" w:eastAsia="Arial" w:hAnsi="Arial"/>
          <w:sz w:val="16"/>
          <w:szCs w:val="16"/>
          <w:color w:val="auto"/>
        </w:rPr>
      </w:pPr>
    </w:p>
    <w:p>
      <w:pPr>
        <w:jc w:val="both"/>
        <w:ind w:left="660" w:right="340" w:hanging="328"/>
        <w:spacing w:after="0" w:line="25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Paycheck Protection Program (“PPP”)</w:t>
      </w:r>
      <w:r>
        <w:rPr>
          <w:rFonts w:ascii="Arial" w:cs="Arial" w:eastAsia="Arial" w:hAnsi="Arial"/>
          <w:sz w:val="18"/>
          <w:szCs w:val="18"/>
          <w:color w:val="auto"/>
        </w:rPr>
        <w:t>: The CARES Act creates the PPP through the Small Business Administration (“SBA”), which</w:t>
      </w:r>
      <w:r>
        <w:rPr>
          <w:rFonts w:ascii="Arial" w:cs="Arial" w:eastAsia="Arial" w:hAnsi="Arial"/>
          <w:sz w:val="18"/>
          <w:szCs w:val="18"/>
          <w:i w:val="1"/>
          <w:iCs w:val="1"/>
          <w:color w:val="auto"/>
        </w:rPr>
        <w:t xml:space="preserve"> </w:t>
      </w:r>
      <w:r>
        <w:rPr>
          <w:rFonts w:ascii="Arial" w:cs="Arial" w:eastAsia="Arial" w:hAnsi="Arial"/>
          <w:sz w:val="18"/>
          <w:szCs w:val="18"/>
          <w:color w:val="auto"/>
        </w:rPr>
        <w:t>allowed United to lend money to small businesses to maintain employee payrolls and pay other qualified expenses during the crisis with guarantees from the SBA. Under this program, loan amounts may be forgiven if the proceeds are used for payroll and other permitted expenses in accordance with the requirements of the PPP.</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March 2020, the Financial Accounting Standards Board (“FASB”) issued Accounting Standards Update (“ASU”) No. 2020-03, </w:t>
      </w:r>
      <w:r>
        <w:rPr>
          <w:rFonts w:ascii="Arial" w:cs="Arial" w:eastAsia="Arial" w:hAnsi="Arial"/>
          <w:sz w:val="18"/>
          <w:szCs w:val="18"/>
          <w:i w:val="1"/>
          <w:iCs w:val="1"/>
          <w:color w:val="auto"/>
        </w:rPr>
        <w:t>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Instruments</w:t>
      </w:r>
      <w:r>
        <w:rPr>
          <w:rFonts w:ascii="Arial" w:cs="Arial" w:eastAsia="Arial" w:hAnsi="Arial"/>
          <w:sz w:val="18"/>
          <w:szCs w:val="18"/>
          <w:color w:val="auto"/>
        </w:rPr>
        <w:t>. This update clarified certain minor issues within the codification, including, among other things, debt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for financial institutions and determination of the contractual term of a net investment in a lease. The standard was effective immediately, and did not have a material impact on the consolidated financial statements.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2020, the FASB issued ASU No.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This update provides expedients for contracts that are modified because of reference rate reform, including receivables, debt, leases,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derivatives. In addition, the update provides a one-time election to sell or transfer debt securities classified as held-to-maturity that reference a rate that is affected by reference rate reform. The update is effective as of March 12, 2020 through December 31, 2022. Adoption of this update did not have a material impact on the consolidated financial statements.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April 2019, the FASB issued ASU No. 2019-04, </w:t>
      </w:r>
      <w:r>
        <w:rPr>
          <w:rFonts w:ascii="Arial" w:cs="Arial" w:eastAsia="Arial" w:hAnsi="Arial"/>
          <w:sz w:val="18"/>
          <w:szCs w:val="18"/>
          <w:i w:val="1"/>
          <w:iCs w:val="1"/>
          <w:color w:val="auto"/>
        </w:rPr>
        <w:t>Codification Improvements to Topic 326, Financial Instruments - Credit Losses, Topic 815,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and Hedging, and Topic 825 Financial Instruments</w:t>
      </w:r>
      <w:r>
        <w:rPr>
          <w:rFonts w:ascii="Arial" w:cs="Arial" w:eastAsia="Arial" w:hAnsi="Arial"/>
          <w:sz w:val="18"/>
          <w:szCs w:val="18"/>
          <w:color w:val="auto"/>
        </w:rPr>
        <w:t>. In addition to amending guidance related to the new CECL standard, this update clarifies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aspects of hedge accounting and recognition and measurement of financial instruments. United adopted this update as of January 1, 2020, with no material impact on the consolidated financial statements.</w:t>
      </w:r>
    </w:p>
    <w:p>
      <w:pPr>
        <w:spacing w:after="0" w:line="21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Simplifying the Test for Goodwill Impairment</w:t>
      </w:r>
      <w:r>
        <w:rPr>
          <w:rFonts w:ascii="Arial" w:cs="Arial" w:eastAsia="Arial" w:hAnsi="Arial"/>
          <w:sz w:val="17"/>
          <w:szCs w:val="17"/>
          <w:color w:val="auto"/>
        </w:rPr>
        <w:t>. This update eliminates Step 2 from the goodwill impairment test, which required an entity to calculate the implied fair value of goodwill by valuing a reporting unit’s assets and liabilities using the same process that would be required to value assets and liabilities in a business combination. Instead, the amendments require that an entity perform its annual goodwill impairment test by comparing the fair value of a reporting unit with its carrying amount. United adopted this update as of January 1, 2020, with no material impact on the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 Not Yet Adopted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2020, the FASB issued ASU No. 2020-08, </w:t>
      </w:r>
      <w:r>
        <w:rPr>
          <w:rFonts w:ascii="Arial" w:cs="Arial" w:eastAsia="Arial" w:hAnsi="Arial"/>
          <w:sz w:val="18"/>
          <w:szCs w:val="18"/>
          <w:i w:val="1"/>
          <w:iCs w:val="1"/>
          <w:color w:val="auto"/>
        </w:rPr>
        <w:t>Codification Improvements to Subtopic 310-20, Receivables—Nonrefundable Fees and Other Costs</w:t>
      </w:r>
      <w:r>
        <w:rPr>
          <w:rFonts w:ascii="Arial" w:cs="Arial" w:eastAsia="Arial" w:hAnsi="Arial"/>
          <w:sz w:val="18"/>
          <w:szCs w:val="18"/>
          <w:color w:val="auto"/>
        </w:rPr>
        <w:t>. This update clarifies that an entity should reevaluate whether a callable debt security meets the criteria to adjust the amortization period of any related premium at each reporting period. Adoption of this update, which is effective for United as of January 1, 2021, is not expected to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Three Shores Bancorporation, Inc.</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July 1, 2020, United completed the acquisition of Three Shores Bancorporation, Inc. (“Three Shores”), including its wholly-owned subsidiary, Seaside National Bank &amp; Trust (“Seaside”), headquartered in Orlando, Florida. Seaside operated a 14-branch network located in key Florida metropolitan markets. In connection with the acquisition, United acquired $2.13 billion of assets and assumed $1.99 billion of liabilities. Under the terms of the merger agreement, Three Shores shareholders received $188 million in total consideration, of which $164 million was United common stock and $24.1 million was cash. United issued 8.13 million shares of common stock to Three Shores shareholders in the acquisition. The fair value of consideration paid exceeded the fair value of the identifiable assets and liabilities acquired and resulted in the establishment of goodwill in the amount of $41.6 million, representing the intangible value of Three Shores’ business and reputation within the markets it served. None of the goodwill is expected to be deductible for income tax purposes. United will amortize the related core deposit intangible of $3.36 million using the sum-of-the-years-digits method over 10 years, which represents the expected useful life of the asset.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operating results for the three and nine months ended September 30, 2020 include the operating results of the acquired business for the period subsequent to the acquisition date of July 1, 2020.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As Recorded by</w:t>
            </w: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6"/>
                <w:szCs w:val="16"/>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As Recorded by</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Three Shores</w:t>
            </w:r>
          </w:p>
        </w:tc>
        <w:tc>
          <w:tcPr>
            <w:tcW w:w="180" w:type="dxa"/>
            <w:vAlign w:val="bottom"/>
          </w:tcPr>
          <w:p>
            <w:pPr>
              <w:spacing w:after="0"/>
              <w:rPr>
                <w:sz w:val="18"/>
                <w:szCs w:val="18"/>
                <w:color w:val="auto"/>
              </w:rPr>
            </w:pPr>
          </w:p>
        </w:tc>
        <w:tc>
          <w:tcPr>
            <w:tcW w:w="1480" w:type="dxa"/>
            <w:vAlign w:val="bottom"/>
            <w:gridSpan w:val="2"/>
          </w:tcPr>
          <w:p>
            <w:pPr>
              <w:jc w:val="center"/>
              <w:ind w:right="280"/>
              <w:spacing w:after="0" w:line="216" w:lineRule="exact"/>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18"/>
                <w:szCs w:val="18"/>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218,714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218,714</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381,740</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Loans, net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1,463,567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(35,601)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1,427,966</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Premises and equipment, net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Accrued interest receivable</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8,849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7,565</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11,800</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Net deferred tax asset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11,224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15,061</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Core deposit intangible</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71,984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65,340</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 acquired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2,155,245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2,133,130</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1,796,739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1,802,694</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FHLB advances and long-term debt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136,000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144,121</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12,165</w:t>
            </w:r>
          </w:p>
        </w:tc>
        <w:tc>
          <w:tcPr>
            <w:tcW w:w="0" w:type="dxa"/>
            <w:vAlign w:val="bottom"/>
          </w:tcPr>
          <w:p>
            <w:pPr>
              <w:spacing w:after="0"/>
              <w:rPr>
                <w:sz w:val="1"/>
                <w:szCs w:val="1"/>
                <w:color w:val="auto"/>
              </w:rPr>
            </w:pP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30,857</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28,046</w:t>
            </w:r>
          </w:p>
        </w:tc>
        <w:tc>
          <w:tcPr>
            <w:tcW w:w="0" w:type="dxa"/>
            <w:vAlign w:val="bottom"/>
          </w:tcPr>
          <w:p>
            <w:pPr>
              <w:spacing w:after="0"/>
              <w:rPr>
                <w:sz w:val="1"/>
                <w:szCs w:val="1"/>
                <w:color w:val="auto"/>
              </w:rPr>
            </w:pPr>
          </w:p>
        </w:tc>
      </w:tr>
      <w:tr>
        <w:trPr>
          <w:trHeight w:val="210"/>
        </w:trPr>
        <w:tc>
          <w:tcPr>
            <w:tcW w:w="63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 assumed</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1,975,761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1,987,026</w:t>
            </w: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Excess of assets acquired over liabilities assumed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179,484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Aggregate fair value adjustments</w:t>
            </w:r>
          </w:p>
        </w:tc>
        <w:tc>
          <w:tcPr>
            <w:tcW w:w="16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(33,380)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Total identifiable net assets</w:t>
            </w: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146,104</w:t>
            </w:r>
          </w:p>
        </w:tc>
        <w:tc>
          <w:tcPr>
            <w:tcW w:w="0" w:type="dxa"/>
            <w:vAlign w:val="bottom"/>
          </w:tcPr>
          <w:p>
            <w:pPr>
              <w:spacing w:after="0" w:line="20" w:lineRule="exact"/>
              <w:rPr>
                <w:sz w:val="1"/>
                <w:szCs w:val="1"/>
                <w:color w:val="auto"/>
              </w:rPr>
            </w:pPr>
          </w:p>
        </w:tc>
      </w:tr>
      <w:tr>
        <w:trPr>
          <w:trHeight w:val="160"/>
        </w:trPr>
        <w:tc>
          <w:tcPr>
            <w:tcW w:w="63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Consideration transferred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Cash consideration transferred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24,108</w:t>
            </w:r>
          </w:p>
        </w:tc>
        <w:tc>
          <w:tcPr>
            <w:tcW w:w="0" w:type="dxa"/>
            <w:vAlign w:val="bottom"/>
          </w:tcPr>
          <w:p>
            <w:pPr>
              <w:spacing w:after="0"/>
              <w:rPr>
                <w:sz w:val="1"/>
                <w:szCs w:val="1"/>
                <w:color w:val="auto"/>
              </w:rPr>
            </w:pP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stock issued (8,130,633 shares)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163,589</w:t>
            </w:r>
          </w:p>
        </w:tc>
        <w:tc>
          <w:tcPr>
            <w:tcW w:w="0" w:type="dxa"/>
            <w:vAlign w:val="bottom"/>
          </w:tcPr>
          <w:p>
            <w:pPr>
              <w:spacing w:after="0"/>
              <w:rPr>
                <w:sz w:val="1"/>
                <w:szCs w:val="1"/>
                <w:color w:val="auto"/>
              </w:rPr>
            </w:pPr>
          </w:p>
        </w:tc>
      </w:tr>
      <w:tr>
        <w:trPr>
          <w:trHeight w:val="206"/>
        </w:trPr>
        <w:tc>
          <w:tcPr>
            <w:tcW w:w="6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fair value of consideration transferred</w:t>
            </w:r>
          </w:p>
        </w:tc>
        <w:tc>
          <w:tcPr>
            <w:tcW w:w="16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3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187,697</w:t>
            </w:r>
          </w:p>
        </w:tc>
        <w:tc>
          <w:tcPr>
            <w:tcW w:w="0" w:type="dxa"/>
            <w:vAlign w:val="bottom"/>
          </w:tcPr>
          <w:p>
            <w:pPr>
              <w:spacing w:after="0"/>
              <w:rPr>
                <w:sz w:val="1"/>
                <w:szCs w:val="1"/>
                <w:color w:val="auto"/>
              </w:rPr>
            </w:pPr>
          </w:p>
        </w:tc>
      </w:tr>
      <w:tr>
        <w:trPr>
          <w:trHeight w:val="238"/>
        </w:trPr>
        <w:tc>
          <w:tcPr>
            <w:tcW w:w="6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41,593</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firstLine="8"/>
        <w:spacing w:after="0" w:line="246" w:lineRule="auto"/>
        <w:tabs>
          <w:tab w:leader="none" w:pos="166"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1, 2020</w:t>
            </w:r>
          </w:p>
        </w:tc>
      </w:tr>
      <w:tr>
        <w:trPr>
          <w:trHeight w:val="199"/>
        </w:trPr>
        <w:tc>
          <w:tcPr>
            <w:tcW w:w="7140" w:type="dxa"/>
            <w:vAlign w:val="bottom"/>
            <w:tcBorders>
              <w:top w:val="single" w:sz="8" w:color="CCEEFF"/>
            </w:tcBorders>
            <w:shd w:val="clear" w:color="auto" w:fill="CCEEFF"/>
          </w:tcPr>
          <w:p>
            <w:pPr>
              <w:ind w:left="2300"/>
              <w:spacing w:after="0"/>
              <w:rPr>
                <w:sz w:val="20"/>
                <w:szCs w:val="20"/>
                <w:color w:val="auto"/>
              </w:rPr>
            </w:pPr>
            <w:r>
              <w:rPr>
                <w:rFonts w:ascii="Arial" w:cs="Arial" w:eastAsia="Arial" w:hAnsi="Arial"/>
                <w:sz w:val="16"/>
                <w:szCs w:val="16"/>
                <w:b w:val="1"/>
                <w:bCs w:val="1"/>
                <w:color w:val="auto"/>
              </w:rPr>
              <w:t>PCD loans:</w:t>
            </w: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300" w:type="dxa"/>
            <w:vAlign w:val="bottom"/>
            <w:tcBorders>
              <w:top w:val="single" w:sz="8" w:color="CCEEFF"/>
            </w:tcBorders>
            <w:shd w:val="clear" w:color="auto" w:fill="CCEEFF"/>
          </w:tcPr>
          <w:p>
            <w:pPr>
              <w:spacing w:after="0"/>
              <w:rPr>
                <w:sz w:val="17"/>
                <w:szCs w:val="17"/>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Par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283,137</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ACL at acquisition</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(11,152)</w:t>
            </w:r>
          </w:p>
        </w:tc>
        <w:tc>
          <w:tcPr>
            <w:tcW w:w="2300" w:type="dxa"/>
            <w:vAlign w:val="bottom"/>
            <w:shd w:val="clear" w:color="auto" w:fill="CCEEFF"/>
          </w:tcPr>
          <w:p>
            <w:pPr>
              <w:spacing w:after="0"/>
              <w:rPr>
                <w:sz w:val="19"/>
                <w:szCs w:val="19"/>
                <w:color w:val="auto"/>
              </w:rPr>
            </w:pPr>
          </w:p>
        </w:tc>
      </w:tr>
      <w:tr>
        <w:trPr>
          <w:trHeight w:val="213"/>
        </w:trPr>
        <w:tc>
          <w:tcPr>
            <w:tcW w:w="7140" w:type="dxa"/>
            <w:vAlign w:val="bottom"/>
            <w:tcBorders>
              <w:bottom w:val="single" w:sz="8" w:color="CCEEFF"/>
            </w:tcBorders>
          </w:tcPr>
          <w:p>
            <w:pPr>
              <w:ind w:left="2300"/>
              <w:spacing w:after="0"/>
              <w:rPr>
                <w:sz w:val="20"/>
                <w:szCs w:val="20"/>
                <w:color w:val="auto"/>
              </w:rPr>
            </w:pPr>
            <w:r>
              <w:rPr>
                <w:rFonts w:ascii="Arial" w:cs="Arial" w:eastAsia="Arial" w:hAnsi="Arial"/>
                <w:sz w:val="16"/>
                <w:szCs w:val="16"/>
                <w:color w:val="auto"/>
              </w:rPr>
              <w:t>Non-credit discount</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(8,694)</w:t>
            </w:r>
          </w:p>
        </w:tc>
        <w:tc>
          <w:tcPr>
            <w:tcW w:w="2300" w:type="dxa"/>
            <w:vAlign w:val="bottom"/>
            <w:tcBorders>
              <w:bottom w:val="single" w:sz="8" w:color="CCEEFF"/>
            </w:tcBorders>
          </w:tcPr>
          <w:p>
            <w:pPr>
              <w:spacing w:after="0"/>
              <w:rPr>
                <w:sz w:val="18"/>
                <w:szCs w:val="18"/>
                <w:color w:val="auto"/>
              </w:rPr>
            </w:pPr>
          </w:p>
        </w:tc>
      </w:tr>
      <w:tr>
        <w:trPr>
          <w:trHeight w:val="237"/>
        </w:trPr>
        <w:tc>
          <w:tcPr>
            <w:tcW w:w="714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Purchase price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263,291</w:t>
            </w:r>
          </w:p>
        </w:tc>
        <w:tc>
          <w:tcPr>
            <w:tcW w:w="2300" w:type="dxa"/>
            <w:vAlign w:val="bottom"/>
            <w:tcBorders>
              <w:bottom w:val="single" w:sz="8" w:color="CCEEFF"/>
            </w:tcBorders>
            <w:shd w:val="clear" w:color="auto" w:fill="CCEEFF"/>
          </w:tcPr>
          <w:p>
            <w:pPr>
              <w:spacing w:after="0"/>
              <w:rPr>
                <w:sz w:val="20"/>
                <w:szCs w:val="20"/>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r>
      <w:tr>
        <w:trPr>
          <w:trHeight w:val="163"/>
        </w:trPr>
        <w:tc>
          <w:tcPr>
            <w:tcW w:w="7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216"/>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b w:val="1"/>
                <w:bCs w:val="1"/>
                <w:color w:val="auto"/>
              </w:rPr>
              <w:t>Non-PCD loans: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13"/>
        </w:trPr>
        <w:tc>
          <w:tcPr>
            <w:tcW w:w="7140" w:type="dxa"/>
            <w:vAlign w:val="bottom"/>
          </w:tcPr>
          <w:p>
            <w:pPr>
              <w:ind w:left="2300"/>
              <w:spacing w:after="0"/>
              <w:rPr>
                <w:sz w:val="20"/>
                <w:szCs w:val="20"/>
                <w:color w:val="auto"/>
              </w:rPr>
            </w:pPr>
            <w:r>
              <w:rPr>
                <w:rFonts w:ascii="Arial" w:cs="Arial" w:eastAsia="Arial" w:hAnsi="Arial"/>
                <w:sz w:val="16"/>
                <w:szCs w:val="16"/>
                <w:color w:val="auto"/>
              </w:rPr>
              <w:t>Fair value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1,164,675</w:t>
            </w:r>
          </w:p>
        </w:tc>
        <w:tc>
          <w:tcPr>
            <w:tcW w:w="2300" w:type="dxa"/>
            <w:vAlign w:val="bottom"/>
          </w:tcPr>
          <w:p>
            <w:pPr>
              <w:spacing w:after="0"/>
              <w:rPr>
                <w:sz w:val="18"/>
                <w:szCs w:val="18"/>
                <w:color w:val="auto"/>
              </w:rPr>
            </w:pPr>
          </w:p>
        </w:tc>
      </w:tr>
      <w:tr>
        <w:trPr>
          <w:trHeight w:val="219"/>
        </w:trPr>
        <w:tc>
          <w:tcPr>
            <w:tcW w:w="7140" w:type="dxa"/>
            <w:vAlign w:val="bottom"/>
            <w:shd w:val="clear" w:color="auto" w:fill="CCEEFF"/>
          </w:tcPr>
          <w:p>
            <w:pPr>
              <w:ind w:left="2300"/>
              <w:spacing w:after="0"/>
              <w:rPr>
                <w:sz w:val="20"/>
                <w:szCs w:val="20"/>
                <w:color w:val="auto"/>
              </w:rPr>
            </w:pPr>
            <w:r>
              <w:rPr>
                <w:rFonts w:ascii="Arial" w:cs="Arial" w:eastAsia="Arial" w:hAnsi="Arial"/>
                <w:sz w:val="16"/>
                <w:szCs w:val="16"/>
                <w:color w:val="auto"/>
              </w:rPr>
              <w:t>Gross contractual amounts receivable</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1,358,793</w:t>
            </w:r>
          </w:p>
        </w:tc>
        <w:tc>
          <w:tcPr>
            <w:tcW w:w="2300" w:type="dxa"/>
            <w:vAlign w:val="bottom"/>
            <w:shd w:val="clear" w:color="auto" w:fill="CCEEFF"/>
          </w:tcPr>
          <w:p>
            <w:pPr>
              <w:spacing w:after="0"/>
              <w:rPr>
                <w:sz w:val="19"/>
                <w:szCs w:val="19"/>
                <w:color w:val="auto"/>
              </w:rPr>
            </w:pPr>
          </w:p>
        </w:tc>
      </w:tr>
      <w:tr>
        <w:trPr>
          <w:trHeight w:val="210"/>
        </w:trPr>
        <w:tc>
          <w:tcPr>
            <w:tcW w:w="7140" w:type="dxa"/>
            <w:vAlign w:val="bottom"/>
          </w:tcPr>
          <w:p>
            <w:pPr>
              <w:ind w:left="2300"/>
              <w:spacing w:after="0"/>
              <w:rPr>
                <w:sz w:val="20"/>
                <w:szCs w:val="20"/>
                <w:color w:val="auto"/>
              </w:rPr>
            </w:pPr>
            <w:r>
              <w:rPr>
                <w:rFonts w:ascii="Arial" w:cs="Arial" w:eastAsia="Arial" w:hAnsi="Arial"/>
                <w:sz w:val="16"/>
                <w:szCs w:val="16"/>
                <w:color w:val="auto"/>
              </w:rPr>
              <w:t>Estimate of contractual cash flows not expected to be collected</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76,503</w:t>
            </w:r>
          </w:p>
        </w:tc>
        <w:tc>
          <w:tcPr>
            <w:tcW w:w="2300" w:type="dxa"/>
            <w:vAlign w:val="bottom"/>
          </w:tcPr>
          <w:p>
            <w:pPr>
              <w:spacing w:after="0"/>
              <w:rPr>
                <w:sz w:val="18"/>
                <w:szCs w:val="18"/>
                <w:color w:val="auto"/>
              </w:rPr>
            </w:pPr>
          </w:p>
        </w:tc>
      </w:tr>
    </w:tbl>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discloses the impact of the acquisitions of Three Shores and First Madison Bank &amp; Trust (“FMBT”), which United acquired on May 1, 2019, since the respective acquisition dates through September 30 in the year of acquisition. The table also presents certain pro forma information as if Three Shores and FMBT had been acquired on January 1, 2019 and January 1, 2018, respectively. These results combine the historical results of the acquired entity with United’s consolidated statement of income. Adjustments were made for the estimated impact of certain fair value adjustments and other acquisition-related activity; however pro forma financial results presented are not necessarily indicative of what would have occurred had the acquisitions taken place in earlier years.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Merger-related costs from the Three Shores acquisition of $3.36 million and $3.86 million, respectively, have been excluded from the three and nine months ended September 30, 2020 pro forma information presented below and included in the three and nine months ended September 30, 2019 pro forma information presented below. Merger-related costs from the FMBT acquisition of $756,000 and $1.78 million, respectively, have been excluded from the three and nine months ended September 30, 2019 pro forma information presented below. The actual results and pro forma information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Pr>
          <w:p>
            <w:pPr>
              <w:spacing w:after="0"/>
              <w:rPr>
                <w:sz w:val="16"/>
                <w:szCs w:val="16"/>
                <w:color w:val="auto"/>
              </w:rPr>
            </w:pPr>
          </w:p>
        </w:tc>
        <w:tc>
          <w:tcPr>
            <w:tcW w:w="234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September 30,</w:t>
            </w:r>
          </w:p>
        </w:tc>
        <w:tc>
          <w:tcPr>
            <w:tcW w:w="200" w:type="dxa"/>
            <w:vAlign w:val="bottom"/>
          </w:tcPr>
          <w:p>
            <w:pPr>
              <w:spacing w:after="0"/>
              <w:rPr>
                <w:sz w:val="18"/>
                <w:szCs w:val="18"/>
                <w:color w:val="auto"/>
              </w:rPr>
            </w:pPr>
          </w:p>
        </w:tc>
        <w:tc>
          <w:tcPr>
            <w:tcW w:w="234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58"/>
        </w:trPr>
        <w:tc>
          <w:tcPr>
            <w:tcW w:w="5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2"/>
              </w:rPr>
              <w:t>Net Income</w:t>
            </w: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Revenue</w:t>
            </w: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19"/>
              <w:spacing w:after="0" w:line="158" w:lineRule="exact"/>
              <w:rPr>
                <w:sz w:val="20"/>
                <w:szCs w:val="20"/>
                <w:color w:val="auto"/>
              </w:rPr>
            </w:pPr>
            <w:r>
              <w:rPr>
                <w:rFonts w:ascii="Arial" w:cs="Arial" w:eastAsia="Arial" w:hAnsi="Arial"/>
                <w:sz w:val="16"/>
                <w:szCs w:val="16"/>
                <w:b w:val="1"/>
                <w:bCs w:val="1"/>
                <w:color w:val="auto"/>
                <w:w w:val="97"/>
              </w:rPr>
              <w:t>Net Income</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(Loss)</w:t>
            </w: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ind w:right="31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Three Shores results included in statement of income since acquisition date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66"/>
        </w:trPr>
        <w:tc>
          <w:tcPr>
            <w:tcW w:w="5900" w:type="dxa"/>
            <w:vAlign w:val="bottom"/>
          </w:tcPr>
          <w:p>
            <w:pPr>
              <w:ind w:left="20"/>
              <w:spacing w:after="0" w:line="166" w:lineRule="exact"/>
              <w:rPr>
                <w:sz w:val="20"/>
                <w:szCs w:val="20"/>
                <w:color w:val="auto"/>
              </w:rPr>
            </w:pPr>
            <w:r>
              <w:rPr>
                <w:rFonts w:ascii="Arial" w:cs="Arial" w:eastAsia="Arial" w:hAnsi="Arial"/>
                <w:sz w:val="16"/>
                <w:szCs w:val="16"/>
                <w:color w:val="auto"/>
                <w:w w:val="95"/>
              </w:rPr>
              <w:t>Supplemental consolidated pro forma as if Three Shores had been acquired January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152,257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47,827</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418,950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112,103</w:t>
            </w: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5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0" w:type="dxa"/>
            <w:vAlign w:val="bottom"/>
          </w:tcPr>
          <w:p>
            <w:pPr>
              <w:spacing w:after="0"/>
              <w:rPr>
                <w:sz w:val="1"/>
                <w:szCs w:val="1"/>
                <w:color w:val="auto"/>
              </w:rPr>
            </w:pPr>
          </w:p>
        </w:tc>
      </w:tr>
      <w:tr>
        <w:trPr>
          <w:trHeight w:val="166"/>
        </w:trPr>
        <w:tc>
          <w:tcPr>
            <w:tcW w:w="5900" w:type="dxa"/>
            <w:vAlign w:val="bottom"/>
          </w:tcPr>
          <w:p>
            <w:pPr>
              <w:ind w:left="20"/>
              <w:spacing w:after="0" w:line="166" w:lineRule="exact"/>
              <w:rPr>
                <w:sz w:val="20"/>
                <w:szCs w:val="20"/>
                <w:color w:val="auto"/>
              </w:rPr>
            </w:pPr>
            <w:r>
              <w:rPr>
                <w:rFonts w:ascii="Arial" w:cs="Arial" w:eastAsia="Arial" w:hAnsi="Arial"/>
                <w:sz w:val="16"/>
                <w:szCs w:val="16"/>
                <w:color w:val="auto"/>
                <w:w w:val="91"/>
              </w:rPr>
              <w:t>Supplemental consolidated pro forma as if Three Shores had been acquired on January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163,430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53,118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473,556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153,675</w:t>
            </w:r>
          </w:p>
        </w:tc>
        <w:tc>
          <w:tcPr>
            <w:tcW w:w="0" w:type="dxa"/>
            <w:vAlign w:val="bottom"/>
          </w:tcPr>
          <w:p>
            <w:pPr>
              <w:spacing w:after="0"/>
              <w:rPr>
                <w:sz w:val="1"/>
                <w:szCs w:val="1"/>
                <w:color w:val="auto"/>
              </w:rPr>
            </w:pPr>
          </w:p>
        </w:tc>
      </w:tr>
      <w:tr>
        <w:trPr>
          <w:trHeight w:val="206"/>
        </w:trPr>
        <w:tc>
          <w:tcPr>
            <w:tcW w:w="5900" w:type="dxa"/>
            <w:vAlign w:val="bottom"/>
          </w:tcPr>
          <w:p>
            <w:pPr>
              <w:ind w:left="20"/>
              <w:spacing w:after="0"/>
              <w:rPr>
                <w:sz w:val="20"/>
                <w:szCs w:val="20"/>
                <w:color w:val="auto"/>
              </w:rPr>
            </w:pPr>
            <w:r>
              <w:rPr>
                <w:rFonts w:ascii="Arial" w:cs="Arial" w:eastAsia="Arial" w:hAnsi="Arial"/>
                <w:sz w:val="16"/>
                <w:szCs w:val="16"/>
                <w:color w:val="auto"/>
              </w:rPr>
              <w:t>2019 and FMBT had been acquired January 1, 2018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basis, unrealized gains and losses and fair value of debt securities held-to-maturity as of the dates indicated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Amortized</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40" w:type="dxa"/>
            <w:vAlign w:val="bottom"/>
          </w:tcPr>
          <w:p>
            <w:pPr>
              <w:spacing w:after="0"/>
              <w:rPr>
                <w:sz w:val="16"/>
                <w:szCs w:val="16"/>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Fair</w:t>
            </w:r>
          </w:p>
        </w:tc>
      </w:tr>
      <w:tr>
        <w:trPr>
          <w:trHeight w:val="213"/>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Value</w:t>
            </w:r>
          </w:p>
        </w:tc>
      </w:tr>
      <w:tr>
        <w:trPr>
          <w:trHeight w:val="212"/>
        </w:trPr>
        <w:tc>
          <w:tcPr>
            <w:tcW w:w="44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2020</w:t>
            </w: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07"/>
        </w:trPr>
        <w:tc>
          <w:tcPr>
            <w:tcW w:w="4440" w:type="dxa"/>
            <w:vAlign w:val="bottom"/>
          </w:tcPr>
          <w:p>
            <w:pPr>
              <w:ind w:left="12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10,616</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10,762</w:t>
            </w:r>
          </w:p>
        </w:tc>
      </w:tr>
      <w:tr>
        <w:trPr>
          <w:trHeight w:val="219"/>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169,352</w:t>
            </w:r>
          </w:p>
        </w:tc>
      </w:tr>
      <w:tr>
        <w:trPr>
          <w:trHeight w:val="213"/>
        </w:trPr>
        <w:tc>
          <w:tcPr>
            <w:tcW w:w="4440" w:type="dxa"/>
            <w:vAlign w:val="bottom"/>
          </w:tcPr>
          <w:p>
            <w:pPr>
              <w:ind w:left="120"/>
              <w:spacing w:after="0"/>
              <w:rPr>
                <w:sz w:val="20"/>
                <w:szCs w:val="20"/>
                <w:color w:val="auto"/>
              </w:rPr>
            </w:pPr>
            <w:r>
              <w:rPr>
                <w:rFonts w:ascii="Arial" w:cs="Arial" w:eastAsia="Arial" w:hAnsi="Arial"/>
                <w:sz w:val="16"/>
                <w:szCs w:val="16"/>
                <w:color w:val="auto"/>
              </w:rPr>
              <w:t>Residential mortgage-backed securities, Agency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125,011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130,160</w:t>
            </w: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mortgage-backed, Agency</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103,546</w:t>
            </w:r>
          </w:p>
        </w:tc>
      </w:tr>
      <w:tr>
        <w:trPr>
          <w:trHeight w:val="213"/>
        </w:trPr>
        <w:tc>
          <w:tcPr>
            <w:tcW w:w="444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398,373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15,599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413,820</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12"/>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47,044</w:t>
            </w:r>
          </w:p>
        </w:tc>
      </w:tr>
      <w:tr>
        <w:trPr>
          <w:trHeight w:val="213"/>
        </w:trPr>
        <w:tc>
          <w:tcPr>
            <w:tcW w:w="4440" w:type="dxa"/>
            <w:vAlign w:val="bottom"/>
          </w:tcPr>
          <w:p>
            <w:pPr>
              <w:ind w:left="120"/>
              <w:spacing w:after="0"/>
              <w:rPr>
                <w:sz w:val="20"/>
                <w:szCs w:val="20"/>
                <w:color w:val="auto"/>
              </w:rPr>
            </w:pPr>
            <w:r>
              <w:rPr>
                <w:rFonts w:ascii="Arial" w:cs="Arial" w:eastAsia="Arial" w:hAnsi="Arial"/>
                <w:sz w:val="16"/>
                <w:szCs w:val="16"/>
                <w:color w:val="auto"/>
              </w:rPr>
              <w:t>Residential mortgage-backed securities, Agency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153,967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155,287</w:t>
            </w:r>
          </w:p>
        </w:tc>
      </w:tr>
      <w:tr>
        <w:trPr>
          <w:trHeight w:val="216"/>
        </w:trPr>
        <w:tc>
          <w:tcPr>
            <w:tcW w:w="44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mortgage-backed, Agency</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85,573</w:t>
            </w:r>
          </w:p>
        </w:tc>
      </w:tr>
      <w:tr>
        <w:trPr>
          <w:trHeight w:val="213"/>
        </w:trPr>
        <w:tc>
          <w:tcPr>
            <w:tcW w:w="444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283,533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287,904</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Amortized</w:t>
            </w: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Gross Unrealized</w:t>
            </w:r>
          </w:p>
        </w:tc>
        <w:tc>
          <w:tcPr>
            <w:tcW w:w="160" w:type="dxa"/>
            <w:vAlign w:val="bottom"/>
          </w:tcPr>
          <w:p>
            <w:pPr>
              <w:spacing w:after="0"/>
              <w:rPr>
                <w:sz w:val="16"/>
                <w:szCs w:val="16"/>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40" w:type="dxa"/>
            <w:vAlign w:val="bottom"/>
          </w:tcPr>
          <w:p>
            <w:pPr>
              <w:spacing w:after="0"/>
              <w:rPr>
                <w:sz w:val="16"/>
                <w:szCs w:val="16"/>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Fair</w:t>
            </w:r>
          </w:p>
        </w:tc>
      </w:tr>
      <w:tr>
        <w:trPr>
          <w:trHeight w:val="213"/>
        </w:trPr>
        <w:tc>
          <w:tcPr>
            <w:tcW w:w="4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8"/>
                <w:szCs w:val="18"/>
                <w:color w:val="auto"/>
              </w:rPr>
            </w:pPr>
          </w:p>
        </w:tc>
        <w:tc>
          <w:tcPr>
            <w:tcW w:w="1280" w:type="dxa"/>
            <w:vAlign w:val="bottom"/>
          </w:tcPr>
          <w:p>
            <w:pPr>
              <w:jc w:val="right"/>
              <w:ind w:right="539"/>
              <w:spacing w:after="0"/>
              <w:rPr>
                <w:sz w:val="20"/>
                <w:szCs w:val="20"/>
                <w:color w:val="auto"/>
              </w:rPr>
            </w:pPr>
            <w:r>
              <w:rPr>
                <w:rFonts w:ascii="Arial" w:cs="Arial" w:eastAsia="Arial" w:hAnsi="Arial"/>
                <w:sz w:val="16"/>
                <w:szCs w:val="16"/>
                <w:b w:val="1"/>
                <w:bCs w:val="1"/>
                <w:color w:val="auto"/>
              </w:rPr>
              <w:t>Value</w:t>
            </w:r>
          </w:p>
        </w:tc>
      </w:tr>
      <w:tr>
        <w:trPr>
          <w:trHeight w:val="212"/>
        </w:trPr>
        <w:tc>
          <w:tcPr>
            <w:tcW w:w="44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2020</w:t>
            </w:r>
          </w:p>
        </w:tc>
        <w:tc>
          <w:tcPr>
            <w:tcW w:w="2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07"/>
        </w:trPr>
        <w:tc>
          <w:tcPr>
            <w:tcW w:w="4440" w:type="dxa"/>
            <w:vAlign w:val="bottom"/>
          </w:tcPr>
          <w:p>
            <w:pPr>
              <w:ind w:left="20"/>
              <w:spacing w:after="0"/>
              <w:rPr>
                <w:sz w:val="20"/>
                <w:szCs w:val="20"/>
                <w:color w:val="auto"/>
              </w:rPr>
            </w:pPr>
            <w:r>
              <w:rPr>
                <w:rFonts w:ascii="Arial" w:cs="Arial" w:eastAsia="Arial" w:hAnsi="Arial"/>
                <w:sz w:val="16"/>
                <w:szCs w:val="16"/>
                <w:color w:val="auto"/>
              </w:rPr>
              <w:t>U.S. Treasuries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123,534</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128,534</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51,745</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239,190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19,999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259,176</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1,038,637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1,070,133</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218,097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11,574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229,671</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386,340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394,517</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97,758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99,270</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458,741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457,402</w:t>
            </w:r>
          </w:p>
        </w:tc>
      </w:tr>
      <w:tr>
        <w:trPr>
          <w:trHeight w:val="213"/>
        </w:trPr>
        <w:tc>
          <w:tcPr>
            <w:tcW w:w="444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2,613,609</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79,136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2,690,448</w:t>
            </w: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4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26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r>
      <w:tr>
        <w:trPr>
          <w:trHeight w:val="212"/>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154,618</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3,035</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214,677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226,490</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1,030,948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1,042,244</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Non-agency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256,781</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Commercial mortgage-backed, Agency</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266,770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268,903</w:t>
            </w:r>
          </w:p>
        </w:tc>
      </w:tr>
      <w:tr>
        <w:trPr>
          <w:trHeight w:val="219"/>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mortgage-backed, Non-agency</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16,050</w:t>
            </w:r>
          </w:p>
        </w:tc>
      </w:tr>
      <w:tr>
        <w:trPr>
          <w:trHeight w:val="213"/>
        </w:trPr>
        <w:tc>
          <w:tcPr>
            <w:tcW w:w="444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202,131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203,091</w:t>
            </w: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2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104,298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103,369</w:t>
            </w:r>
          </w:p>
        </w:tc>
      </w:tr>
      <w:tr>
        <w:trPr>
          <w:trHeight w:val="213"/>
        </w:trPr>
        <w:tc>
          <w:tcPr>
            <w:tcW w:w="4440" w:type="dxa"/>
            <w:vAlign w:val="bottom"/>
          </w:tcPr>
          <w:p>
            <w:pPr>
              <w:ind w:left="1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2,240,607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36,982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3,008</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2,274,581</w:t>
            </w:r>
          </w:p>
        </w:tc>
      </w:tr>
      <w:tr>
        <w:trPr>
          <w:trHeight w:val="20"/>
        </w:trPr>
        <w:tc>
          <w:tcPr>
            <w:tcW w:w="4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$903 million and $918 million were pledged, primarily to secure public deposits, at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5"/>
          </w:tcPr>
          <w:p>
            <w:pPr>
              <w:ind w:left="280"/>
              <w:spacing w:after="0"/>
              <w:rPr>
                <w:sz w:val="20"/>
                <w:szCs w:val="20"/>
                <w:color w:val="auto"/>
              </w:rPr>
            </w:pPr>
            <w:r>
              <w:rPr>
                <w:rFonts w:ascii="Arial" w:cs="Arial" w:eastAsia="Arial" w:hAnsi="Arial"/>
                <w:sz w:val="16"/>
                <w:szCs w:val="16"/>
                <w:b w:val="1"/>
                <w:bCs w:val="1"/>
                <w:color w:val="auto"/>
              </w:rPr>
              <w:t>Less than 12 Months</w:t>
            </w:r>
          </w:p>
        </w:tc>
        <w:tc>
          <w:tcPr>
            <w:tcW w:w="120" w:type="dxa"/>
            <w:vAlign w:val="bottom"/>
          </w:tcPr>
          <w:p>
            <w:pPr>
              <w:spacing w:after="0"/>
              <w:rPr>
                <w:sz w:val="18"/>
                <w:szCs w:val="18"/>
                <w:color w:val="auto"/>
              </w:rPr>
            </w:pPr>
          </w:p>
        </w:tc>
        <w:tc>
          <w:tcPr>
            <w:tcW w:w="2240" w:type="dxa"/>
            <w:vAlign w:val="bottom"/>
            <w:gridSpan w:val="5"/>
          </w:tcPr>
          <w:p>
            <w:pPr>
              <w:ind w:left="3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20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2020</w:t>
            </w: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4,972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4,972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2"/>
        </w:trPr>
        <w:tc>
          <w:tcPr>
            <w:tcW w:w="4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200" w:type="dxa"/>
            <w:vAlign w:val="bottom"/>
          </w:tcPr>
          <w:p>
            <w:pPr>
              <w:ind w:left="2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10,117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10,117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3"/>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Commercial mortgage-backed, Agency</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23,526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8"/>
        </w:trPr>
        <w:tc>
          <w:tcPr>
            <w:tcW w:w="4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49,922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97,929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5"/>
          </w:tcPr>
          <w:p>
            <w:pPr>
              <w:ind w:left="26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220" w:type="dxa"/>
            <w:vAlign w:val="bottom"/>
            <w:gridSpan w:val="5"/>
          </w:tcPr>
          <w:p>
            <w:pPr>
              <w:ind w:left="32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2"/>
        </w:trPr>
        <w:tc>
          <w:tcPr>
            <w:tcW w:w="41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 of September 30, 2020</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7,442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7,442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111,540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112,289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110,018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58,305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168,323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269,439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59,054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328,493</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2,297</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 of December 31, 2019</w:t>
            </w: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Residential mortgage-backed securities, Agency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228,611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246,905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mortgage-backed, Agency</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Commercial mortgage-backed, Non-agency</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Asset-backed securities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71,284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w:t>
            </w:r>
          </w:p>
        </w:tc>
        <w:tc>
          <w:tcPr>
            <w:tcW w:w="0" w:type="dxa"/>
            <w:vAlign w:val="bottom"/>
          </w:tcPr>
          <w:p>
            <w:pPr>
              <w:spacing w:after="0"/>
              <w:rPr>
                <w:sz w:val="1"/>
                <w:szCs w:val="1"/>
                <w:color w:val="auto"/>
              </w:rPr>
            </w:pPr>
          </w:p>
        </w:tc>
      </w:tr>
      <w:tr>
        <w:trPr>
          <w:trHeight w:val="238"/>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unrealized loss position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281,051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377,714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2020, there were 57 debt securities available-for-sale and four debt securities held-to-maturity that were in an unrealized loss position. United does not intend to sell nor does it believe it will be required to sell securities in an unrealized loss position prior to the recovery of their amortized cost basis. Unrealized losses at September 30, 2020 were primarily attributable to changes in interest rates.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impairment charges were recognized during the three and nine months ended September 30, 2019. At adoption of CECL on January 1, 2020 and at September 30, 2020, calculated credit losses on held-to-maturity debt securities were not material due to the high credit quality of the portfolio, which included securities issued or guaranteed by U.S. Government agencies and high credit quality municipal securities. As a result, no ACL was recorded on the held-to-maturity portfolio at September 30, 2020. In addition, at September 30, 2020, there was no ACL related to the available-for-sale portfolio. See Note 1 for additional details on the adoption of CECL as it relates to the securities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2020 and 2019 </w:t>
      </w:r>
      <w:r>
        <w:rPr>
          <w:rFonts w:ascii="Arial" w:cs="Arial" w:eastAsia="Arial" w:hAnsi="Arial"/>
          <w:sz w:val="18"/>
          <w:szCs w:val="18"/>
          <w:i w:val="1"/>
          <w:iCs w:val="1"/>
          <w:color w:val="auto"/>
        </w:rPr>
        <w:t>(in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5"/>
          </w:tcPr>
          <w:p>
            <w:pPr>
              <w:ind w:left="32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9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209"/>
        </w:trPr>
        <w:tc>
          <w:tcPr>
            <w:tcW w:w="4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2019</w:t>
            </w:r>
          </w:p>
        </w:tc>
        <w:tc>
          <w:tcPr>
            <w:tcW w:w="920" w:type="dxa"/>
            <w:vAlign w:val="bottom"/>
            <w:tcBorders>
              <w:bottom w:val="single" w:sz="8" w:color="CCEEFF"/>
            </w:tcBorders>
          </w:tcPr>
          <w:p>
            <w:pPr>
              <w:spacing w:after="0"/>
              <w:rPr>
                <w:sz w:val="18"/>
                <w:szCs w:val="18"/>
                <w:color w:val="auto"/>
              </w:rPr>
            </w:pPr>
          </w:p>
        </w:tc>
      </w:tr>
      <w:tr>
        <w:trPr>
          <w:trHeight w:val="232"/>
        </w:trPr>
        <w:tc>
          <w:tcPr>
            <w:tcW w:w="49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Proceeds from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39,365</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225,883</w:t>
            </w:r>
          </w:p>
        </w:tc>
        <w:tc>
          <w:tcPr>
            <w:tcW w:w="920" w:type="dxa"/>
            <w:vAlign w:val="bottom"/>
            <w:shd w:val="clear" w:color="auto" w:fill="CCEEFF"/>
          </w:tcPr>
          <w:p>
            <w:pPr>
              <w:spacing w:after="0"/>
              <w:rPr>
                <w:sz w:val="20"/>
                <w:szCs w:val="20"/>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49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Gross gains on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920" w:type="dxa"/>
            <w:vAlign w:val="bottom"/>
            <w:shd w:val="clear" w:color="auto" w:fill="CCEEFF"/>
          </w:tcPr>
          <w:p>
            <w:pPr>
              <w:spacing w:after="0"/>
              <w:rPr>
                <w:sz w:val="18"/>
                <w:szCs w:val="18"/>
                <w:color w:val="auto"/>
              </w:rPr>
            </w:pPr>
          </w:p>
        </w:tc>
      </w:tr>
      <w:tr>
        <w:trPr>
          <w:trHeight w:val="213"/>
        </w:trPr>
        <w:tc>
          <w:tcPr>
            <w:tcW w:w="4980" w:type="dxa"/>
            <w:vAlign w:val="bottom"/>
            <w:tcBorders>
              <w:bottom w:val="single" w:sz="8" w:color="CCEEFF"/>
            </w:tcBorders>
          </w:tcPr>
          <w:p>
            <w:pPr>
              <w:ind w:left="920"/>
              <w:spacing w:after="0"/>
              <w:rPr>
                <w:sz w:val="20"/>
                <w:szCs w:val="20"/>
                <w:color w:val="auto"/>
              </w:rPr>
            </w:pPr>
            <w:r>
              <w:rPr>
                <w:rFonts w:ascii="Arial" w:cs="Arial" w:eastAsia="Arial" w:hAnsi="Arial"/>
                <w:sz w:val="16"/>
                <w:szCs w:val="16"/>
                <w:color w:val="auto"/>
              </w:rPr>
              <w:t>Gross losses on sales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(1,894)</w:t>
            </w:r>
          </w:p>
        </w:tc>
        <w:tc>
          <w:tcPr>
            <w:tcW w:w="920" w:type="dxa"/>
            <w:vAlign w:val="bottom"/>
            <w:tcBorders>
              <w:bottom w:val="single" w:sz="8" w:color="CCEEFF"/>
            </w:tcBorders>
          </w:tcPr>
          <w:p>
            <w:pPr>
              <w:spacing w:after="0"/>
              <w:rPr>
                <w:sz w:val="18"/>
                <w:szCs w:val="18"/>
                <w:color w:val="auto"/>
              </w:rPr>
            </w:pPr>
          </w:p>
        </w:tc>
      </w:tr>
      <w:tr>
        <w:trPr>
          <w:trHeight w:val="233"/>
        </w:trPr>
        <w:tc>
          <w:tcPr>
            <w:tcW w:w="498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Net gains (losses) on sales of securities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920" w:type="dxa"/>
            <w:vAlign w:val="bottom"/>
            <w:shd w:val="clear" w:color="auto" w:fill="CCEEFF"/>
          </w:tcPr>
          <w:p>
            <w:pPr>
              <w:spacing w:after="0"/>
              <w:rPr>
                <w:sz w:val="20"/>
                <w:szCs w:val="20"/>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163"/>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6"/>
        </w:trPr>
        <w:tc>
          <w:tcPr>
            <w:tcW w:w="4980" w:type="dxa"/>
            <w:vAlign w:val="bottom"/>
            <w:shd w:val="clear" w:color="auto" w:fill="CCEEFF"/>
          </w:tcPr>
          <w:p>
            <w:pPr>
              <w:ind w:left="920"/>
              <w:spacing w:after="0"/>
              <w:rPr>
                <w:sz w:val="20"/>
                <w:szCs w:val="20"/>
                <w:color w:val="auto"/>
              </w:rPr>
            </w:pPr>
            <w:r>
              <w:rPr>
                <w:rFonts w:ascii="Arial" w:cs="Arial" w:eastAsia="Arial" w:hAnsi="Arial"/>
                <w:sz w:val="16"/>
                <w:szCs w:val="16"/>
                <w:color w:val="auto"/>
              </w:rPr>
              <w:t>Income tax expense (benefit) attributable to sales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920" w:type="dxa"/>
            <w:vAlign w:val="bottom"/>
            <w:shd w:val="clear" w:color="auto" w:fill="CCEEFF"/>
          </w:tcPr>
          <w:p>
            <w:pPr>
              <w:spacing w:after="0"/>
              <w:rPr>
                <w:sz w:val="20"/>
                <w:szCs w:val="20"/>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amortized cost and fair value of debt securities available-for-sale and held-to-maturity at September 30, 2020,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 Expected maturities may differ from contractual maturities because issuers and borrowers may have the right to call or prepay obligations.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ind w:left="900"/>
              <w:spacing w:after="0"/>
              <w:rPr>
                <w:sz w:val="20"/>
                <w:szCs w:val="20"/>
                <w:color w:val="auto"/>
              </w:rPr>
            </w:pPr>
            <w:r>
              <w:rPr>
                <w:rFonts w:ascii="Arial" w:cs="Arial" w:eastAsia="Arial" w:hAnsi="Arial"/>
                <w:sz w:val="16"/>
                <w:szCs w:val="16"/>
                <w:b w:val="1"/>
                <w:bCs w:val="1"/>
                <w:color w:val="auto"/>
              </w:rPr>
              <w:t>Available-for-Sale</w:t>
            </w:r>
          </w:p>
        </w:tc>
        <w:tc>
          <w:tcPr>
            <w:tcW w:w="200" w:type="dxa"/>
            <w:vAlign w:val="bottom"/>
          </w:tcPr>
          <w:p>
            <w:pPr>
              <w:spacing w:after="0"/>
              <w:rPr>
                <w:sz w:val="18"/>
                <w:szCs w:val="18"/>
                <w:color w:val="auto"/>
              </w:rPr>
            </w:pPr>
          </w:p>
        </w:tc>
        <w:tc>
          <w:tcPr>
            <w:tcW w:w="328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Held-to-Maturity</w:t>
            </w:r>
          </w:p>
        </w:tc>
      </w:tr>
      <w:tr>
        <w:trPr>
          <w:trHeight w:val="210"/>
        </w:trPr>
        <w:tc>
          <w:tcPr>
            <w:tcW w:w="4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213"/>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128,534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123,534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24,772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10,616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10,762</w:t>
            </w:r>
          </w:p>
        </w:tc>
      </w:tr>
      <w:tr>
        <w:trPr>
          <w:trHeight w:val="209"/>
        </w:trPr>
        <w:tc>
          <w:tcPr>
            <w:tcW w:w="4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51,312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10,616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10,762</w:t>
            </w:r>
          </w:p>
        </w:tc>
      </w:tr>
      <w:tr>
        <w:trPr>
          <w:trHeight w:val="199"/>
        </w:trPr>
        <w:tc>
          <w:tcPr>
            <w:tcW w:w="4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Within 1 year</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9"/>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14,722</w:t>
            </w: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55,609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9,557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10,942</w:t>
            </w:r>
          </w:p>
        </w:tc>
      </w:tr>
      <w:tr>
        <w:trPr>
          <w:trHeight w:val="216"/>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128,404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140,903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143,482</w:t>
            </w:r>
          </w:p>
        </w:tc>
      </w:tr>
      <w:tr>
        <w:trPr>
          <w:trHeight w:val="210"/>
        </w:trPr>
        <w:tc>
          <w:tcPr>
            <w:tcW w:w="4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259,176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163,180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169,352</w:t>
            </w:r>
          </w:p>
        </w:tc>
      </w:tr>
      <w:tr>
        <w:trPr>
          <w:trHeight w:val="199"/>
        </w:trPr>
        <w:tc>
          <w:tcPr>
            <w:tcW w:w="4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Within 1 year</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36,373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37,316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5 to 10 years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9"/>
        </w:trPr>
        <w:tc>
          <w:tcPr>
            <w:tcW w:w="4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securities not due at a single maturity date:</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458,741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457,402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1,256,734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130,160</w:t>
            </w: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386,340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394,517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99,566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103,546</w:t>
            </w:r>
          </w:p>
        </w:tc>
      </w:tr>
      <w:tr>
        <w:trPr>
          <w:trHeight w:val="260"/>
        </w:trPr>
        <w:tc>
          <w:tcPr>
            <w:tcW w:w="41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16"/>
        </w:trPr>
        <w:tc>
          <w:tcPr>
            <w:tcW w:w="418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2,613,609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2,690,448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398,373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413,820</w:t>
            </w:r>
          </w:p>
        </w:tc>
      </w:tr>
      <w:tr>
        <w:trPr>
          <w:trHeight w:val="21"/>
        </w:trPr>
        <w:tc>
          <w:tcPr>
            <w:tcW w:w="4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Leases and Allowance for Credit Losses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5880" w:type="dxa"/>
            <w:vAlign w:val="bottom"/>
            <w:tcBorders>
              <w:top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Owner occupied commercial real estate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2,008,674</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1,720,227</w:t>
            </w:r>
          </w:p>
        </w:tc>
        <w:tc>
          <w:tcPr>
            <w:tcW w:w="1680" w:type="dxa"/>
            <w:vAlign w:val="bottom"/>
            <w:tcBorders>
              <w:top w:val="single" w:sz="8" w:color="CCEEFF"/>
            </w:tcBorders>
            <w:shd w:val="clear" w:color="auto" w:fill="CCEEFF"/>
          </w:tcPr>
          <w:p>
            <w:pPr>
              <w:spacing w:after="0"/>
              <w:rPr>
                <w:sz w:val="18"/>
                <w:szCs w:val="18"/>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Income producing commercial real estate</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2,493,625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2,007,950</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3,104,868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1,220,657</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Commercial construction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981,371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976,215</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Equipment financing</w:t>
            </w: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823,022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744,544</w:t>
            </w:r>
          </w:p>
        </w:tc>
        <w:tc>
          <w:tcPr>
            <w:tcW w:w="1680" w:type="dxa"/>
            <w:vAlign w:val="bottom"/>
            <w:shd w:val="clear" w:color="auto" w:fill="CCEEFF"/>
          </w:tcPr>
          <w:p>
            <w:pPr>
              <w:spacing w:after="0"/>
              <w:rPr>
                <w:sz w:val="19"/>
                <w:szCs w:val="19"/>
                <w:color w:val="auto"/>
              </w:rPr>
            </w:pPr>
          </w:p>
        </w:tc>
      </w:tr>
      <w:tr>
        <w:trPr>
          <w:trHeight w:val="207"/>
        </w:trPr>
        <w:tc>
          <w:tcPr>
            <w:tcW w:w="5880" w:type="dxa"/>
            <w:vAlign w:val="bottom"/>
          </w:tcPr>
          <w:p>
            <w:pPr>
              <w:ind w:left="1860"/>
              <w:spacing w:after="0"/>
              <w:rPr>
                <w:sz w:val="20"/>
                <w:szCs w:val="20"/>
                <w:color w:val="auto"/>
              </w:rPr>
            </w:pPr>
            <w:r>
              <w:rPr>
                <w:rFonts w:ascii="Arial" w:cs="Arial" w:eastAsia="Arial" w:hAnsi="Arial"/>
                <w:sz w:val="16"/>
                <w:szCs w:val="16"/>
                <w:color w:val="auto"/>
              </w:rPr>
              <w:t>Total commercial</w:t>
            </w:r>
          </w:p>
        </w:tc>
        <w:tc>
          <w:tcPr>
            <w:tcW w:w="14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9,411,560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6,669,593</w:t>
            </w:r>
          </w:p>
        </w:tc>
        <w:tc>
          <w:tcPr>
            <w:tcW w:w="1680" w:type="dxa"/>
            <w:vAlign w:val="bottom"/>
          </w:tcPr>
          <w:p>
            <w:pPr>
              <w:spacing w:after="0"/>
              <w:rPr>
                <w:sz w:val="17"/>
                <w:szCs w:val="17"/>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mortgage</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1,269,548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1,117,616</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Pr>
          <w:p>
            <w:pPr>
              <w:ind w:left="1660"/>
              <w:spacing w:after="0"/>
              <w:rPr>
                <w:sz w:val="20"/>
                <w:szCs w:val="20"/>
                <w:color w:val="auto"/>
              </w:rPr>
            </w:pPr>
            <w:r>
              <w:rPr>
                <w:rFonts w:ascii="Arial" w:cs="Arial" w:eastAsia="Arial" w:hAnsi="Arial"/>
                <w:sz w:val="16"/>
                <w:szCs w:val="16"/>
                <w:color w:val="auto"/>
              </w:rPr>
              <w:t>Home equity lines of credit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706,877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660,675</w:t>
            </w:r>
          </w:p>
        </w:tc>
        <w:tc>
          <w:tcPr>
            <w:tcW w:w="1680" w:type="dxa"/>
            <w:vAlign w:val="bottom"/>
          </w:tcPr>
          <w:p>
            <w:pPr>
              <w:spacing w:after="0"/>
              <w:rPr>
                <w:sz w:val="18"/>
                <w:szCs w:val="18"/>
                <w:color w:val="auto"/>
              </w:rPr>
            </w:pPr>
          </w:p>
        </w:tc>
      </w:tr>
      <w:tr>
        <w:trPr>
          <w:trHeight w:val="219"/>
        </w:trPr>
        <w:tc>
          <w:tcPr>
            <w:tcW w:w="588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Residential construction</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263,266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236,437</w:t>
            </w:r>
          </w:p>
        </w:tc>
        <w:tc>
          <w:tcPr>
            <w:tcW w:w="1680" w:type="dxa"/>
            <w:vAlign w:val="bottom"/>
            <w:shd w:val="clear" w:color="auto" w:fill="CCEEFF"/>
          </w:tcPr>
          <w:p>
            <w:pPr>
              <w:spacing w:after="0"/>
              <w:rPr>
                <w:sz w:val="19"/>
                <w:szCs w:val="19"/>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147,659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128,232</w:t>
            </w:r>
          </w:p>
        </w:tc>
        <w:tc>
          <w:tcPr>
            <w:tcW w:w="1680" w:type="dxa"/>
            <w:vAlign w:val="bottom"/>
            <w:tcBorders>
              <w:bottom w:val="single" w:sz="8" w:color="CCEEFF"/>
            </w:tcBorders>
          </w:tcPr>
          <w:p>
            <w:pPr>
              <w:spacing w:after="0"/>
              <w:rPr>
                <w:sz w:val="18"/>
                <w:szCs w:val="18"/>
                <w:color w:val="auto"/>
              </w:rPr>
            </w:pPr>
          </w:p>
        </w:tc>
      </w:tr>
      <w:tr>
        <w:trPr>
          <w:trHeight w:val="213"/>
        </w:trPr>
        <w:tc>
          <w:tcPr>
            <w:tcW w:w="5880" w:type="dxa"/>
            <w:vAlign w:val="bottom"/>
            <w:shd w:val="clear" w:color="auto" w:fill="CCEEFF"/>
          </w:tcPr>
          <w:p>
            <w:pPr>
              <w:ind w:left="1860"/>
              <w:spacing w:after="0"/>
              <w:rPr>
                <w:sz w:val="20"/>
                <w:szCs w:val="20"/>
                <w:color w:val="auto"/>
              </w:rPr>
            </w:pPr>
            <w:r>
              <w:rPr>
                <w:rFonts w:ascii="Arial" w:cs="Arial" w:eastAsia="Arial" w:hAnsi="Arial"/>
                <w:sz w:val="16"/>
                <w:szCs w:val="16"/>
                <w:color w:val="auto"/>
              </w:rPr>
              <w:t>Total loans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11,798,910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8,812,553</w:t>
            </w:r>
          </w:p>
        </w:tc>
        <w:tc>
          <w:tcPr>
            <w:tcW w:w="1680" w:type="dxa"/>
            <w:vAlign w:val="bottom"/>
            <w:shd w:val="clear" w:color="auto" w:fill="CCEEFF"/>
          </w:tcPr>
          <w:p>
            <w:pPr>
              <w:spacing w:after="0"/>
              <w:rPr>
                <w:sz w:val="18"/>
                <w:szCs w:val="18"/>
                <w:color w:val="auto"/>
              </w:rPr>
            </w:pPr>
          </w:p>
        </w:tc>
      </w:tr>
      <w:tr>
        <w:trPr>
          <w:trHeight w:val="213"/>
        </w:trPr>
        <w:tc>
          <w:tcPr>
            <w:tcW w:w="5880" w:type="dxa"/>
            <w:vAlign w:val="bottom"/>
            <w:tcBorders>
              <w:bottom w:val="single" w:sz="8" w:color="CCEEFF"/>
            </w:tcBorders>
          </w:tcPr>
          <w:p>
            <w:pPr>
              <w:ind w:left="1660"/>
              <w:spacing w:after="0"/>
              <w:rPr>
                <w:sz w:val="20"/>
                <w:szCs w:val="20"/>
                <w:color w:val="auto"/>
              </w:rPr>
            </w:pPr>
            <w:r>
              <w:rPr>
                <w:rFonts w:ascii="Arial" w:cs="Arial" w:eastAsia="Arial" w:hAnsi="Arial"/>
                <w:sz w:val="16"/>
                <w:szCs w:val="16"/>
                <w:color w:val="auto"/>
              </w:rPr>
              <w:t>Less allowance for credit losses - loans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(62,089)</w:t>
            </w:r>
          </w:p>
        </w:tc>
        <w:tc>
          <w:tcPr>
            <w:tcW w:w="1680" w:type="dxa"/>
            <w:vAlign w:val="bottom"/>
            <w:tcBorders>
              <w:bottom w:val="single" w:sz="8" w:color="CCEEFF"/>
            </w:tcBorders>
          </w:tcPr>
          <w:p>
            <w:pPr>
              <w:spacing w:after="0"/>
              <w:rPr>
                <w:sz w:val="18"/>
                <w:szCs w:val="18"/>
                <w:color w:val="auto"/>
              </w:rPr>
            </w:pPr>
          </w:p>
        </w:tc>
      </w:tr>
      <w:tr>
        <w:trPr>
          <w:trHeight w:val="238"/>
        </w:trPr>
        <w:tc>
          <w:tcPr>
            <w:tcW w:w="5880" w:type="dxa"/>
            <w:vAlign w:val="bottom"/>
            <w:tcBorders>
              <w:bottom w:val="single" w:sz="8" w:color="CCEEFF"/>
            </w:tcBorders>
            <w:shd w:val="clear" w:color="auto" w:fill="CCEEFF"/>
          </w:tcPr>
          <w:p>
            <w:pPr>
              <w:ind w:left="1860"/>
              <w:spacing w:after="0"/>
              <w:rPr>
                <w:sz w:val="20"/>
                <w:szCs w:val="20"/>
                <w:color w:val="auto"/>
              </w:rPr>
            </w:pPr>
            <w:r>
              <w:rPr>
                <w:rFonts w:ascii="Arial" w:cs="Arial" w:eastAsia="Arial" w:hAnsi="Arial"/>
                <w:sz w:val="16"/>
                <w:szCs w:val="16"/>
                <w:color w:val="auto"/>
              </w:rPr>
              <w:t>Loans,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11,664,654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8,750,464</w:t>
            </w:r>
          </w:p>
        </w:tc>
        <w:tc>
          <w:tcPr>
            <w:tcW w:w="1680" w:type="dxa"/>
            <w:vAlign w:val="bottom"/>
            <w:tcBorders>
              <w:bottom w:val="single" w:sz="8" w:color="CCEEFF"/>
            </w:tcBorders>
            <w:shd w:val="clear" w:color="auto" w:fill="CCEEFF"/>
          </w:tcPr>
          <w:p>
            <w:pPr>
              <w:spacing w:after="0"/>
              <w:rPr>
                <w:sz w:val="20"/>
                <w:szCs w:val="20"/>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September 30, 2020 included $1.32 billion of PPP loans.</w:t>
      </w:r>
    </w:p>
    <w:p>
      <w:pPr>
        <w:spacing w:after="0" w:line="2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 September 30, 2020 and December 31, 2019, loans totaling $4.05 billion and $4.06 billion, respectively, were pledged as collateral to secure contingent funding sources. At December 31, 2019, the carrying value and outstanding balance of PCI loans were $58.6 million and $83.1 million, respectively.</w:t>
      </w:r>
    </w:p>
    <w:p>
      <w:pPr>
        <w:spacing w:after="0" w:line="15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third quarter and first nine months of 2020, United sold $13.5 million and $31.5 million, respectively, of United States Small Business Administration / United States Department of Agriculture (“SBA/USDA”) guaranteed loans and $950,000 and $24.9 million, respectively, of equipment financing receivables. During the third quarter and first nine months of 2019, United sold $21.0 million and $55.2 million, respectively, of SBA/USDA guaranteed loans. The gains and losses on these loan sales were included in noninterest income on the consolidated statements of income.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At September 30, 2020 and December 31, 2019, equipment financing assets included leases of $36.6 million and $37.4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2020</w:t>
            </w:r>
          </w:p>
        </w:tc>
        <w:tc>
          <w:tcPr>
            <w:tcW w:w="200" w:type="dxa"/>
            <w:vAlign w:val="bottom"/>
          </w:tcPr>
          <w:p>
            <w:pPr>
              <w:spacing w:after="0"/>
              <w:rPr>
                <w:sz w:val="18"/>
                <w:szCs w:val="18"/>
                <w:color w:val="auto"/>
              </w:rPr>
            </w:pPr>
          </w:p>
        </w:tc>
        <w:tc>
          <w:tcPr>
            <w:tcW w:w="33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5760" w:type="dxa"/>
            <w:vAlign w:val="bottom"/>
            <w:tcBorders>
              <w:top w:val="single" w:sz="8" w:color="CCEEFF"/>
            </w:tcBorders>
            <w:shd w:val="clear" w:color="auto" w:fill="CCEEFF"/>
          </w:tcPr>
          <w:p>
            <w:pPr>
              <w:ind w:left="1620"/>
              <w:spacing w:after="0"/>
              <w:rPr>
                <w:sz w:val="20"/>
                <w:szCs w:val="20"/>
                <w:color w:val="auto"/>
              </w:rPr>
            </w:pPr>
            <w:r>
              <w:rPr>
                <w:rFonts w:ascii="Arial" w:cs="Arial" w:eastAsia="Arial" w:hAnsi="Arial"/>
                <w:sz w:val="16"/>
                <w:szCs w:val="16"/>
                <w:color w:val="auto"/>
              </w:rPr>
              <w:t>Minimum future lease payments receivable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39,709</w:t>
            </w:r>
          </w:p>
        </w:tc>
        <w:tc>
          <w:tcPr>
            <w:tcW w:w="1620" w:type="dxa"/>
            <w:vAlign w:val="bottom"/>
            <w:tcBorders>
              <w:top w:val="single" w:sz="8" w:color="CCEEFF"/>
            </w:tcBorders>
            <w:shd w:val="clear" w:color="auto" w:fill="CCEEFF"/>
          </w:tcPr>
          <w:p>
            <w:pPr>
              <w:spacing w:after="0"/>
              <w:rPr>
                <w:sz w:val="18"/>
                <w:szCs w:val="18"/>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Estimated residual value of leased equipment</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3,361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3,631</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Initial direct costs</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Pr>
          <w:p>
            <w:pPr>
              <w:ind w:left="1620"/>
              <w:spacing w:after="0"/>
              <w:rPr>
                <w:sz w:val="20"/>
                <w:szCs w:val="20"/>
                <w:color w:val="auto"/>
              </w:rPr>
            </w:pPr>
            <w:r>
              <w:rPr>
                <w:rFonts w:ascii="Arial" w:cs="Arial" w:eastAsia="Arial" w:hAnsi="Arial"/>
                <w:sz w:val="16"/>
                <w:szCs w:val="16"/>
                <w:color w:val="auto"/>
              </w:rPr>
              <w:t>Security deposits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(989)</w:t>
            </w:r>
          </w:p>
        </w:tc>
        <w:tc>
          <w:tcPr>
            <w:tcW w:w="1620" w:type="dxa"/>
            <w:vAlign w:val="bottom"/>
          </w:tcPr>
          <w:p>
            <w:pPr>
              <w:spacing w:after="0"/>
              <w:rPr>
                <w:sz w:val="18"/>
                <w:szCs w:val="18"/>
                <w:color w:val="auto"/>
              </w:rPr>
            </w:pPr>
          </w:p>
        </w:tc>
      </w:tr>
      <w:tr>
        <w:trPr>
          <w:trHeight w:val="219"/>
        </w:trPr>
        <w:tc>
          <w:tcPr>
            <w:tcW w:w="5760" w:type="dxa"/>
            <w:vAlign w:val="bottom"/>
            <w:shd w:val="clear" w:color="auto" w:fill="CCEEFF"/>
          </w:tcPr>
          <w:p>
            <w:pPr>
              <w:ind w:left="1620"/>
              <w:spacing w:after="0"/>
              <w:rPr>
                <w:sz w:val="20"/>
                <w:szCs w:val="20"/>
                <w:color w:val="auto"/>
              </w:rPr>
            </w:pPr>
            <w:r>
              <w:rPr>
                <w:rFonts w:ascii="Arial" w:cs="Arial" w:eastAsia="Arial" w:hAnsi="Arial"/>
                <w:sz w:val="16"/>
                <w:szCs w:val="16"/>
                <w:color w:val="auto"/>
              </w:rPr>
              <w:t>Purchase accounting premium</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620" w:type="dxa"/>
            <w:vAlign w:val="bottom"/>
            <w:shd w:val="clear" w:color="auto" w:fill="CCEEFF"/>
          </w:tcPr>
          <w:p>
            <w:pPr>
              <w:spacing w:after="0"/>
              <w:rPr>
                <w:sz w:val="19"/>
                <w:szCs w:val="19"/>
                <w:color w:val="auto"/>
              </w:rPr>
            </w:pPr>
          </w:p>
        </w:tc>
      </w:tr>
      <w:tr>
        <w:trPr>
          <w:trHeight w:val="213"/>
        </w:trPr>
        <w:tc>
          <w:tcPr>
            <w:tcW w:w="5760" w:type="dxa"/>
            <w:vAlign w:val="bottom"/>
            <w:tcBorders>
              <w:bottom w:val="single" w:sz="8" w:color="CCEEFF"/>
            </w:tcBorders>
          </w:tcPr>
          <w:p>
            <w:pPr>
              <w:ind w:left="1620"/>
              <w:spacing w:after="0"/>
              <w:rPr>
                <w:sz w:val="20"/>
                <w:szCs w:val="20"/>
                <w:color w:val="auto"/>
              </w:rPr>
            </w:pPr>
            <w:r>
              <w:rPr>
                <w:rFonts w:ascii="Arial" w:cs="Arial" w:eastAsia="Arial" w:hAnsi="Arial"/>
                <w:sz w:val="16"/>
                <w:szCs w:val="16"/>
                <w:color w:val="auto"/>
              </w:rPr>
              <w:t>Unearned income</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(6,088)</w:t>
            </w:r>
          </w:p>
        </w:tc>
        <w:tc>
          <w:tcPr>
            <w:tcW w:w="1620" w:type="dxa"/>
            <w:vAlign w:val="bottom"/>
            <w:tcBorders>
              <w:bottom w:val="single" w:sz="8" w:color="CCEEFF"/>
            </w:tcBorders>
          </w:tcPr>
          <w:p>
            <w:pPr>
              <w:spacing w:after="0"/>
              <w:rPr>
                <w:sz w:val="18"/>
                <w:szCs w:val="18"/>
                <w:color w:val="auto"/>
              </w:rPr>
            </w:pPr>
          </w:p>
        </w:tc>
      </w:tr>
      <w:tr>
        <w:trPr>
          <w:trHeight w:val="238"/>
        </w:trPr>
        <w:tc>
          <w:tcPr>
            <w:tcW w:w="5760" w:type="dxa"/>
            <w:vAlign w:val="bottom"/>
            <w:tcBorders>
              <w:bottom w:val="single" w:sz="8" w:color="CCEEFF"/>
            </w:tcBorders>
            <w:shd w:val="clear" w:color="auto" w:fill="CCEEFF"/>
          </w:tcPr>
          <w:p>
            <w:pPr>
              <w:ind w:left="1800"/>
              <w:spacing w:after="0"/>
              <w:rPr>
                <w:sz w:val="20"/>
                <w:szCs w:val="20"/>
                <w:color w:val="auto"/>
              </w:rPr>
            </w:pPr>
            <w:r>
              <w:rPr>
                <w:rFonts w:ascii="Arial" w:cs="Arial" w:eastAsia="Arial" w:hAnsi="Arial"/>
                <w:sz w:val="16"/>
                <w:szCs w:val="16"/>
                <w:color w:val="auto"/>
              </w:rPr>
              <w:t>Net investment in leases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37,378</w:t>
            </w:r>
          </w:p>
        </w:tc>
        <w:tc>
          <w:tcPr>
            <w:tcW w:w="1620" w:type="dxa"/>
            <w:vAlign w:val="bottom"/>
            <w:tcBorders>
              <w:bottom w:val="single" w:sz="8" w:color="CCEEFF"/>
            </w:tcBorders>
            <w:shd w:val="clear" w:color="auto" w:fill="CCEEFF"/>
          </w:tcPr>
          <w:p>
            <w:pPr>
              <w:spacing w:after="0"/>
              <w:rPr>
                <w:sz w:val="20"/>
                <w:szCs w:val="20"/>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Minimum future lease payments expected to be received from equipment financing lease contracts as of September 30, 2020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80" w:type="dxa"/>
            <w:vAlign w:val="bottom"/>
          </w:tcPr>
          <w:p>
            <w:pPr>
              <w:ind w:left="2700"/>
              <w:spacing w:after="0"/>
              <w:rPr>
                <w:sz w:val="20"/>
                <w:szCs w:val="20"/>
                <w:color w:val="auto"/>
              </w:rPr>
            </w:pPr>
            <w:r>
              <w:rPr>
                <w:rFonts w:ascii="Arial" w:cs="Arial" w:eastAsia="Arial" w:hAnsi="Arial"/>
                <w:sz w:val="16"/>
                <w:szCs w:val="16"/>
                <w:b w:val="1"/>
                <w:bCs w:val="1"/>
                <w:color w:val="auto"/>
              </w:rPr>
              <w:t>Year</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Remainder of 2020</w:t>
            </w:r>
          </w:p>
        </w:tc>
        <w:tc>
          <w:tcPr>
            <w:tcW w:w="5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3,986</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2021</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14,203</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2022</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10,461</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Pr>
          <w:p>
            <w:pPr>
              <w:ind w:left="2700"/>
              <w:spacing w:after="0"/>
              <w:rPr>
                <w:sz w:val="20"/>
                <w:szCs w:val="20"/>
                <w:color w:val="auto"/>
              </w:rPr>
            </w:pPr>
            <w:r>
              <w:rPr>
                <w:rFonts w:ascii="Arial" w:cs="Arial" w:eastAsia="Arial" w:hAnsi="Arial"/>
                <w:sz w:val="16"/>
                <w:szCs w:val="16"/>
                <w:color w:val="auto"/>
              </w:rPr>
              <w:t>2023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6,495</w:t>
            </w:r>
          </w:p>
        </w:tc>
        <w:tc>
          <w:tcPr>
            <w:tcW w:w="2680" w:type="dxa"/>
            <w:vAlign w:val="bottom"/>
          </w:tcPr>
          <w:p>
            <w:pPr>
              <w:spacing w:after="0"/>
              <w:rPr>
                <w:sz w:val="18"/>
                <w:szCs w:val="18"/>
                <w:color w:val="auto"/>
              </w:rPr>
            </w:pPr>
          </w:p>
        </w:tc>
      </w:tr>
      <w:tr>
        <w:trPr>
          <w:trHeight w:val="219"/>
        </w:trPr>
        <w:tc>
          <w:tcPr>
            <w:tcW w:w="6980" w:type="dxa"/>
            <w:vAlign w:val="bottom"/>
            <w:shd w:val="clear" w:color="auto" w:fill="CCEEFF"/>
          </w:tcPr>
          <w:p>
            <w:pPr>
              <w:ind w:left="2700"/>
              <w:spacing w:after="0"/>
              <w:rPr>
                <w:sz w:val="20"/>
                <w:szCs w:val="20"/>
                <w:color w:val="auto"/>
              </w:rPr>
            </w:pPr>
            <w:r>
              <w:rPr>
                <w:rFonts w:ascii="Arial" w:cs="Arial" w:eastAsia="Arial" w:hAnsi="Arial"/>
                <w:sz w:val="16"/>
                <w:szCs w:val="16"/>
                <w:color w:val="auto"/>
              </w:rPr>
              <w:t>2024</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w:t>
            </w:r>
          </w:p>
        </w:tc>
        <w:tc>
          <w:tcPr>
            <w:tcW w:w="26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tcPr>
          <w:p>
            <w:pPr>
              <w:ind w:left="2700"/>
              <w:spacing w:after="0"/>
              <w:rPr>
                <w:sz w:val="20"/>
                <w:szCs w:val="20"/>
                <w:color w:val="auto"/>
              </w:rPr>
            </w:pPr>
            <w:r>
              <w:rPr>
                <w:rFonts w:ascii="Arial" w:cs="Arial" w:eastAsia="Arial" w:hAnsi="Arial"/>
                <w:sz w:val="16"/>
                <w:szCs w:val="16"/>
                <w:color w:val="auto"/>
              </w:rPr>
              <w:t>Thereafter</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2680" w:type="dxa"/>
            <w:vAlign w:val="bottom"/>
            <w:tcBorders>
              <w:bottom w:val="single" w:sz="8" w:color="CCEEFF"/>
            </w:tcBorders>
          </w:tcPr>
          <w:p>
            <w:pPr>
              <w:spacing w:after="0"/>
              <w:rPr>
                <w:sz w:val="18"/>
                <w:szCs w:val="18"/>
                <w:color w:val="auto"/>
              </w:rPr>
            </w:pPr>
          </w:p>
        </w:tc>
      </w:tr>
      <w:tr>
        <w:trPr>
          <w:trHeight w:val="238"/>
        </w:trPr>
        <w:tc>
          <w:tcPr>
            <w:tcW w:w="698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38,769</w:t>
            </w:r>
          </w:p>
        </w:tc>
        <w:tc>
          <w:tcPr>
            <w:tcW w:w="2680" w:type="dxa"/>
            <w:vAlign w:val="bottom"/>
            <w:tcBorders>
              <w:bottom w:val="single" w:sz="8" w:color="CCEEFF"/>
            </w:tcBorders>
            <w:shd w:val="clear" w:color="auto" w:fill="CCEEFF"/>
          </w:tcPr>
          <w:p>
            <w:pPr>
              <w:spacing w:after="0"/>
              <w:rPr>
                <w:sz w:val="20"/>
                <w:szCs w:val="20"/>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changes in the balance of the accretable yield for PCI loans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September 30, 2019</w:t>
            </w:r>
          </w:p>
        </w:tc>
        <w:tc>
          <w:tcPr>
            <w:tcW w:w="760" w:type="dxa"/>
            <w:vAlign w:val="bottom"/>
            <w:tcBorders>
              <w:bottom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spacing w:after="0"/>
              <w:rPr>
                <w:sz w:val="18"/>
                <w:szCs w:val="18"/>
                <w:color w:val="auto"/>
              </w:rPr>
            </w:pP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Nine Months Ended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360" w:type="dxa"/>
            <w:vAlign w:val="bottom"/>
            <w:tcBorders>
              <w:top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Balance at beginning of period</w:t>
            </w:r>
          </w:p>
        </w:tc>
        <w:tc>
          <w:tcPr>
            <w:tcW w:w="5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26,308</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26,868</w:t>
            </w:r>
          </w:p>
        </w:tc>
        <w:tc>
          <w:tcPr>
            <w:tcW w:w="1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640"/>
              <w:spacing w:after="0"/>
              <w:rPr>
                <w:sz w:val="20"/>
                <w:szCs w:val="20"/>
                <w:color w:val="auto"/>
              </w:rPr>
            </w:pPr>
            <w:r>
              <w:rPr>
                <w:rFonts w:ascii="Arial" w:cs="Arial" w:eastAsia="Arial" w:hAnsi="Arial"/>
                <w:sz w:val="16"/>
                <w:szCs w:val="16"/>
                <w:color w:val="auto"/>
              </w:rPr>
              <w:t>Additions due to acquisitions</w:t>
            </w:r>
          </w:p>
        </w:tc>
        <w:tc>
          <w:tcPr>
            <w:tcW w:w="5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Accretion</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(14,037)</w:t>
            </w: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640"/>
              <w:spacing w:after="0"/>
              <w:rPr>
                <w:sz w:val="20"/>
                <w:szCs w:val="20"/>
                <w:color w:val="auto"/>
              </w:rPr>
            </w:pPr>
            <w:r>
              <w:rPr>
                <w:rFonts w:ascii="Arial" w:cs="Arial" w:eastAsia="Arial" w:hAnsi="Arial"/>
                <w:sz w:val="16"/>
                <w:szCs w:val="16"/>
                <w:color w:val="auto"/>
              </w:rPr>
              <w:t>Reclassification from nonaccretable difference</w:t>
            </w: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5,627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360" w:type="dxa"/>
            <w:vAlign w:val="bottom"/>
            <w:shd w:val="clear" w:color="auto" w:fill="CCEEFF"/>
          </w:tcPr>
          <w:p>
            <w:pPr>
              <w:ind w:left="1640"/>
              <w:spacing w:after="0" w:line="169" w:lineRule="exact"/>
              <w:rPr>
                <w:sz w:val="20"/>
                <w:szCs w:val="20"/>
                <w:color w:val="auto"/>
              </w:rPr>
            </w:pPr>
            <w:r>
              <w:rPr>
                <w:rFonts w:ascii="Arial" w:cs="Arial" w:eastAsia="Arial" w:hAnsi="Arial"/>
                <w:sz w:val="16"/>
                <w:szCs w:val="16"/>
                <w:color w:val="auto"/>
              </w:rPr>
              <w:t>Changes in expected cash flows that do not affect nonaccretable</w:t>
            </w:r>
          </w:p>
        </w:tc>
        <w:tc>
          <w:tcPr>
            <w:tcW w:w="5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3,088</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1640"/>
              <w:spacing w:after="0"/>
              <w:rPr>
                <w:sz w:val="20"/>
                <w:szCs w:val="20"/>
                <w:color w:val="auto"/>
              </w:rPr>
            </w:pPr>
            <w:r>
              <w:rPr>
                <w:rFonts w:ascii="Arial" w:cs="Arial" w:eastAsia="Arial" w:hAnsi="Arial"/>
                <w:sz w:val="16"/>
                <w:szCs w:val="16"/>
                <w:color w:val="auto"/>
              </w:rPr>
              <w:t>difference</w:t>
            </w:r>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60" w:type="dxa"/>
            <w:vAlign w:val="bottom"/>
          </w:tcPr>
          <w:p>
            <w:pPr>
              <w:ind w:left="1640"/>
              <w:spacing w:after="0"/>
              <w:rPr>
                <w:sz w:val="20"/>
                <w:szCs w:val="20"/>
                <w:color w:val="auto"/>
              </w:rPr>
            </w:pPr>
            <w:r>
              <w:rPr>
                <w:rFonts w:ascii="Arial" w:cs="Arial" w:eastAsia="Arial" w:hAnsi="Arial"/>
                <w:sz w:val="16"/>
                <w:szCs w:val="16"/>
                <w:color w:val="auto"/>
              </w:rPr>
              <w:t>Balance at end of period</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22,846</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the amortized cost basis in loans by aging category and accrual status as of September 30, 2020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Short-term deferrals related to the COVID-19 crisis are not reported as past due during the deferral period.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20"/>
              <w:spacing w:after="0"/>
              <w:rPr>
                <w:sz w:val="20"/>
                <w:szCs w:val="20"/>
                <w:color w:val="auto"/>
              </w:rPr>
            </w:pPr>
            <w:r>
              <w:rPr>
                <w:rFonts w:ascii="Arial" w:cs="Arial" w:eastAsia="Arial" w:hAnsi="Arial"/>
                <w:sz w:val="16"/>
                <w:szCs w:val="16"/>
                <w:b w:val="1"/>
                <w:bCs w:val="1"/>
                <w:color w:val="auto"/>
              </w:rPr>
              <w:t>Accruing</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9"/>
              </w:rPr>
              <w:t>Loans Past Due</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6"/>
              </w:rPr>
              <w:t>Current Loans</w:t>
            </w:r>
          </w:p>
        </w:tc>
        <w:tc>
          <w:tcPr>
            <w:tcW w:w="100" w:type="dxa"/>
            <w:vAlign w:val="bottom"/>
            <w:vMerge w:val="restart"/>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30 - 59 Days</w:t>
            </w:r>
          </w:p>
        </w:tc>
        <w:tc>
          <w:tcPr>
            <w:tcW w:w="100" w:type="dxa"/>
            <w:vAlign w:val="bottom"/>
            <w:vMerge w:val="restart"/>
          </w:tcPr>
          <w:p>
            <w:pPr>
              <w:spacing w:after="0"/>
              <w:rPr>
                <w:sz w:val="16"/>
                <w:szCs w:val="16"/>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60 - 89 Days</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&gt; 90 Days</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rPr>
              <w:t>Nonaccrual</w:t>
            </w:r>
          </w:p>
        </w:tc>
        <w:tc>
          <w:tcPr>
            <w:tcW w:w="140" w:type="dxa"/>
            <w:vAlign w:val="bottom"/>
          </w:tcPr>
          <w:p>
            <w:pPr>
              <w:spacing w:after="0"/>
              <w:rPr>
                <w:sz w:val="16"/>
                <w:szCs w:val="16"/>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1"/>
              </w:rPr>
              <w:t>Total Loans</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Loans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1,996,903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11,075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2,008,674</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2,479,614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2,493,625</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3,099,387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3,104,868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979,169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981,371</w:t>
            </w:r>
          </w:p>
        </w:tc>
        <w:tc>
          <w:tcPr>
            <w:tcW w:w="0" w:type="dxa"/>
            <w:vAlign w:val="bottom"/>
          </w:tcPr>
          <w:p>
            <w:pPr>
              <w:spacing w:after="0"/>
              <w:rPr>
                <w:sz w:val="1"/>
                <w:szCs w:val="1"/>
                <w:color w:val="auto"/>
              </w:rPr>
            </w:pPr>
          </w:p>
        </w:tc>
      </w:tr>
      <w:tr>
        <w:trPr>
          <w:trHeight w:val="213"/>
        </w:trPr>
        <w:tc>
          <w:tcPr>
            <w:tcW w:w="42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817,583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823,022</w:t>
            </w:r>
          </w:p>
        </w:tc>
        <w:tc>
          <w:tcPr>
            <w:tcW w:w="0" w:type="dxa"/>
            <w:vAlign w:val="bottom"/>
          </w:tcPr>
          <w:p>
            <w:pPr>
              <w:spacing w:after="0"/>
              <w:rPr>
                <w:sz w:val="1"/>
                <w:szCs w:val="1"/>
                <w:color w:val="auto"/>
              </w:rPr>
            </w:pPr>
          </w:p>
        </w:tc>
      </w:tr>
      <w:tr>
        <w:trPr>
          <w:trHeight w:val="213"/>
        </w:trPr>
        <w:tc>
          <w:tcPr>
            <w:tcW w:w="4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9,372,656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9,411,560</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1,252,937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2,481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1,269,548</w:t>
            </w:r>
          </w:p>
        </w:tc>
        <w:tc>
          <w:tcPr>
            <w:tcW w:w="0" w:type="dxa"/>
            <w:vAlign w:val="bottom"/>
          </w:tcPr>
          <w:p>
            <w:pPr>
              <w:spacing w:after="0"/>
              <w:rPr>
                <w:sz w:val="1"/>
                <w:szCs w:val="1"/>
                <w:color w:val="auto"/>
              </w:rPr>
            </w:pPr>
          </w:p>
        </w:tc>
      </w:tr>
      <w:tr>
        <w:trPr>
          <w:trHeight w:val="219"/>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702,457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706,877</w:t>
            </w:r>
          </w:p>
        </w:tc>
        <w:tc>
          <w:tcPr>
            <w:tcW w:w="0" w:type="dxa"/>
            <w:vAlign w:val="bottom"/>
          </w:tcPr>
          <w:p>
            <w:pPr>
              <w:spacing w:after="0"/>
              <w:rPr>
                <w:sz w:val="1"/>
                <w:szCs w:val="1"/>
                <w:color w:val="auto"/>
              </w:rPr>
            </w:pPr>
          </w:p>
        </w:tc>
      </w:tr>
      <w:tr>
        <w:trPr>
          <w:trHeight w:val="213"/>
        </w:trPr>
        <w:tc>
          <w:tcPr>
            <w:tcW w:w="426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262,002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263,266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147,177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147,659</w:t>
            </w:r>
          </w:p>
        </w:tc>
        <w:tc>
          <w:tcPr>
            <w:tcW w:w="0" w:type="dxa"/>
            <w:vAlign w:val="bottom"/>
          </w:tcPr>
          <w:p>
            <w:pPr>
              <w:spacing w:after="0"/>
              <w:rPr>
                <w:sz w:val="1"/>
                <w:szCs w:val="1"/>
                <w:color w:val="auto"/>
              </w:rPr>
            </w:pPr>
          </w:p>
        </w:tc>
      </w:tr>
      <w:tr>
        <w:trPr>
          <w:trHeight w:val="213"/>
        </w:trPr>
        <w:tc>
          <w:tcPr>
            <w:tcW w:w="4260" w:type="dxa"/>
            <w:vAlign w:val="bottom"/>
            <w:gridSpan w:val="2"/>
          </w:tcPr>
          <w:p>
            <w:pPr>
              <w:ind w:left="120"/>
              <w:spacing w:after="0"/>
              <w:rPr>
                <w:sz w:val="20"/>
                <w:szCs w:val="20"/>
                <w:color w:val="auto"/>
              </w:rPr>
            </w:pPr>
            <w:r>
              <w:rPr>
                <w:rFonts w:ascii="Arial" w:cs="Arial" w:eastAsia="Arial" w:hAnsi="Arial"/>
                <w:sz w:val="16"/>
                <w:szCs w:val="16"/>
                <w:color w:val="auto"/>
              </w:rPr>
              <w:t>Total loans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11,737,229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10,145</w:t>
            </w:r>
          </w:p>
        </w:tc>
        <w:tc>
          <w:tcPr>
            <w:tcW w:w="10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2,452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49,084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11,798,910</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presents the aging of recorded investment in loans, including accruing and nonaccrual loans, as of December 31, 2019 </w:t>
      </w:r>
      <w:r>
        <w:rPr>
          <w:rFonts w:ascii="Arial" w:cs="Arial" w:eastAsia="Arial" w:hAnsi="Arial"/>
          <w:sz w:val="16"/>
          <w:szCs w:val="16"/>
          <w:i w:val="1"/>
          <w:i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Loans Past Due - Accruing and Nonaccrual</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30 - 59 Days</w:t>
            </w:r>
          </w:p>
        </w:tc>
        <w:tc>
          <w:tcPr>
            <w:tcW w:w="100" w:type="dxa"/>
            <w:vAlign w:val="bottom"/>
            <w:vMerge w:val="restart"/>
          </w:tcPr>
          <w:p>
            <w:pPr>
              <w:spacing w:after="0"/>
              <w:rPr>
                <w:sz w:val="12"/>
                <w:szCs w:val="12"/>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7"/>
              </w:rPr>
              <w:t>60 - 89 Days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89"/>
              </w:rPr>
              <w:t xml:space="preserve">&gt; 90 Days </w:t>
            </w:r>
            <w:r>
              <w:rPr>
                <w:rFonts w:ascii="Arial" w:cs="Arial" w:eastAsia="Arial" w:hAnsi="Arial"/>
                <w:sz w:val="21"/>
                <w:szCs w:val="21"/>
                <w:b w:val="1"/>
                <w:bCs w:val="1"/>
                <w:color w:val="auto"/>
                <w:w w:val="89"/>
                <w:vertAlign w:val="superscript"/>
              </w:rPr>
              <w:t>(1)</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w w:val="94"/>
              </w:rPr>
              <w:t>Total</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ind w:left="60"/>
              <w:spacing w:after="0" w:line="148" w:lineRule="exact"/>
              <w:rPr>
                <w:sz w:val="20"/>
                <w:szCs w:val="20"/>
                <w:color w:val="auto"/>
              </w:rPr>
            </w:pPr>
            <w:r>
              <w:rPr>
                <w:rFonts w:ascii="Arial" w:cs="Arial" w:eastAsia="Arial" w:hAnsi="Arial"/>
                <w:sz w:val="16"/>
                <w:szCs w:val="16"/>
                <w:b w:val="1"/>
                <w:bCs w:val="1"/>
                <w:color w:val="auto"/>
              </w:rPr>
              <w:t>Current</w:t>
            </w:r>
          </w:p>
        </w:tc>
        <w:tc>
          <w:tcPr>
            <w:tcW w:w="120" w:type="dxa"/>
            <w:vAlign w:val="bottom"/>
          </w:tcPr>
          <w:p>
            <w:pPr>
              <w:spacing w:after="0"/>
              <w:rPr>
                <w:sz w:val="12"/>
                <w:szCs w:val="12"/>
                <w:color w:val="auto"/>
              </w:rPr>
            </w:pPr>
          </w:p>
        </w:tc>
        <w:tc>
          <w:tcPr>
            <w:tcW w:w="8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PCI Loans</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Loans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1,700,682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1,720,227</w:t>
            </w:r>
          </w:p>
        </w:tc>
        <w:tc>
          <w:tcPr>
            <w:tcW w:w="0" w:type="dxa"/>
            <w:vAlign w:val="bottom"/>
          </w:tcPr>
          <w:p>
            <w:pPr>
              <w:spacing w:after="0"/>
              <w:rPr>
                <w:sz w:val="1"/>
                <w:szCs w:val="1"/>
                <w:color w:val="auto"/>
              </w:rPr>
            </w:pP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1,979,053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2,007,950</w:t>
            </w:r>
          </w:p>
        </w:tc>
        <w:tc>
          <w:tcPr>
            <w:tcW w:w="0" w:type="dxa"/>
            <w:vAlign w:val="bottom"/>
          </w:tcPr>
          <w:p>
            <w:pPr>
              <w:spacing w:after="0"/>
              <w:rPr>
                <w:sz w:val="1"/>
                <w:szCs w:val="1"/>
                <w:color w:val="auto"/>
              </w:rPr>
            </w:pP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1,220,657</w:t>
            </w:r>
          </w:p>
        </w:tc>
        <w:tc>
          <w:tcPr>
            <w:tcW w:w="0" w:type="dxa"/>
            <w:vAlign w:val="bottom"/>
          </w:tcPr>
          <w:p>
            <w:pPr>
              <w:spacing w:after="0"/>
              <w:rPr>
                <w:sz w:val="1"/>
                <w:szCs w:val="1"/>
                <w:color w:val="auto"/>
              </w:rPr>
            </w:pP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966,833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6,862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976,215</w:t>
            </w:r>
          </w:p>
        </w:tc>
        <w:tc>
          <w:tcPr>
            <w:tcW w:w="0" w:type="dxa"/>
            <w:vAlign w:val="bottom"/>
          </w:tcPr>
          <w:p>
            <w:pPr>
              <w:spacing w:after="0"/>
              <w:rPr>
                <w:sz w:val="1"/>
                <w:szCs w:val="1"/>
                <w:color w:val="auto"/>
              </w:rPr>
            </w:pP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923</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734,526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744,544</w:t>
            </w:r>
          </w:p>
        </w:tc>
        <w:tc>
          <w:tcPr>
            <w:tcW w:w="0" w:type="dxa"/>
            <w:vAlign w:val="bottom"/>
          </w:tcPr>
          <w:p>
            <w:pPr>
              <w:spacing w:after="0"/>
              <w:rPr>
                <w:sz w:val="1"/>
                <w:szCs w:val="1"/>
                <w:color w:val="auto"/>
              </w:rPr>
            </w:pPr>
          </w:p>
        </w:tc>
      </w:tr>
      <w:tr>
        <w:trPr>
          <w:trHeight w:val="207"/>
        </w:trPr>
        <w:tc>
          <w:tcPr>
            <w:tcW w:w="3340" w:type="dxa"/>
            <w:vAlign w:val="bottom"/>
            <w:gridSpan w:val="2"/>
          </w:tcPr>
          <w:p>
            <w:pPr>
              <w:ind w:left="120"/>
              <w:spacing w:after="0"/>
              <w:rPr>
                <w:sz w:val="20"/>
                <w:szCs w:val="20"/>
                <w:color w:val="auto"/>
              </w:rPr>
            </w:pPr>
            <w:r>
              <w:rPr>
                <w:rFonts w:ascii="Arial" w:cs="Arial" w:eastAsia="Arial" w:hAnsi="Arial"/>
                <w:sz w:val="16"/>
                <w:szCs w:val="16"/>
                <w:color w:val="auto"/>
              </w:rPr>
              <w:t>Total commercial</w:t>
            </w: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9,547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11,740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25,971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6,596,675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46,947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6,669,593</w:t>
            </w:r>
          </w:p>
        </w:tc>
        <w:tc>
          <w:tcPr>
            <w:tcW w:w="0" w:type="dxa"/>
            <w:vAlign w:val="bottom"/>
          </w:tcPr>
          <w:p>
            <w:pPr>
              <w:spacing w:after="0"/>
              <w:rPr>
                <w:sz w:val="1"/>
                <w:szCs w:val="1"/>
                <w:color w:val="auto"/>
              </w:rPr>
            </w:pP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1,097,999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1,117,616</w:t>
            </w:r>
          </w:p>
        </w:tc>
        <w:tc>
          <w:tcPr>
            <w:tcW w:w="0" w:type="dxa"/>
            <w:vAlign w:val="bottom"/>
          </w:tcPr>
          <w:p>
            <w:pPr>
              <w:spacing w:after="0"/>
              <w:rPr>
                <w:sz w:val="1"/>
                <w:szCs w:val="1"/>
                <w:color w:val="auto"/>
              </w:rPr>
            </w:pPr>
          </w:p>
        </w:tc>
      </w:tr>
      <w:tr>
        <w:trPr>
          <w:trHeight w:val="213"/>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655,762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660,675</w:t>
            </w:r>
          </w:p>
        </w:tc>
        <w:tc>
          <w:tcPr>
            <w:tcW w:w="0" w:type="dxa"/>
            <w:vAlign w:val="bottom"/>
          </w:tcPr>
          <w:p>
            <w:pPr>
              <w:spacing w:after="0"/>
              <w:rPr>
                <w:sz w:val="1"/>
                <w:szCs w:val="1"/>
                <w:color w:val="auto"/>
              </w:rPr>
            </w:pPr>
          </w:p>
        </w:tc>
      </w:tr>
      <w:tr>
        <w:trPr>
          <w:trHeight w:val="219"/>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236,437</w:t>
            </w:r>
          </w:p>
        </w:tc>
        <w:tc>
          <w:tcPr>
            <w:tcW w:w="0" w:type="dxa"/>
            <w:vAlign w:val="bottom"/>
          </w:tcPr>
          <w:p>
            <w:pPr>
              <w:spacing w:after="0"/>
              <w:rPr>
                <w:sz w:val="1"/>
                <w:szCs w:val="1"/>
                <w:color w:val="auto"/>
              </w:rPr>
            </w:pPr>
          </w:p>
        </w:tc>
      </w:tr>
      <w:tr>
        <w:trPr>
          <w:trHeight w:val="213"/>
        </w:trPr>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127,020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128,232</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Total loans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17,892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8,712,667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58,646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60" w:hanging="152"/>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Excluding PCI loans, substantially all loans more than 90 days past due were on nonaccrual status at December 31, 2019.</w:t>
      </w:r>
    </w:p>
    <w:p>
      <w:pPr>
        <w:spacing w:after="0" w:line="200" w:lineRule="exact"/>
        <w:rPr>
          <w:rFonts w:ascii="Arial" w:cs="Arial" w:eastAsia="Arial" w:hAnsi="Arial"/>
          <w:sz w:val="18"/>
          <w:szCs w:val="18"/>
          <w:color w:val="auto"/>
          <w:vertAlign w:val="superscript"/>
        </w:rPr>
      </w:pPr>
    </w:p>
    <w:p>
      <w:pPr>
        <w:spacing w:after="0" w:line="372" w:lineRule="exact"/>
        <w:rPr>
          <w:rFonts w:ascii="Arial" w:cs="Arial" w:eastAsia="Arial" w:hAnsi="Arial"/>
          <w:sz w:val="18"/>
          <w:szCs w:val="18"/>
          <w:color w:val="auto"/>
          <w:vertAlign w:val="superscript"/>
        </w:rPr>
      </w:pPr>
    </w:p>
    <w:p>
      <w:pPr>
        <w:ind w:left="5540"/>
        <w:spacing w:after="0"/>
        <w:rPr>
          <w:rFonts w:ascii="Arial" w:cs="Arial" w:eastAsia="Arial" w:hAnsi="Arial"/>
          <w:sz w:val="18"/>
          <w:szCs w:val="18"/>
          <w:color w:val="auto"/>
          <w:vertAlign w:val="superscript"/>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nonaccrual loans by loan class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CECL</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Incurred Loss</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September 30, 2020</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158"/>
        </w:trPr>
        <w:tc>
          <w:tcPr>
            <w:tcW w:w="5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19"/>
              <w:spacing w:after="0" w:line="158" w:lineRule="exact"/>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1"/>
              </w:rPr>
              <w:t>Nonaccrual</w:t>
            </w:r>
          </w:p>
        </w:tc>
        <w:tc>
          <w:tcPr>
            <w:tcW w:w="160" w:type="dxa"/>
            <w:vAlign w:val="bottom"/>
          </w:tcPr>
          <w:p>
            <w:pPr>
              <w:spacing w:after="0"/>
              <w:rPr>
                <w:sz w:val="13"/>
                <w:szCs w:val="13"/>
                <w:color w:val="auto"/>
              </w:rPr>
            </w:pPr>
          </w:p>
        </w:tc>
        <w:tc>
          <w:tcPr>
            <w:tcW w:w="102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center"/>
              <w:ind w:right="139"/>
              <w:spacing w:after="0"/>
              <w:rPr>
                <w:sz w:val="20"/>
                <w:szCs w:val="20"/>
                <w:color w:val="auto"/>
              </w:rPr>
            </w:pPr>
            <w:r>
              <w:rPr>
                <w:rFonts w:ascii="Arial" w:cs="Arial" w:eastAsia="Arial" w:hAnsi="Arial"/>
                <w:sz w:val="16"/>
                <w:szCs w:val="16"/>
                <w:b w:val="1"/>
                <w:bCs w:val="1"/>
                <w:color w:val="auto"/>
                <w:w w:val="91"/>
              </w:rPr>
              <w:t>Nonaccrual</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7"/>
              </w:rPr>
              <w:t>loans with no</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0"/>
              </w:rPr>
              <w:t>loans with an</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Nonaccrual</w:t>
            </w:r>
          </w:p>
        </w:tc>
        <w:tc>
          <w:tcPr>
            <w:tcW w:w="16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allowance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allowance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Loans</w:t>
            </w:r>
          </w:p>
        </w:tc>
        <w:tc>
          <w:tcPr>
            <w:tcW w:w="0" w:type="dxa"/>
            <w:vAlign w:val="bottom"/>
          </w:tcPr>
          <w:p>
            <w:pPr>
              <w:spacing w:after="0"/>
              <w:rPr>
                <w:sz w:val="1"/>
                <w:szCs w:val="1"/>
                <w:color w:val="auto"/>
              </w:rPr>
            </w:pPr>
          </w:p>
        </w:tc>
      </w:tr>
      <w:tr>
        <w:trPr>
          <w:trHeight w:val="209"/>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8,335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11,075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10,544</w:t>
            </w:r>
          </w:p>
        </w:tc>
        <w:tc>
          <w:tcPr>
            <w:tcW w:w="0" w:type="dxa"/>
            <w:vAlign w:val="bottom"/>
          </w:tcPr>
          <w:p>
            <w:pPr>
              <w:spacing w:after="0"/>
              <w:rPr>
                <w:sz w:val="1"/>
                <w:szCs w:val="1"/>
                <w:color w:val="auto"/>
              </w:rPr>
            </w:pPr>
          </w:p>
        </w:tc>
      </w:tr>
      <w:tr>
        <w:trPr>
          <w:trHeight w:val="21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0" w:type="dxa"/>
            <w:vAlign w:val="bottom"/>
          </w:tcPr>
          <w:p>
            <w:pPr>
              <w:spacing w:after="0"/>
              <w:rPr>
                <w:sz w:val="1"/>
                <w:szCs w:val="1"/>
                <w:color w:val="auto"/>
              </w:rPr>
            </w:pPr>
          </w:p>
        </w:tc>
      </w:tr>
      <w:tr>
        <w:trPr>
          <w:trHeight w:val="213"/>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Commercial &amp; industrial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2,545</w:t>
            </w:r>
          </w:p>
        </w:tc>
        <w:tc>
          <w:tcPr>
            <w:tcW w:w="0" w:type="dxa"/>
            <w:vAlign w:val="bottom"/>
          </w:tcPr>
          <w:p>
            <w:pPr>
              <w:spacing w:after="0"/>
              <w:rPr>
                <w:sz w:val="1"/>
                <w:szCs w:val="1"/>
                <w:color w:val="auto"/>
              </w:rPr>
            </w:pPr>
          </w:p>
        </w:tc>
      </w:tr>
      <w:tr>
        <w:trPr>
          <w:trHeight w:val="21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w:t>
            </w:r>
          </w:p>
        </w:tc>
        <w:tc>
          <w:tcPr>
            <w:tcW w:w="0" w:type="dxa"/>
            <w:vAlign w:val="bottom"/>
          </w:tcPr>
          <w:p>
            <w:pPr>
              <w:spacing w:after="0"/>
              <w:rPr>
                <w:sz w:val="1"/>
                <w:szCs w:val="1"/>
                <w:color w:val="auto"/>
              </w:rPr>
            </w:pPr>
          </w:p>
        </w:tc>
      </w:tr>
      <w:tr>
        <w:trPr>
          <w:trHeight w:val="213"/>
        </w:trPr>
        <w:tc>
          <w:tcPr>
            <w:tcW w:w="55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financing</w:t>
            </w: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0" w:type="dxa"/>
            <w:vAlign w:val="bottom"/>
          </w:tcPr>
          <w:p>
            <w:pPr>
              <w:spacing w:after="0"/>
              <w:rPr>
                <w:sz w:val="1"/>
                <w:szCs w:val="1"/>
                <w:color w:val="auto"/>
              </w:rPr>
            </w:pPr>
          </w:p>
        </w:tc>
      </w:tr>
      <w:tr>
        <w:trPr>
          <w:trHeight w:val="212"/>
        </w:trPr>
        <w:tc>
          <w:tcPr>
            <w:tcW w:w="5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20,503</w:t>
            </w:r>
          </w:p>
        </w:tc>
        <w:tc>
          <w:tcPr>
            <w:tcW w:w="0" w:type="dxa"/>
            <w:vAlign w:val="bottom"/>
          </w:tcPr>
          <w:p>
            <w:pPr>
              <w:spacing w:after="0"/>
              <w:rPr>
                <w:sz w:val="1"/>
                <w:szCs w:val="1"/>
                <w:color w:val="auto"/>
              </w:rPr>
            </w:pPr>
          </w:p>
        </w:tc>
      </w:tr>
      <w:tr>
        <w:trPr>
          <w:trHeight w:val="213"/>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11,900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10,567</w:t>
            </w:r>
          </w:p>
        </w:tc>
        <w:tc>
          <w:tcPr>
            <w:tcW w:w="0" w:type="dxa"/>
            <w:vAlign w:val="bottom"/>
          </w:tcPr>
          <w:p>
            <w:pPr>
              <w:spacing w:after="0"/>
              <w:rPr>
                <w:sz w:val="1"/>
                <w:szCs w:val="1"/>
                <w:color w:val="auto"/>
              </w:rPr>
            </w:pPr>
          </w:p>
        </w:tc>
      </w:tr>
      <w:tr>
        <w:trPr>
          <w:trHeight w:val="219"/>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w:t>
            </w:r>
          </w:p>
        </w:tc>
        <w:tc>
          <w:tcPr>
            <w:tcW w:w="0" w:type="dxa"/>
            <w:vAlign w:val="bottom"/>
          </w:tcPr>
          <w:p>
            <w:pPr>
              <w:spacing w:after="0"/>
              <w:rPr>
                <w:sz w:val="1"/>
                <w:szCs w:val="1"/>
                <w:color w:val="auto"/>
              </w:rPr>
            </w:pPr>
          </w:p>
        </w:tc>
      </w:tr>
      <w:tr>
        <w:trPr>
          <w:trHeight w:val="213"/>
        </w:trPr>
        <w:tc>
          <w:tcPr>
            <w:tcW w:w="5540" w:type="dxa"/>
            <w:vAlign w:val="bottom"/>
            <w:gridSpan w:val="2"/>
          </w:tcPr>
          <w:p>
            <w:pPr>
              <w:ind w:left="2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939</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13"/>
        </w:trPr>
        <w:tc>
          <w:tcPr>
            <w:tcW w:w="554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21,698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27,386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49,084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35,341</w:t>
            </w: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$570,000 and $338,000 for the three months ended September 30, 2020 and 2019, respectively, and $1.70 million and $965,000 for the nine months ended September 30, 2020 and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Pass. </w:t>
      </w:r>
      <w:r>
        <w:rPr>
          <w:rFonts w:ascii="Arial" w:cs="Arial" w:eastAsia="Arial" w:hAnsi="Arial"/>
          <w:sz w:val="18"/>
          <w:szCs w:val="18"/>
          <w:color w:val="auto"/>
        </w:rPr>
        <w:t>Loans in this category are considered to have a low probability of default and do not meet the criteria of the risk categories below.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are on nonaccrual status, become past due 90 days, or are in bankruptcy are classified as “fail” and all other loans are classified as “pass”. For purposes of the table below, loans in these categories that are classified as “fail” are reported as substandard and all other loans are reported as pass.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Based on the most recent analysis performed, the amortized cost of loans by risk category by vintage year as of the date indicated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169"/>
        </w:trPr>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b w:val="1"/>
                <w:bCs w:val="1"/>
                <w:color w:val="auto"/>
              </w:rPr>
              <w:t>As of September 30, 2020</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20" w:type="dxa"/>
            <w:vAlign w:val="bottom"/>
            <w:gridSpan w:val="7"/>
          </w:tcPr>
          <w:p>
            <w:pPr>
              <w:spacing w:after="0"/>
              <w:rPr>
                <w:sz w:val="20"/>
                <w:szCs w:val="20"/>
                <w:color w:val="auto"/>
              </w:rPr>
            </w:pPr>
            <w:r>
              <w:rPr>
                <w:rFonts w:ascii="Arial" w:cs="Arial" w:eastAsia="Arial" w:hAnsi="Arial"/>
                <w:sz w:val="13"/>
                <w:szCs w:val="13"/>
                <w:b w:val="1"/>
                <w:bCs w:val="1"/>
                <w:color w:val="auto"/>
                <w:w w:val="96"/>
              </w:rPr>
              <w:t>Term Loans by Origination Year</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Revolvers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6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gridSpan w:val="3"/>
            <w:vMerge w:val="restart"/>
          </w:tcPr>
          <w:p>
            <w:pPr>
              <w:jc w:val="center"/>
              <w:ind w:right="140"/>
              <w:spacing w:after="0" w:line="81" w:lineRule="exact"/>
              <w:rPr>
                <w:sz w:val="20"/>
                <w:szCs w:val="20"/>
                <w:color w:val="auto"/>
              </w:rPr>
            </w:pPr>
            <w:r>
              <w:rPr>
                <w:rFonts w:ascii="Arial" w:cs="Arial" w:eastAsia="Arial" w:hAnsi="Arial"/>
                <w:sz w:val="9"/>
                <w:szCs w:val="9"/>
                <w:b w:val="1"/>
                <w:bCs w:val="1"/>
                <w:color w:val="auto"/>
              </w:rPr>
              <w:t>converted to</w:t>
            </w: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restart"/>
          </w:tcPr>
          <w:p>
            <w:pPr>
              <w:jc w:val="right"/>
              <w:ind w:right="175"/>
              <w:spacing w:after="0"/>
              <w:rPr>
                <w:sz w:val="20"/>
                <w:szCs w:val="20"/>
                <w:color w:val="auto"/>
              </w:rPr>
            </w:pPr>
            <w:r>
              <w:rPr>
                <w:rFonts w:ascii="Arial" w:cs="Arial" w:eastAsia="Arial" w:hAnsi="Arial"/>
                <w:sz w:val="13"/>
                <w:szCs w:val="13"/>
                <w:b w:val="1"/>
                <w:bCs w:val="1"/>
                <w:color w:val="auto"/>
              </w:rPr>
              <w:t>2016</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line="20" w:lineRule="exact"/>
              <w:rPr>
                <w:sz w:val="1"/>
                <w:szCs w:val="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Revolvers</w:t>
            </w:r>
          </w:p>
        </w:tc>
        <w:tc>
          <w:tcPr>
            <w:tcW w:w="92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line="20" w:lineRule="exact"/>
              <w:rPr>
                <w:sz w:val="1"/>
                <w:szCs w:val="1"/>
                <w:color w:val="auto"/>
              </w:rPr>
            </w:pPr>
          </w:p>
        </w:tc>
      </w:tr>
      <w:tr>
        <w:trPr>
          <w:trHeight w:val="162"/>
        </w:trPr>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term loans</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Owner occupied</w:t>
            </w: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536,362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407,134</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258,280</w:t>
            </w:r>
          </w:p>
        </w:tc>
        <w:tc>
          <w:tcPr>
            <w:tcW w:w="140" w:type="dxa"/>
            <w:vAlign w:val="bottom"/>
          </w:tcPr>
          <w:p>
            <w:pPr>
              <w:spacing w:after="0"/>
              <w:rPr>
                <w:sz w:val="18"/>
                <w:szCs w:val="18"/>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218,505</w:t>
            </w:r>
          </w:p>
        </w:tc>
        <w:tc>
          <w:tcPr>
            <w:tcW w:w="140" w:type="dxa"/>
            <w:vAlign w:val="bottom"/>
          </w:tcPr>
          <w:p>
            <w:pPr>
              <w:spacing w:after="0"/>
              <w:rPr>
                <w:sz w:val="18"/>
                <w:szCs w:val="18"/>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213,644</w:t>
            </w:r>
          </w:p>
        </w:tc>
        <w:tc>
          <w:tcPr>
            <w:tcW w:w="140" w:type="dxa"/>
            <w:vAlign w:val="bottom"/>
          </w:tcPr>
          <w:p>
            <w:pPr>
              <w:spacing w:after="0"/>
              <w:rPr>
                <w:sz w:val="18"/>
                <w:szCs w:val="18"/>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228,141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54,615</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11,174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1,927,855</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4,552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4,916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620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29,893</w:t>
            </w:r>
          </w:p>
        </w:tc>
        <w:tc>
          <w:tcPr>
            <w:tcW w:w="0" w:type="dxa"/>
            <w:vAlign w:val="bottom"/>
          </w:tcPr>
          <w:p>
            <w:pPr>
              <w:spacing w:after="0"/>
              <w:rPr>
                <w:sz w:val="1"/>
                <w:szCs w:val="1"/>
                <w:color w:val="auto"/>
              </w:rPr>
            </w:pPr>
          </w:p>
        </w:tc>
      </w:tr>
      <w:tr>
        <w:trPr>
          <w:trHeight w:val="215"/>
        </w:trPr>
        <w:tc>
          <w:tcPr>
            <w:tcW w:w="1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5,790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8,091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8,669</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8,756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2,049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1,272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50,926</w:t>
            </w:r>
          </w:p>
        </w:tc>
        <w:tc>
          <w:tcPr>
            <w:tcW w:w="0" w:type="dxa"/>
            <w:vAlign w:val="bottom"/>
          </w:tcPr>
          <w:p>
            <w:pPr>
              <w:spacing w:after="0"/>
              <w:rPr>
                <w:sz w:val="1"/>
                <w:szCs w:val="1"/>
                <w:color w:val="auto"/>
              </w:rPr>
            </w:pPr>
          </w:p>
        </w:tc>
      </w:tr>
      <w:tr>
        <w:trPr>
          <w:trHeight w:val="143"/>
        </w:trPr>
        <w:tc>
          <w:tcPr>
            <w:tcW w:w="1600" w:type="dxa"/>
            <w:vAlign w:val="bottom"/>
            <w:shd w:val="clear" w:color="auto" w:fill="CCEEFF"/>
          </w:tcPr>
          <w:p>
            <w:pPr>
              <w:ind w:left="200"/>
              <w:spacing w:after="0" w:line="143" w:lineRule="exact"/>
              <w:rPr>
                <w:sz w:val="20"/>
                <w:szCs w:val="20"/>
                <w:color w:val="auto"/>
              </w:rPr>
            </w:pPr>
            <w:r>
              <w:rPr>
                <w:rFonts w:ascii="Arial" w:cs="Arial" w:eastAsia="Arial" w:hAnsi="Arial"/>
                <w:sz w:val="13"/>
                <w:szCs w:val="13"/>
                <w:color w:val="auto"/>
              </w:rPr>
              <w:t>Total owner occupied</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546,704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420,141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267,968</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236,139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227,317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240,616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57,284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12,505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2,008,674</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commercial real estate</w:t>
            </w: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Arial" w:cs="Arial" w:eastAsia="Arial" w:hAnsi="Arial"/>
                <w:sz w:val="13"/>
                <w:szCs w:val="13"/>
                <w:color w:val="auto"/>
              </w:rPr>
              <w:t>Income producing</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630,081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509,098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480,546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280,614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229,065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205,567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32,717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9,243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2,376,931</w:t>
            </w: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22,380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2,986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10,806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1,749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68,600</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8,781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2,562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48,094</w:t>
            </w:r>
          </w:p>
        </w:tc>
        <w:tc>
          <w:tcPr>
            <w:tcW w:w="0" w:type="dxa"/>
            <w:vAlign w:val="bottom"/>
          </w:tcPr>
          <w:p>
            <w:pPr>
              <w:spacing w:after="0"/>
              <w:rPr>
                <w:sz w:val="1"/>
                <w:szCs w:val="1"/>
                <w:color w:val="auto"/>
              </w:rPr>
            </w:pPr>
          </w:p>
        </w:tc>
      </w:tr>
      <w:tr>
        <w:trPr>
          <w:trHeight w:val="142"/>
        </w:trPr>
        <w:tc>
          <w:tcPr>
            <w:tcW w:w="1600" w:type="dxa"/>
            <w:vAlign w:val="bottom"/>
          </w:tcPr>
          <w:p>
            <w:pPr>
              <w:ind w:left="200"/>
              <w:spacing w:after="0" w:line="142" w:lineRule="exact"/>
              <w:rPr>
                <w:sz w:val="20"/>
                <w:szCs w:val="20"/>
                <w:color w:val="auto"/>
              </w:rPr>
            </w:pPr>
            <w:r>
              <w:rPr>
                <w:rFonts w:ascii="Arial" w:cs="Arial" w:eastAsia="Arial" w:hAnsi="Arial"/>
                <w:sz w:val="13"/>
                <w:szCs w:val="13"/>
                <w:color w:val="auto"/>
              </w:rPr>
              <w:t>Total income producing</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661,242</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520,201</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493,991</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287,602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267,847</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218,935</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32,717</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11,090</w:t>
            </w: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2,493,625</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commercial real estate</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w w:val="96"/>
              </w:rPr>
              <w:t>1,658,045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342,311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285,481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130,740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103,886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55,855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466,479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5,834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3,048,631</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1,068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1,949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10,461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16,011</w:t>
            </w:r>
          </w:p>
        </w:tc>
        <w:tc>
          <w:tcPr>
            <w:tcW w:w="0" w:type="dxa"/>
            <w:vAlign w:val="bottom"/>
          </w:tcPr>
          <w:p>
            <w:pPr>
              <w:spacing w:after="0"/>
              <w:rPr>
                <w:sz w:val="1"/>
                <w:szCs w:val="1"/>
                <w:color w:val="auto"/>
              </w:rPr>
            </w:pPr>
          </w:p>
        </w:tc>
      </w:tr>
      <w:tr>
        <w:trPr>
          <w:trHeight w:val="215"/>
        </w:trPr>
        <w:tc>
          <w:tcPr>
            <w:tcW w:w="1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7,743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3,782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6,155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3,302</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1,190</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1,442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15,769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843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40,226</w:t>
            </w:r>
          </w:p>
        </w:tc>
        <w:tc>
          <w:tcPr>
            <w:tcW w:w="0" w:type="dxa"/>
            <w:vAlign w:val="bottom"/>
          </w:tcPr>
          <w:p>
            <w:pPr>
              <w:spacing w:after="0"/>
              <w:rPr>
                <w:sz w:val="1"/>
                <w:szCs w:val="1"/>
                <w:color w:val="auto"/>
              </w:rPr>
            </w:pPr>
          </w:p>
        </w:tc>
      </w:tr>
      <w:tr>
        <w:trPr>
          <w:trHeight w:val="116"/>
        </w:trPr>
        <w:tc>
          <w:tcPr>
            <w:tcW w:w="1600" w:type="dxa"/>
            <w:vAlign w:val="bottom"/>
            <w:shd w:val="clear" w:color="auto" w:fill="CCEEFF"/>
          </w:tcPr>
          <w:p>
            <w:pPr>
              <w:ind w:left="200"/>
              <w:spacing w:after="0" w:line="116" w:lineRule="exact"/>
              <w:rPr>
                <w:sz w:val="20"/>
                <w:szCs w:val="20"/>
                <w:color w:val="auto"/>
              </w:rPr>
            </w:pPr>
            <w:r>
              <w:rPr>
                <w:rFonts w:ascii="Arial" w:cs="Arial" w:eastAsia="Arial" w:hAnsi="Arial"/>
                <w:sz w:val="13"/>
                <w:szCs w:val="13"/>
                <w:color w:val="auto"/>
              </w:rPr>
              <w:t>Total commercial &amp;</w:t>
            </w: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w w:val="96"/>
              </w:rPr>
              <w:t>1,666,856</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348,042</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292,819</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134,564</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105,773</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57,328</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492,709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15"/>
              <w:spacing w:after="0"/>
              <w:rPr>
                <w:sz w:val="20"/>
                <w:szCs w:val="20"/>
                <w:color w:val="auto"/>
              </w:rPr>
            </w:pPr>
            <w:r>
              <w:rPr>
                <w:rFonts w:ascii="Arial" w:cs="Arial" w:eastAsia="Arial" w:hAnsi="Arial"/>
                <w:sz w:val="13"/>
                <w:szCs w:val="13"/>
                <w:color w:val="auto"/>
              </w:rPr>
              <w:t>6,777</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3,104,868</w:t>
            </w:r>
          </w:p>
        </w:tc>
        <w:tc>
          <w:tcPr>
            <w:tcW w:w="0" w:type="dxa"/>
            <w:vAlign w:val="bottom"/>
          </w:tcPr>
          <w:p>
            <w:pPr>
              <w:spacing w:after="0"/>
              <w:rPr>
                <w:sz w:val="1"/>
                <w:szCs w:val="1"/>
                <w:color w:val="auto"/>
              </w:rPr>
            </w:pPr>
          </w:p>
        </w:tc>
      </w:tr>
      <w:tr>
        <w:trPr>
          <w:trHeight w:val="162"/>
        </w:trPr>
        <w:tc>
          <w:tcPr>
            <w:tcW w:w="1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industrial</w:t>
            </w: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20"/>
              <w:spacing w:after="0"/>
              <w:rPr>
                <w:sz w:val="20"/>
                <w:szCs w:val="20"/>
                <w:color w:val="auto"/>
              </w:rPr>
            </w:pPr>
            <w:r>
              <w:rPr>
                <w:rFonts w:ascii="Arial" w:cs="Arial" w:eastAsia="Arial" w:hAnsi="Arial"/>
                <w:sz w:val="13"/>
                <w:szCs w:val="13"/>
                <w:color w:val="auto"/>
              </w:rPr>
              <w:t>Commercial construction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245,348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236,060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244,892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103,853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13,586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20,576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7,310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944,688</w:t>
            </w: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1,479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585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13,940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11,789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27,889</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3,428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8,794</w:t>
            </w:r>
          </w:p>
        </w:tc>
        <w:tc>
          <w:tcPr>
            <w:tcW w:w="0" w:type="dxa"/>
            <w:vAlign w:val="bottom"/>
          </w:tcPr>
          <w:p>
            <w:pPr>
              <w:spacing w:after="0"/>
              <w:rPr>
                <w:sz w:val="1"/>
                <w:szCs w:val="1"/>
                <w:color w:val="auto"/>
              </w:rPr>
            </w:pPr>
          </w:p>
        </w:tc>
      </w:tr>
      <w:tr>
        <w:trPr>
          <w:trHeight w:val="115"/>
        </w:trPr>
        <w:tc>
          <w:tcPr>
            <w:tcW w:w="1600" w:type="dxa"/>
            <w:vAlign w:val="bottom"/>
          </w:tcPr>
          <w:p>
            <w:pPr>
              <w:ind w:left="200"/>
              <w:spacing w:after="0" w:line="115" w:lineRule="exact"/>
              <w:rPr>
                <w:sz w:val="20"/>
                <w:szCs w:val="20"/>
                <w:color w:val="auto"/>
              </w:rPr>
            </w:pPr>
            <w:r>
              <w:rPr>
                <w:rFonts w:ascii="Arial" w:cs="Arial" w:eastAsia="Arial" w:hAnsi="Arial"/>
                <w:sz w:val="13"/>
                <w:szCs w:val="13"/>
                <w:color w:val="auto"/>
              </w:rPr>
              <w:t>Total commercial</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250,255</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237,246</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259,206</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115,988</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75,830</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13,941</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20,576</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8,329</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981,371</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311,697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298,146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146,957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48,264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13,336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950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819,350</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116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1,168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3,672</w:t>
            </w:r>
          </w:p>
        </w:tc>
        <w:tc>
          <w:tcPr>
            <w:tcW w:w="0" w:type="dxa"/>
            <w:vAlign w:val="bottom"/>
          </w:tcPr>
          <w:p>
            <w:pPr>
              <w:spacing w:after="0"/>
              <w:rPr>
                <w:sz w:val="1"/>
                <w:szCs w:val="1"/>
                <w:color w:val="auto"/>
              </w:rPr>
            </w:pPr>
          </w:p>
        </w:tc>
      </w:tr>
      <w:tr>
        <w:trPr>
          <w:trHeight w:val="115"/>
        </w:trPr>
        <w:tc>
          <w:tcPr>
            <w:tcW w:w="1600" w:type="dxa"/>
            <w:vAlign w:val="bottom"/>
          </w:tcPr>
          <w:p>
            <w:pPr>
              <w:ind w:left="200"/>
              <w:spacing w:after="0" w:line="115" w:lineRule="exact"/>
              <w:rPr>
                <w:sz w:val="20"/>
                <w:szCs w:val="20"/>
                <w:color w:val="auto"/>
              </w:rPr>
            </w:pPr>
            <w:r>
              <w:rPr>
                <w:rFonts w:ascii="Arial" w:cs="Arial" w:eastAsia="Arial" w:hAnsi="Arial"/>
                <w:sz w:val="13"/>
                <w:szCs w:val="13"/>
                <w:color w:val="auto"/>
              </w:rPr>
              <w:t>Total equipment</w:t>
            </w:r>
          </w:p>
        </w:tc>
        <w:tc>
          <w:tcPr>
            <w:tcW w:w="140" w:type="dxa"/>
            <w:vAlign w:val="bottom"/>
          </w:tcPr>
          <w:p>
            <w:pPr>
              <w:spacing w:after="0"/>
              <w:rPr>
                <w:sz w:val="10"/>
                <w:szCs w:val="10"/>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3"/>
                <w:szCs w:val="13"/>
                <w:color w:val="auto"/>
              </w:rPr>
              <w:t>311,813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3"/>
                <w:szCs w:val="13"/>
                <w:color w:val="auto"/>
              </w:rPr>
              <w:t>299,314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148,754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48,677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13,482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3"/>
                <w:szCs w:val="13"/>
                <w:color w:val="auto"/>
              </w:rPr>
              <w:t>982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823,022</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financing</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325,928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229,881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150,863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140,749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138,321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258,641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7,264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1,251,666</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1,810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1,852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17,882</w:t>
            </w:r>
          </w:p>
        </w:tc>
        <w:tc>
          <w:tcPr>
            <w:tcW w:w="0" w:type="dxa"/>
            <w:vAlign w:val="bottom"/>
          </w:tcPr>
          <w:p>
            <w:pPr>
              <w:spacing w:after="0"/>
              <w:rPr>
                <w:sz w:val="1"/>
                <w:szCs w:val="1"/>
                <w:color w:val="auto"/>
              </w:rPr>
            </w:pPr>
          </w:p>
        </w:tc>
      </w:tr>
      <w:tr>
        <w:trPr>
          <w:trHeight w:val="115"/>
        </w:trPr>
        <w:tc>
          <w:tcPr>
            <w:tcW w:w="1600" w:type="dxa"/>
            <w:vAlign w:val="bottom"/>
          </w:tcPr>
          <w:p>
            <w:pPr>
              <w:ind w:left="200"/>
              <w:spacing w:after="0" w:line="115" w:lineRule="exact"/>
              <w:rPr>
                <w:sz w:val="20"/>
                <w:szCs w:val="20"/>
                <w:color w:val="auto"/>
              </w:rPr>
            </w:pPr>
            <w:r>
              <w:rPr>
                <w:rFonts w:ascii="Arial" w:cs="Arial" w:eastAsia="Arial" w:hAnsi="Arial"/>
                <w:sz w:val="13"/>
                <w:szCs w:val="13"/>
                <w:color w:val="auto"/>
              </w:rPr>
              <w:t>Total residential</w:t>
            </w: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327,738</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231,733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154,246</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142,010</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139,093</w:t>
            </w: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267,126</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19</w:t>
            </w: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3"/>
                <w:szCs w:val="13"/>
                <w:color w:val="auto"/>
              </w:rPr>
              <w:t>7,583</w:t>
            </w: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1,269,548</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mortgage</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 equity lines of credit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684,273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18,743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703,016</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338</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3,523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3,861</w:t>
            </w:r>
          </w:p>
        </w:tc>
        <w:tc>
          <w:tcPr>
            <w:tcW w:w="0" w:type="dxa"/>
            <w:vAlign w:val="bottom"/>
          </w:tcPr>
          <w:p>
            <w:pPr>
              <w:spacing w:after="0"/>
              <w:rPr>
                <w:sz w:val="1"/>
                <w:szCs w:val="1"/>
                <w:color w:val="auto"/>
              </w:rPr>
            </w:pPr>
          </w:p>
        </w:tc>
      </w:tr>
      <w:tr>
        <w:trPr>
          <w:trHeight w:val="115"/>
        </w:trPr>
        <w:tc>
          <w:tcPr>
            <w:tcW w:w="1600" w:type="dxa"/>
            <w:vAlign w:val="bottom"/>
          </w:tcPr>
          <w:p>
            <w:pPr>
              <w:ind w:left="200"/>
              <w:spacing w:after="0" w:line="115" w:lineRule="exact"/>
              <w:rPr>
                <w:sz w:val="20"/>
                <w:szCs w:val="20"/>
                <w:color w:val="auto"/>
              </w:rPr>
            </w:pPr>
            <w:r>
              <w:rPr>
                <w:rFonts w:ascii="Arial" w:cs="Arial" w:eastAsia="Arial" w:hAnsi="Arial"/>
                <w:sz w:val="13"/>
                <w:szCs w:val="13"/>
                <w:color w:val="auto"/>
              </w:rPr>
              <w:t>Total home equity lines</w:t>
            </w:r>
          </w:p>
        </w:tc>
        <w:tc>
          <w:tcPr>
            <w:tcW w:w="14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00" w:type="dxa"/>
            <w:vAlign w:val="bottom"/>
            <w:vMerge w:val="restart"/>
          </w:tcPr>
          <w:p>
            <w:pPr>
              <w:jc w:val="right"/>
              <w:ind w:right="15"/>
              <w:spacing w:after="0"/>
              <w:rPr>
                <w:sz w:val="20"/>
                <w:szCs w:val="20"/>
                <w:color w:val="auto"/>
              </w:rPr>
            </w:pPr>
            <w:r>
              <w:rPr>
                <w:rFonts w:ascii="Arial" w:cs="Arial" w:eastAsia="Arial" w:hAnsi="Arial"/>
                <w:sz w:val="13"/>
                <w:szCs w:val="13"/>
                <w:color w:val="auto"/>
              </w:rPr>
              <w:t>684,611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22,266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706,877</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of credit</w:t>
            </w: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157,893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75,907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3,851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14,663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262,577</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85</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371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689</w:t>
            </w:r>
          </w:p>
        </w:tc>
        <w:tc>
          <w:tcPr>
            <w:tcW w:w="0" w:type="dxa"/>
            <w:vAlign w:val="bottom"/>
          </w:tcPr>
          <w:p>
            <w:pPr>
              <w:spacing w:after="0"/>
              <w:rPr>
                <w:sz w:val="1"/>
                <w:szCs w:val="1"/>
                <w:color w:val="auto"/>
              </w:rPr>
            </w:pPr>
          </w:p>
        </w:tc>
      </w:tr>
      <w:tr>
        <w:trPr>
          <w:trHeight w:val="115"/>
        </w:trPr>
        <w:tc>
          <w:tcPr>
            <w:tcW w:w="1600" w:type="dxa"/>
            <w:vAlign w:val="bottom"/>
          </w:tcPr>
          <w:p>
            <w:pPr>
              <w:ind w:left="200"/>
              <w:spacing w:after="0" w:line="115" w:lineRule="exact"/>
              <w:rPr>
                <w:sz w:val="20"/>
                <w:szCs w:val="20"/>
                <w:color w:val="auto"/>
              </w:rPr>
            </w:pPr>
            <w:r>
              <w:rPr>
                <w:rFonts w:ascii="Arial" w:cs="Arial" w:eastAsia="Arial" w:hAnsi="Arial"/>
                <w:sz w:val="13"/>
                <w:szCs w:val="13"/>
                <w:color w:val="auto"/>
              </w:rPr>
              <w:t>Total residential</w:t>
            </w:r>
          </w:p>
        </w:tc>
        <w:tc>
          <w:tcPr>
            <w:tcW w:w="140" w:type="dxa"/>
            <w:vAlign w:val="bottom"/>
          </w:tcPr>
          <w:p>
            <w:pPr>
              <w:spacing w:after="0"/>
              <w:rPr>
                <w:sz w:val="10"/>
                <w:szCs w:val="10"/>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3"/>
                <w:szCs w:val="13"/>
                <w:color w:val="auto"/>
              </w:rPr>
              <w:t>157,893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restart"/>
          </w:tcPr>
          <w:p>
            <w:pPr>
              <w:jc w:val="right"/>
              <w:ind w:right="15"/>
              <w:spacing w:after="0"/>
              <w:rPr>
                <w:sz w:val="20"/>
                <w:szCs w:val="20"/>
                <w:color w:val="auto"/>
              </w:rPr>
            </w:pPr>
            <w:r>
              <w:rPr>
                <w:rFonts w:ascii="Arial" w:cs="Arial" w:eastAsia="Arial" w:hAnsi="Arial"/>
                <w:sz w:val="13"/>
                <w:szCs w:val="13"/>
                <w:color w:val="auto"/>
              </w:rPr>
              <w:t>75,992</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5,222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5,063</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3,992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3"/>
                <w:szCs w:val="13"/>
                <w:color w:val="auto"/>
              </w:rPr>
              <w:t>15,034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20" w:type="dxa"/>
            <w:vAlign w:val="bottom"/>
            <w:vMerge w:val="restart"/>
          </w:tcPr>
          <w:p>
            <w:pPr>
              <w:jc w:val="right"/>
              <w:ind w:right="15"/>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263,266</w:t>
            </w:r>
          </w:p>
        </w:tc>
        <w:tc>
          <w:tcPr>
            <w:tcW w:w="0" w:type="dxa"/>
            <w:vAlign w:val="bottom"/>
          </w:tcPr>
          <w:p>
            <w:pPr>
              <w:spacing w:after="0"/>
              <w:rPr>
                <w:sz w:val="1"/>
                <w:szCs w:val="1"/>
                <w:color w:val="auto"/>
              </w:rPr>
            </w:pPr>
          </w:p>
        </w:tc>
      </w:tr>
      <w:tr>
        <w:trPr>
          <w:trHeight w:val="162"/>
        </w:trPr>
        <w:tc>
          <w:tcPr>
            <w:tcW w:w="1600" w:type="dxa"/>
            <w:vAlign w:val="bottom"/>
          </w:tcPr>
          <w:p>
            <w:pPr>
              <w:ind w:left="200"/>
              <w:spacing w:after="0"/>
              <w:rPr>
                <w:sz w:val="20"/>
                <w:szCs w:val="20"/>
                <w:color w:val="auto"/>
              </w:rPr>
            </w:pPr>
            <w:r>
              <w:rPr>
                <w:rFonts w:ascii="Arial" w:cs="Arial" w:eastAsia="Arial" w:hAnsi="Arial"/>
                <w:sz w:val="13"/>
                <w:szCs w:val="13"/>
                <w:color w:val="auto"/>
              </w:rPr>
              <w:t>construction</w:t>
            </w: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43,495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31,411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17,547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4,517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2,193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41,840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147,145</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105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427</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 consumer</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43,497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31,495</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17,583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6,184</w:t>
            </w:r>
          </w:p>
        </w:tc>
        <w:tc>
          <w:tcPr>
            <w:tcW w:w="14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4,603</w:t>
            </w:r>
          </w:p>
        </w:tc>
        <w:tc>
          <w:tcPr>
            <w:tcW w:w="140" w:type="dxa"/>
            <w:vAlign w:val="bottom"/>
            <w:tcBorders>
              <w:top w:val="single" w:sz="8" w:color="CCEEFF"/>
              <w:bottom w:val="single" w:sz="8" w:color="auto"/>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2,298</w:t>
            </w:r>
          </w:p>
        </w:tc>
        <w:tc>
          <w:tcPr>
            <w:tcW w:w="140" w:type="dxa"/>
            <w:vAlign w:val="bottom"/>
            <w:tcBorders>
              <w:top w:val="single" w:sz="8" w:color="CCEEFF"/>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41,927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3"/>
                <w:szCs w:val="13"/>
                <w:color w:val="auto"/>
              </w:rPr>
              <w:t>72</w:t>
            </w:r>
          </w:p>
        </w:tc>
        <w:tc>
          <w:tcPr>
            <w:tcW w:w="120" w:type="dxa"/>
            <w:vAlign w:val="bottom"/>
            <w:tcBorders>
              <w:top w:val="single" w:sz="8" w:color="CCEEFF"/>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147,659</w:t>
            </w:r>
          </w:p>
        </w:tc>
        <w:tc>
          <w:tcPr>
            <w:tcW w:w="0" w:type="dxa"/>
            <w:vAlign w:val="bottom"/>
          </w:tcPr>
          <w:p>
            <w:pPr>
              <w:spacing w:after="0"/>
              <w:rPr>
                <w:sz w:val="1"/>
                <w:szCs w:val="1"/>
                <w:color w:val="auto"/>
              </w:rPr>
            </w:pPr>
          </w:p>
        </w:tc>
      </w:tr>
      <w:tr>
        <w:trPr>
          <w:trHeight w:val="143"/>
        </w:trPr>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loans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600" w:type="dxa"/>
            <w:vAlign w:val="bottom"/>
          </w:tcPr>
          <w:p>
            <w:pPr>
              <w:ind w:left="120"/>
              <w:spacing w:after="0"/>
              <w:rPr>
                <w:sz w:val="20"/>
                <w:szCs w:val="20"/>
                <w:color w:val="auto"/>
              </w:rPr>
            </w:pPr>
            <w:r>
              <w:rPr>
                <w:rFonts w:ascii="Arial" w:cs="Arial" w:eastAsia="Arial" w:hAnsi="Arial"/>
                <w:sz w:val="13"/>
                <w:szCs w:val="13"/>
                <w:color w:val="auto"/>
              </w:rPr>
              <w:t>Pass</w:t>
            </w: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w w:val="96"/>
              </w:rPr>
              <w:t>3,908,849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3"/>
                <w:szCs w:val="13"/>
                <w:color w:val="auto"/>
                <w:w w:val="96"/>
              </w:rPr>
              <w:t>2,129,948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1,589,733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933,825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779,683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ind w:right="15"/>
              <w:spacing w:after="0"/>
              <w:rPr>
                <w:sz w:val="20"/>
                <w:szCs w:val="20"/>
                <w:color w:val="auto"/>
              </w:rPr>
            </w:pPr>
            <w:r>
              <w:rPr>
                <w:rFonts w:ascii="Arial" w:cs="Arial" w:eastAsia="Arial" w:hAnsi="Arial"/>
                <w:sz w:val="13"/>
                <w:szCs w:val="13"/>
                <w:color w:val="auto"/>
              </w:rPr>
              <w:t>779,596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3"/>
                <w:szCs w:val="13"/>
                <w:color w:val="auto"/>
              </w:rPr>
              <w:t>1,300,519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15"/>
              <w:spacing w:after="0"/>
              <w:rPr>
                <w:sz w:val="20"/>
                <w:szCs w:val="20"/>
                <w:color w:val="auto"/>
              </w:rPr>
            </w:pPr>
            <w:r>
              <w:rPr>
                <w:rFonts w:ascii="Arial" w:cs="Arial" w:eastAsia="Arial" w:hAnsi="Arial"/>
                <w:sz w:val="13"/>
                <w:szCs w:val="13"/>
                <w:color w:val="auto"/>
              </w:rPr>
              <w:t>59,706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5"/>
              </w:rPr>
              <w:t>11,481,859</w:t>
            </w:r>
          </w:p>
        </w:tc>
        <w:tc>
          <w:tcPr>
            <w:tcW w:w="0" w:type="dxa"/>
            <w:vAlign w:val="bottom"/>
          </w:tcPr>
          <w:p>
            <w:pPr>
              <w:spacing w:after="0"/>
              <w:rPr>
                <w:sz w:val="1"/>
                <w:szCs w:val="1"/>
                <w:color w:val="auto"/>
              </w:rPr>
            </w:pPr>
          </w:p>
        </w:tc>
      </w:tr>
      <w:tr>
        <w:trPr>
          <w:trHeight w:val="217"/>
        </w:trPr>
        <w:tc>
          <w:tcPr>
            <w:tcW w:w="16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Watch</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29,479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10,436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35,281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11,168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1,908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142,480</w:t>
            </w:r>
          </w:p>
        </w:tc>
        <w:tc>
          <w:tcPr>
            <w:tcW w:w="0" w:type="dxa"/>
            <w:vAlign w:val="bottom"/>
          </w:tcPr>
          <w:p>
            <w:pPr>
              <w:spacing w:after="0"/>
              <w:rPr>
                <w:sz w:val="1"/>
                <w:szCs w:val="1"/>
                <w:color w:val="auto"/>
              </w:rPr>
            </w:pPr>
          </w:p>
        </w:tc>
      </w:tr>
      <w:tr>
        <w:trPr>
          <w:trHeight w:val="215"/>
        </w:trPr>
        <w:tc>
          <w:tcPr>
            <w:tcW w:w="160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Substandard</w:t>
            </w: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27,670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23,780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28,244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24,645</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22,973</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22,025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18,156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7,078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174,571</w:t>
            </w:r>
          </w:p>
        </w:tc>
        <w:tc>
          <w:tcPr>
            <w:tcW w:w="0" w:type="dxa"/>
            <w:vAlign w:val="bottom"/>
          </w:tcPr>
          <w:p>
            <w:pPr>
              <w:spacing w:after="0"/>
              <w:rPr>
                <w:sz w:val="1"/>
                <w:szCs w:val="1"/>
                <w:color w:val="auto"/>
              </w:rPr>
            </w:pPr>
          </w:p>
        </w:tc>
      </w:tr>
      <w:tr>
        <w:trPr>
          <w:trHeight w:val="190"/>
        </w:trPr>
        <w:tc>
          <w:tcPr>
            <w:tcW w:w="1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 loans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96"/>
              </w:rPr>
              <w:t>3,965,998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96"/>
              </w:rPr>
              <w:t>2,164,164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1,639,789</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976,227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837,937</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816,260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1,329,843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68,692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11,798,910</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Based on the most recent analysis performed, the risk category of loans by class of loans as of the date indicated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2019</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Pass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Watch</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4"/>
              </w:rPr>
              <w:t>Substandard</w:t>
            </w:r>
          </w:p>
        </w:tc>
        <w:tc>
          <w:tcPr>
            <w:tcW w:w="1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Doubtful /</w:t>
            </w:r>
          </w:p>
        </w:tc>
        <w:tc>
          <w:tcPr>
            <w:tcW w:w="280" w:type="dxa"/>
            <w:vAlign w:val="bottom"/>
          </w:tcPr>
          <w:p>
            <w:pPr>
              <w:spacing w:after="0"/>
              <w:rPr>
                <w:sz w:val="13"/>
                <w:szCs w:val="13"/>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Loss</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20" w:type="dxa"/>
            <w:vAlign w:val="bottom"/>
          </w:tcPr>
          <w:p>
            <w:pPr>
              <w:ind w:left="2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1,638,398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24,563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48,720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1,711,681</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1,980,722</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1,156,366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1,220,331</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960,251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969,353</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737,418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740,559</w:t>
            </w:r>
          </w:p>
        </w:tc>
        <w:tc>
          <w:tcPr>
            <w:tcW w:w="0" w:type="dxa"/>
            <w:vAlign w:val="bottom"/>
          </w:tcPr>
          <w:p>
            <w:pPr>
              <w:spacing w:after="0"/>
              <w:rPr>
                <w:sz w:val="1"/>
                <w:szCs w:val="1"/>
                <w:color w:val="auto"/>
              </w:rPr>
            </w:pPr>
          </w:p>
        </w:tc>
      </w:tr>
      <w:tr>
        <w:trPr>
          <w:trHeight w:val="212"/>
        </w:trPr>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6,406,957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6,622,646</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1,093,902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1,108,037</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659,265</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234,791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236,063</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127,896</w:t>
            </w:r>
          </w:p>
        </w:tc>
        <w:tc>
          <w:tcPr>
            <w:tcW w:w="0" w:type="dxa"/>
            <w:vAlign w:val="bottom"/>
          </w:tcPr>
          <w:p>
            <w:pPr>
              <w:spacing w:after="0"/>
              <w:rPr>
                <w:sz w:val="1"/>
                <w:szCs w:val="1"/>
                <w:color w:val="auto"/>
              </w:rPr>
            </w:pPr>
          </w:p>
        </w:tc>
      </w:tr>
      <w:tr>
        <w:trPr>
          <w:trHeight w:val="206"/>
        </w:trPr>
        <w:tc>
          <w:tcPr>
            <w:tcW w:w="4520" w:type="dxa"/>
            <w:vAlign w:val="bottom"/>
          </w:tcPr>
          <w:p>
            <w:pPr>
              <w:ind w:left="120"/>
              <w:spacing w:after="0"/>
              <w:rPr>
                <w:sz w:val="20"/>
                <w:szCs w:val="20"/>
                <w:color w:val="auto"/>
              </w:rPr>
            </w:pPr>
            <w:r>
              <w:rPr>
                <w:rFonts w:ascii="Arial" w:cs="Arial" w:eastAsia="Arial" w:hAnsi="Arial"/>
                <w:sz w:val="16"/>
                <w:szCs w:val="16"/>
                <w:color w:val="auto"/>
              </w:rPr>
              <w:t>Total loans, excluding PCI loans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8,517,776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83,930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152,201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8,753,907</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8,546</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27,228</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Commercial &amp; industrial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construction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6,862</w:t>
            </w: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0" w:type="dxa"/>
            <w:vAlign w:val="bottom"/>
          </w:tcPr>
          <w:p>
            <w:pPr>
              <w:spacing w:after="0"/>
              <w:rPr>
                <w:sz w:val="1"/>
                <w:szCs w:val="1"/>
                <w:color w:val="auto"/>
              </w:rPr>
            </w:pPr>
          </w:p>
        </w:tc>
      </w:tr>
      <w:tr>
        <w:trPr>
          <w:trHeight w:val="213"/>
        </w:trPr>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commercial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46,947</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9,579</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equity lines of credit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0" w:type="dxa"/>
            <w:vAlign w:val="bottom"/>
          </w:tcPr>
          <w:p>
            <w:pPr>
              <w:spacing w:after="0"/>
              <w:rPr>
                <w:sz w:val="1"/>
                <w:szCs w:val="1"/>
                <w:color w:val="auto"/>
              </w:rPr>
            </w:pP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Residential construction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19"/>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06"/>
        </w:trPr>
        <w:tc>
          <w:tcPr>
            <w:tcW w:w="4520" w:type="dxa"/>
            <w:vAlign w:val="bottom"/>
          </w:tcPr>
          <w:p>
            <w:pPr>
              <w:ind w:left="120"/>
              <w:spacing w:after="0"/>
              <w:rPr>
                <w:sz w:val="20"/>
                <w:szCs w:val="20"/>
                <w:color w:val="auto"/>
              </w:rPr>
            </w:pPr>
            <w:r>
              <w:rPr>
                <w:rFonts w:ascii="Arial" w:cs="Arial" w:eastAsia="Arial" w:hAnsi="Arial"/>
                <w:sz w:val="16"/>
                <w:szCs w:val="16"/>
                <w:color w:val="auto"/>
              </w:rPr>
              <w:t>Total PCI loans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40,683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9,773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8,190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58,646</w:t>
            </w:r>
          </w:p>
        </w:tc>
        <w:tc>
          <w:tcPr>
            <w:tcW w:w="0" w:type="dxa"/>
            <w:vAlign w:val="bottom"/>
          </w:tcPr>
          <w:p>
            <w:pPr>
              <w:spacing w:after="0"/>
              <w:rPr>
                <w:sz w:val="1"/>
                <w:szCs w:val="1"/>
                <w:color w:val="auto"/>
              </w:rPr>
            </w:pPr>
          </w:p>
        </w:tc>
      </w:tr>
      <w:tr>
        <w:trPr>
          <w:trHeight w:val="199"/>
        </w:trPr>
        <w:tc>
          <w:tcPr>
            <w:tcW w:w="4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20"/>
              <w:spacing w:after="0"/>
              <w:rPr>
                <w:sz w:val="20"/>
                <w:szCs w:val="20"/>
                <w:color w:val="auto"/>
              </w:rPr>
            </w:pPr>
            <w:r>
              <w:rPr>
                <w:rFonts w:ascii="Arial" w:cs="Arial" w:eastAsia="Arial" w:hAnsi="Arial"/>
                <w:sz w:val="16"/>
                <w:szCs w:val="16"/>
                <w:color w:val="auto"/>
              </w:rPr>
              <w:t>Total loan portfolio</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8,558,459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93,703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160,391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8,812,553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Troubled Debt Restructurings and Other Modifications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September 30, 2020 and December 31, 2019, United had TDRs totaling $54.5 million and $54.2 million, respectively. United allocated $927,000 and $2.51 million of ACL for TDRs as of September 30, 2020 and December 31, 2019, respectively. As of September 30, 2020, there were commitments to lend additional amounts to customers with outstanding loans that are classified as TDRs totaling $14,000. As of December 31, 2019, there were no commitments to lend additional amounts to customers with outstanding loans that are classified as TDRs.</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United had remaining short-term deferrals related to the COVID-19 crisis of approximately $365 million, which generally represented payment deferrals for up to 90 days. To the extent that these deferrals qualified under either the CARES Act or interagency guidance, they were not considered new TDRs.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Loans modified under the terms of a TDR during the three and nine months ended September 30, 2020 and 2019 are presented in the following table. In addition, the table presents loans modified under the terms of a TDR that defaulted (became 90 days or more delinquent or otherwise in default of modified terms) during the periods presented and were initially restructured within one year prior to default </w:t>
      </w:r>
      <w:r>
        <w:rPr>
          <w:rFonts w:ascii="Arial" w:cs="Arial" w:eastAsia="Arial" w:hAnsi="Arial"/>
          <w:sz w:val="17"/>
          <w:szCs w:val="17"/>
          <w:i w:val="1"/>
          <w:iCs w:val="1"/>
          <w:color w:val="auto"/>
        </w:rPr>
        <w:t>(dollars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6"/>
              </w:rPr>
              <w:t>New TDRs</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6"/>
              </w:rPr>
              <w:t>TDRs Modified Within the Previous</w:t>
            </w: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20" w:type="dxa"/>
            <w:vAlign w:val="bottom"/>
            <w:gridSpan w:val="10"/>
            <w:vMerge w:val="restart"/>
          </w:tcPr>
          <w:p>
            <w:pPr>
              <w:ind w:left="420"/>
              <w:spacing w:after="0"/>
              <w:rPr>
                <w:sz w:val="20"/>
                <w:szCs w:val="20"/>
                <w:color w:val="auto"/>
              </w:rPr>
            </w:pPr>
            <w:r>
              <w:rPr>
                <w:rFonts w:ascii="Arial" w:cs="Arial" w:eastAsia="Arial" w:hAnsi="Arial"/>
                <w:sz w:val="13"/>
                <w:szCs w:val="13"/>
                <w:b w:val="1"/>
                <w:bCs w:val="1"/>
                <w:color w:val="auto"/>
              </w:rPr>
              <w:t>Post-Modification Amortized Cost by Type of Modification</w:t>
            </w:r>
          </w:p>
        </w:tc>
        <w:tc>
          <w:tcPr>
            <w:tcW w:w="100" w:type="dxa"/>
            <w:vAlign w:val="bottom"/>
            <w:vMerge w:val="restart"/>
          </w:tcPr>
          <w:p>
            <w:pPr>
              <w:spacing w:after="0"/>
              <w:rPr>
                <w:sz w:val="11"/>
                <w:szCs w:val="11"/>
                <w:color w:val="auto"/>
              </w:rPr>
            </w:pPr>
          </w:p>
        </w:tc>
        <w:tc>
          <w:tcPr>
            <w:tcW w:w="224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Twelve Months That Have</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20" w:type="dxa"/>
            <w:vAlign w:val="bottom"/>
            <w:tcBorders>
              <w:bottom w:val="single" w:sz="8" w:color="auto"/>
            </w:tcBorders>
            <w:gridSpan w:val="10"/>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84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3"/>
                <w:szCs w:val="13"/>
                <w:b w:val="1"/>
                <w:bCs w:val="1"/>
                <w:color w:val="auto"/>
                <w:w w:val="91"/>
              </w:rPr>
              <w:t>Subsequently Defaulted</w:t>
            </w: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Number of</w:t>
            </w: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3"/>
                <w:szCs w:val="13"/>
                <w:b w:val="1"/>
                <w:bCs w:val="1"/>
                <w:color w:val="auto"/>
              </w:rPr>
              <w:t>Rate</w:t>
            </w:r>
          </w:p>
        </w:tc>
        <w:tc>
          <w:tcPr>
            <w:tcW w:w="18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Structure</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Total</w:t>
            </w: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Number of</w:t>
            </w: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w w:val="99"/>
              </w:rPr>
              <w:t>Amortized Cost</w:t>
            </w:r>
          </w:p>
        </w:tc>
        <w:tc>
          <w:tcPr>
            <w:tcW w:w="0" w:type="dxa"/>
            <w:vAlign w:val="bottom"/>
          </w:tcPr>
          <w:p>
            <w:pPr>
              <w:spacing w:after="0"/>
              <w:rPr>
                <w:sz w:val="1"/>
                <w:szCs w:val="1"/>
                <w:color w:val="auto"/>
              </w:rPr>
            </w:pPr>
          </w:p>
        </w:tc>
      </w:tr>
      <w:tr>
        <w:trPr>
          <w:trHeight w:val="182"/>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Contracts</w:t>
            </w:r>
          </w:p>
        </w:tc>
        <w:tc>
          <w:tcPr>
            <w:tcW w:w="160" w:type="dxa"/>
            <w:vAlign w:val="bottom"/>
          </w:tcPr>
          <w:p>
            <w:pPr>
              <w:spacing w:after="0"/>
              <w:rPr>
                <w:sz w:val="15"/>
                <w:szCs w:val="15"/>
                <w:color w:val="auto"/>
              </w:rPr>
            </w:pPr>
          </w:p>
        </w:tc>
        <w:tc>
          <w:tcPr>
            <w:tcW w:w="1000" w:type="dxa"/>
            <w:vAlign w:val="bottom"/>
            <w:gridSpan w:val="2"/>
          </w:tcPr>
          <w:p>
            <w:pPr>
              <w:ind w:left="80"/>
              <w:spacing w:after="0"/>
              <w:rPr>
                <w:sz w:val="20"/>
                <w:szCs w:val="20"/>
                <w:color w:val="auto"/>
              </w:rPr>
            </w:pPr>
            <w:r>
              <w:rPr>
                <w:rFonts w:ascii="Arial" w:cs="Arial" w:eastAsia="Arial" w:hAnsi="Arial"/>
                <w:sz w:val="13"/>
                <w:szCs w:val="13"/>
                <w:b w:val="1"/>
                <w:bCs w:val="1"/>
                <w:color w:val="auto"/>
              </w:rPr>
              <w:t>Reduction</w:t>
            </w:r>
          </w:p>
        </w:tc>
        <w:tc>
          <w:tcPr>
            <w:tcW w:w="1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Contracts</w:t>
            </w:r>
          </w:p>
        </w:tc>
        <w:tc>
          <w:tcPr>
            <w:tcW w:w="1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September 30, 2020</w:t>
            </w: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CCEEFF"/>
            </w:tcBorders>
          </w:tcPr>
          <w:p>
            <w:pPr>
              <w:spacing w:after="0"/>
              <w:rPr>
                <w:sz w:val="15"/>
                <w:szCs w:val="15"/>
                <w:color w:val="auto"/>
              </w:rPr>
            </w:pPr>
          </w:p>
        </w:tc>
        <w:tc>
          <w:tcPr>
            <w:tcW w:w="90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CCEEFF"/>
            </w:tcBorders>
          </w:tcPr>
          <w:p>
            <w:pPr>
              <w:spacing w:after="0"/>
              <w:rPr>
                <w:sz w:val="15"/>
                <w:szCs w:val="15"/>
                <w:color w:val="auto"/>
              </w:rPr>
            </w:pPr>
          </w:p>
        </w:tc>
        <w:tc>
          <w:tcPr>
            <w:tcW w:w="840" w:type="dxa"/>
            <w:vAlign w:val="bottom"/>
            <w:tcBorders>
              <w:top w:val="single" w:sz="8" w:color="auto"/>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top w:val="single" w:sz="8" w:color="auto"/>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top w:val="single" w:sz="8" w:color="auto"/>
              <w:bottom w:val="single" w:sz="8" w:color="CCEEFF"/>
            </w:tcBorders>
          </w:tcPr>
          <w:p>
            <w:pPr>
              <w:spacing w:after="0"/>
              <w:rPr>
                <w:sz w:val="15"/>
                <w:szCs w:val="15"/>
                <w:color w:val="auto"/>
              </w:rPr>
            </w:pPr>
          </w:p>
        </w:tc>
        <w:tc>
          <w:tcPr>
            <w:tcW w:w="400" w:type="dxa"/>
            <w:vAlign w:val="bottom"/>
            <w:tcBorders>
              <w:top w:val="single" w:sz="8" w:color="auto"/>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1,617</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76"/>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3,079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3,200</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1060" w:type="dxa"/>
            <w:vAlign w:val="bottom"/>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Nine Months Ended September 30, 2020</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Pr>
          <w:p>
            <w:pPr>
              <w:spacing w:after="0"/>
              <w:rPr>
                <w:sz w:val="15"/>
                <w:szCs w:val="15"/>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1,536</w:t>
            </w:r>
          </w:p>
        </w:tc>
        <w:tc>
          <w:tcPr>
            <w:tcW w:w="100" w:type="dxa"/>
            <w:vAlign w:val="bottom"/>
          </w:tcPr>
          <w:p>
            <w:pPr>
              <w:spacing w:after="0"/>
              <w:rPr>
                <w:sz w:val="15"/>
                <w:szCs w:val="15"/>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1,911</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1,849</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5,998</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633</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31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4,152</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9,022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7,231</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tcPr>
          <w:p>
            <w:pPr>
              <w:jc w:val="right"/>
              <w:spacing w:after="0"/>
              <w:rPr>
                <w:sz w:val="20"/>
                <w:szCs w:val="20"/>
                <w:color w:val="auto"/>
              </w:rPr>
            </w:pPr>
            <w:r>
              <w:rPr>
                <w:rFonts w:ascii="Arial" w:cs="Arial" w:eastAsia="Arial" w:hAnsi="Arial"/>
                <w:sz w:val="13"/>
                <w:szCs w:val="13"/>
                <w:color w:val="auto"/>
              </w:rPr>
              <w:t>36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4,122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4,122</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Home equity lines of credit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Residential construction</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Consumer</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Pr>
          <w:p>
            <w:pPr>
              <w:jc w:val="right"/>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10,039</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3,421</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13,460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7,234</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Three Months Ended September 30, 2019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 direct</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702</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824</w:t>
            </w:r>
          </w:p>
        </w:tc>
        <w:tc>
          <w:tcPr>
            <w:tcW w:w="10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Nine Months Ended September 30, 2019</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Owner occupied commercial real estate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610</w:t>
            </w:r>
          </w:p>
        </w:tc>
        <w:tc>
          <w:tcPr>
            <w:tcW w:w="1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Income producing commercial real estate</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Commercial &amp; industrial</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Commercial construction</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Equipment financing</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commercial</w:t>
            </w:r>
          </w:p>
        </w:tc>
        <w:tc>
          <w:tcPr>
            <w:tcW w:w="106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892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899</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1,784</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Home equity lines of credit</w:t>
            </w:r>
          </w:p>
        </w:tc>
        <w:tc>
          <w:tcPr>
            <w:tcW w:w="10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Consumer direct</w:t>
            </w:r>
          </w:p>
        </w:tc>
        <w:tc>
          <w:tcPr>
            <w:tcW w:w="10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3140" w:type="dxa"/>
            <w:vAlign w:val="bottom"/>
            <w:gridSpan w:val="2"/>
          </w:tcPr>
          <w:p>
            <w:pPr>
              <w:ind w:left="220"/>
              <w:spacing w:after="0"/>
              <w:rPr>
                <w:sz w:val="20"/>
                <w:szCs w:val="20"/>
                <w:color w:val="auto"/>
              </w:rPr>
            </w:pPr>
            <w:r>
              <w:rPr>
                <w:rFonts w:ascii="Arial" w:cs="Arial" w:eastAsia="Arial" w:hAnsi="Arial"/>
                <w:sz w:val="13"/>
                <w:szCs w:val="13"/>
                <w:color w:val="auto"/>
              </w:rPr>
              <w:t>Total loans</w:t>
            </w:r>
          </w:p>
        </w:tc>
        <w:tc>
          <w:tcPr>
            <w:tcW w:w="1060" w:type="dxa"/>
            <w:vAlign w:val="bottom"/>
          </w:tcPr>
          <w:p>
            <w:pPr>
              <w:jc w:val="right"/>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2,726</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3,037</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6"/>
                <w:szCs w:val="16"/>
                <w:color w:val="auto"/>
              </w:rPr>
            </w:pPr>
          </w:p>
        </w:tc>
        <w:tc>
          <w:tcPr>
            <w:tcW w:w="660" w:type="dxa"/>
            <w:vAlign w:val="bottom"/>
          </w:tcPr>
          <w:p>
            <w:pPr>
              <w:jc w:val="right"/>
              <w:ind w:right="513"/>
              <w:spacing w:after="0"/>
              <w:rPr>
                <w:sz w:val="20"/>
                <w:szCs w:val="20"/>
                <w:color w:val="auto"/>
              </w:rPr>
            </w:pPr>
            <w:r>
              <w:rPr>
                <w:rFonts w:ascii="Arial" w:cs="Arial" w:eastAsia="Arial" w:hAnsi="Arial"/>
                <w:sz w:val="13"/>
                <w:szCs w:val="13"/>
                <w:color w:val="auto"/>
                <w:w w:val="82"/>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Since the adoption of ASC 326, the ACL for loans represents management’s estimate of life of loan credit losses in the portfolio as of the end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ACL related to unfunded commitments is included in other liabilities in the consolidated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balance and activity in the ACL by portfolio segment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83185</wp:posOffset>
            </wp:positionV>
            <wp:extent cx="61550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spacing w:after="0" w:line="115"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Three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5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CECL</w:t>
            </w:r>
          </w:p>
        </w:tc>
        <w:tc>
          <w:tcPr>
            <w:tcW w:w="7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0"/>
              </w:rPr>
              <w:t>Incurred Loss</w:t>
            </w:r>
          </w:p>
        </w:tc>
        <w:tc>
          <w:tcPr>
            <w:tcW w:w="12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20"/>
              <w:spacing w:after="0" w:line="121" w:lineRule="exact"/>
              <w:rPr>
                <w:sz w:val="20"/>
                <w:szCs w:val="20"/>
                <w:color w:val="auto"/>
              </w:rPr>
            </w:pPr>
            <w:r>
              <w:rPr>
                <w:rFonts w:ascii="Arial" w:cs="Arial" w:eastAsia="Arial" w:hAnsi="Arial"/>
                <w:sz w:val="13"/>
                <w:szCs w:val="13"/>
                <w:b w:val="1"/>
                <w:bCs w:val="1"/>
                <w:color w:val="auto"/>
              </w:rPr>
              <w:t>Beginning</w:t>
            </w:r>
          </w:p>
        </w:tc>
        <w:tc>
          <w:tcPr>
            <w:tcW w:w="900" w:type="dxa"/>
            <w:vAlign w:val="bottom"/>
            <w:gridSpan w:val="2"/>
          </w:tcPr>
          <w:p>
            <w:pPr>
              <w:ind w:left="140"/>
              <w:spacing w:after="0" w:line="121" w:lineRule="exact"/>
              <w:rPr>
                <w:sz w:val="20"/>
                <w:szCs w:val="20"/>
                <w:color w:val="auto"/>
              </w:rPr>
            </w:pPr>
            <w:r>
              <w:rPr>
                <w:rFonts w:ascii="Arial" w:cs="Arial" w:eastAsia="Arial" w:hAnsi="Arial"/>
                <w:sz w:val="13"/>
                <w:szCs w:val="13"/>
                <w:b w:val="1"/>
                <w:bCs w:val="1"/>
                <w:color w:val="auto"/>
              </w:rPr>
              <w:t>Initial ACL -</w:t>
            </w:r>
          </w:p>
        </w:tc>
        <w:tc>
          <w:tcPr>
            <w:tcW w:w="8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Charge-Offs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3"/>
              </w:rPr>
              <w:t>Recoveries</w:t>
            </w:r>
          </w:p>
        </w:tc>
        <w:tc>
          <w:tcPr>
            <w:tcW w:w="1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(Release)</w:t>
            </w:r>
          </w:p>
        </w:tc>
        <w:tc>
          <w:tcPr>
            <w:tcW w:w="100" w:type="dxa"/>
            <w:vAlign w:val="bottom"/>
          </w:tcPr>
          <w:p>
            <w:pPr>
              <w:spacing w:after="0"/>
              <w:rPr>
                <w:sz w:val="10"/>
                <w:szCs w:val="10"/>
                <w:color w:val="auto"/>
              </w:rPr>
            </w:pPr>
          </w:p>
        </w:tc>
        <w:tc>
          <w:tcPr>
            <w:tcW w:w="580" w:type="dxa"/>
            <w:vAlign w:val="bottom"/>
          </w:tcPr>
          <w:p>
            <w:pPr>
              <w:jc w:val="right"/>
              <w:ind w:right="77"/>
              <w:spacing w:after="0" w:line="121" w:lineRule="exact"/>
              <w:rPr>
                <w:sz w:val="20"/>
                <w:szCs w:val="20"/>
                <w:color w:val="auto"/>
              </w:rPr>
            </w:pPr>
            <w:r>
              <w:rPr>
                <w:rFonts w:ascii="Arial" w:cs="Arial" w:eastAsia="Arial" w:hAnsi="Arial"/>
                <w:sz w:val="13"/>
                <w:szCs w:val="13"/>
                <w:b w:val="1"/>
                <w:bCs w:val="1"/>
                <w:color w:val="auto"/>
                <w:w w:val="95"/>
              </w:rPr>
              <w:t>Ending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ind w:left="20"/>
              <w:spacing w:after="0" w:line="121" w:lineRule="exact"/>
              <w:rPr>
                <w:sz w:val="20"/>
                <w:szCs w:val="20"/>
                <w:color w:val="auto"/>
              </w:rPr>
            </w:pPr>
            <w:r>
              <w:rPr>
                <w:rFonts w:ascii="Arial" w:cs="Arial" w:eastAsia="Arial" w:hAnsi="Arial"/>
                <w:sz w:val="13"/>
                <w:szCs w:val="13"/>
                <w:b w:val="1"/>
                <w:bCs w:val="1"/>
                <w:color w:val="auto"/>
              </w:rPr>
              <w:t>Beginning</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5"/>
              </w:rPr>
              <w:t>Charge-Offs</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83"/>
              </w:rPr>
              <w:t>Recoveries</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line="121" w:lineRule="exact"/>
              <w:rPr>
                <w:sz w:val="20"/>
                <w:szCs w:val="20"/>
                <w:color w:val="auto"/>
              </w:rPr>
            </w:pPr>
            <w:r>
              <w:rPr>
                <w:rFonts w:ascii="Arial" w:cs="Arial" w:eastAsia="Arial" w:hAnsi="Arial"/>
                <w:sz w:val="13"/>
                <w:szCs w:val="13"/>
                <w:b w:val="1"/>
                <w:bCs w:val="1"/>
                <w:color w:val="auto"/>
              </w:rPr>
              <w:t>(Release)</w:t>
            </w:r>
          </w:p>
        </w:tc>
        <w:tc>
          <w:tcPr>
            <w:tcW w:w="80" w:type="dxa"/>
            <w:vAlign w:val="bottom"/>
          </w:tcPr>
          <w:p>
            <w:pPr>
              <w:spacing w:after="0"/>
              <w:rPr>
                <w:sz w:val="10"/>
                <w:szCs w:val="10"/>
                <w:color w:val="auto"/>
              </w:rPr>
            </w:pPr>
          </w:p>
        </w:tc>
        <w:tc>
          <w:tcPr>
            <w:tcW w:w="560" w:type="dxa"/>
            <w:vAlign w:val="bottom"/>
          </w:tcPr>
          <w:p>
            <w:pPr>
              <w:jc w:val="right"/>
              <w:ind w:right="57"/>
              <w:spacing w:after="0" w:line="121" w:lineRule="exact"/>
              <w:rPr>
                <w:sz w:val="20"/>
                <w:szCs w:val="20"/>
                <w:color w:val="auto"/>
              </w:rPr>
            </w:pPr>
            <w:r>
              <w:rPr>
                <w:rFonts w:ascii="Arial" w:cs="Arial" w:eastAsia="Arial" w:hAnsi="Arial"/>
                <w:sz w:val="13"/>
                <w:szCs w:val="13"/>
                <w:b w:val="1"/>
                <w:bCs w:val="1"/>
                <w:color w:val="auto"/>
                <w:w w:val="95"/>
              </w:rPr>
              <w:t>Ending</w:t>
            </w:r>
          </w:p>
        </w:tc>
        <w:tc>
          <w:tcPr>
            <w:tcW w:w="0" w:type="dxa"/>
            <w:vAlign w:val="bottom"/>
          </w:tcPr>
          <w:p>
            <w:pPr>
              <w:spacing w:after="0"/>
              <w:rPr>
                <w:sz w:val="1"/>
                <w:szCs w:val="1"/>
                <w:color w:val="auto"/>
              </w:rPr>
            </w:pPr>
          </w:p>
        </w:tc>
      </w:tr>
      <w:tr>
        <w:trPr>
          <w:trHeight w:val="175"/>
        </w:trPr>
        <w:tc>
          <w:tcPr>
            <w:tcW w:w="1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Balance</w:t>
            </w:r>
          </w:p>
        </w:tc>
        <w:tc>
          <w:tcPr>
            <w:tcW w:w="100" w:type="dxa"/>
            <w:vAlign w:val="bottom"/>
          </w:tcPr>
          <w:p>
            <w:pPr>
              <w:spacing w:after="0"/>
              <w:rPr>
                <w:sz w:val="15"/>
                <w:szCs w:val="15"/>
                <w:color w:val="auto"/>
              </w:rPr>
            </w:pPr>
          </w:p>
        </w:tc>
        <w:tc>
          <w:tcPr>
            <w:tcW w:w="900" w:type="dxa"/>
            <w:vAlign w:val="bottom"/>
            <w:tcBorders>
              <w:bottom w:val="single" w:sz="8" w:color="auto"/>
            </w:tcBorders>
            <w:gridSpan w:val="2"/>
          </w:tcPr>
          <w:p>
            <w:pPr>
              <w:ind w:left="140"/>
              <w:spacing w:after="0" w:line="175" w:lineRule="exact"/>
              <w:rPr>
                <w:sz w:val="20"/>
                <w:szCs w:val="20"/>
                <w:color w:val="auto"/>
              </w:rPr>
            </w:pPr>
            <w:r>
              <w:rPr>
                <w:rFonts w:ascii="Arial" w:cs="Arial" w:eastAsia="Arial" w:hAnsi="Arial"/>
                <w:sz w:val="13"/>
                <w:szCs w:val="13"/>
                <w:b w:val="1"/>
                <w:bCs w:val="1"/>
                <w:color w:val="auto"/>
                <w:w w:val="90"/>
              </w:rPr>
              <w:t xml:space="preserve">PCD loans </w:t>
            </w:r>
            <w:r>
              <w:rPr>
                <w:rFonts w:ascii="Arial" w:cs="Arial" w:eastAsia="Arial" w:hAnsi="Arial"/>
                <w:sz w:val="16"/>
                <w:szCs w:val="16"/>
                <w:b w:val="1"/>
                <w:bCs w:val="1"/>
                <w:color w:val="auto"/>
                <w:w w:val="90"/>
                <w:vertAlign w:val="superscript"/>
              </w:rPr>
              <w:t>(1)</w:t>
            </w:r>
          </w:p>
        </w:tc>
        <w:tc>
          <w:tcPr>
            <w:tcW w:w="8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1"/>
              </w:rPr>
              <w:t>Provision</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5"/>
                <w:szCs w:val="15"/>
                <w:color w:val="auto"/>
              </w:rPr>
            </w:pPr>
          </w:p>
        </w:tc>
        <w:tc>
          <w:tcPr>
            <w:tcW w:w="8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1"/>
              </w:rPr>
              <w:t>Provision</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4"/>
              </w:rPr>
              <w:t>Balance</w:t>
            </w:r>
          </w:p>
        </w:tc>
        <w:tc>
          <w:tcPr>
            <w:tcW w:w="0" w:type="dxa"/>
            <w:vAlign w:val="bottom"/>
          </w:tcPr>
          <w:p>
            <w:pPr>
              <w:spacing w:after="0"/>
              <w:rPr>
                <w:sz w:val="1"/>
                <w:szCs w:val="1"/>
                <w:color w:val="auto"/>
              </w:rPr>
            </w:pPr>
          </w:p>
        </w:tc>
      </w:tr>
      <w:tr>
        <w:trPr>
          <w:trHeight w:val="102"/>
        </w:trPr>
        <w:tc>
          <w:tcPr>
            <w:tcW w:w="1540" w:type="dxa"/>
            <w:vAlign w:val="bottom"/>
          </w:tcPr>
          <w:p>
            <w:pPr>
              <w:ind w:left="20"/>
              <w:spacing w:after="0" w:line="102" w:lineRule="exact"/>
              <w:rPr>
                <w:sz w:val="20"/>
                <w:szCs w:val="20"/>
                <w:color w:val="auto"/>
              </w:rPr>
            </w:pPr>
            <w:r>
              <w:rPr>
                <w:rFonts w:ascii="Arial" w:cs="Arial" w:eastAsia="Arial" w:hAnsi="Arial"/>
                <w:sz w:val="10"/>
                <w:szCs w:val="10"/>
                <w:color w:val="auto"/>
              </w:rPr>
              <w:t>Owner occupied</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14,592</w:t>
            </w:r>
          </w:p>
        </w:tc>
        <w:tc>
          <w:tcPr>
            <w:tcW w:w="10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1,779</w:t>
            </w:r>
          </w:p>
        </w:tc>
        <w:tc>
          <w:tcPr>
            <w:tcW w:w="2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ind w:left="3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725</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2,278</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19,374</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11,545</w:t>
            </w:r>
          </w:p>
        </w:tc>
        <w:tc>
          <w:tcPr>
            <w:tcW w:w="100" w:type="dxa"/>
            <w:vAlign w:val="bottom"/>
          </w:tcPr>
          <w:p>
            <w:pPr>
              <w:spacing w:after="0"/>
              <w:rPr>
                <w:sz w:val="8"/>
                <w:szCs w:val="8"/>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(165)</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11,419</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Income producing</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21,699</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1,208</w:t>
            </w:r>
          </w:p>
        </w:tc>
        <w:tc>
          <w:tcPr>
            <w:tcW w:w="2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(3,033)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13,916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35,038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11,020</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11,062</w:t>
            </w:r>
          </w:p>
        </w:tc>
        <w:tc>
          <w:tcPr>
            <w:tcW w:w="0" w:type="dxa"/>
            <w:vAlign w:val="bottom"/>
          </w:tcPr>
          <w:p>
            <w:pPr>
              <w:spacing w:after="0"/>
              <w:rPr>
                <w:sz w:val="1"/>
                <w:szCs w:val="1"/>
                <w:color w:val="auto"/>
              </w:rPr>
            </w:pPr>
          </w:p>
        </w:tc>
      </w:tr>
      <w:tr>
        <w:trPr>
          <w:trHeight w:val="175"/>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8,589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7,680</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21,524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5,308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(898)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5,390</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construction</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74</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10,407</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Equipment financing</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20,305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15,176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(1,376)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7,246</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4,506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w w:val="97"/>
              </w:rPr>
              <w:t>Home equity lines of credit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8,687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209</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4,794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4,683</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68"/>
        </w:trPr>
        <w:tc>
          <w:tcPr>
            <w:tcW w:w="1540" w:type="dxa"/>
            <w:vAlign w:val="bottom"/>
          </w:tcPr>
          <w:p>
            <w:pPr>
              <w:ind w:left="20"/>
              <w:spacing w:after="0"/>
              <w:rPr>
                <w:sz w:val="20"/>
                <w:szCs w:val="20"/>
                <w:color w:val="auto"/>
              </w:rPr>
            </w:pPr>
            <w:r>
              <w:rPr>
                <w:rFonts w:ascii="Arial" w:cs="Arial" w:eastAsia="Arial" w:hAnsi="Arial"/>
                <w:sz w:val="13"/>
                <w:szCs w:val="13"/>
                <w:color w:val="auto"/>
              </w:rPr>
              <w:t>Consumer</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855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877</w:t>
            </w:r>
          </w:p>
        </w:tc>
        <w:tc>
          <w:tcPr>
            <w:tcW w:w="0" w:type="dxa"/>
            <w:vAlign w:val="bottom"/>
          </w:tcPr>
          <w:p>
            <w:pPr>
              <w:spacing w:after="0"/>
              <w:rPr>
                <w:sz w:val="1"/>
                <w:szCs w:val="1"/>
                <w:color w:val="auto"/>
              </w:rPr>
            </w:pPr>
          </w:p>
        </w:tc>
      </w:tr>
      <w:tr>
        <w:trPr>
          <w:trHeight w:val="183"/>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02"/>
        </w:trPr>
        <w:tc>
          <w:tcPr>
            <w:tcW w:w="1540" w:type="dxa"/>
            <w:vAlign w:val="bottom"/>
          </w:tcPr>
          <w:p>
            <w:pPr>
              <w:ind w:left="220"/>
              <w:spacing w:after="0" w:line="102" w:lineRule="exact"/>
              <w:rPr>
                <w:sz w:val="20"/>
                <w:szCs w:val="20"/>
                <w:color w:val="auto"/>
              </w:rPr>
            </w:pPr>
            <w:r>
              <w:rPr>
                <w:rFonts w:ascii="Arial" w:cs="Arial" w:eastAsia="Arial" w:hAnsi="Arial"/>
                <w:sz w:val="10"/>
                <w:szCs w:val="10"/>
                <w:color w:val="auto"/>
              </w:rPr>
              <w:t>Total allowance for</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103,669</w:t>
            </w:r>
          </w:p>
        </w:tc>
        <w:tc>
          <w:tcPr>
            <w:tcW w:w="10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11,152</w:t>
            </w:r>
          </w:p>
        </w:tc>
        <w:tc>
          <w:tcPr>
            <w:tcW w:w="28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(6,756)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4,218</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21,973</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134,256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62,204</w:t>
            </w:r>
          </w:p>
        </w:tc>
        <w:tc>
          <w:tcPr>
            <w:tcW w:w="10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(4,080)</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1,357</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3,033</w:t>
            </w: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62,514</w:t>
            </w:r>
          </w:p>
        </w:tc>
        <w:tc>
          <w:tcPr>
            <w:tcW w:w="0" w:type="dxa"/>
            <w:vAlign w:val="bottom"/>
          </w:tcPr>
          <w:p>
            <w:pPr>
              <w:spacing w:after="0"/>
              <w:rPr>
                <w:sz w:val="1"/>
                <w:szCs w:val="1"/>
                <w:color w:val="auto"/>
              </w:rPr>
            </w:pPr>
          </w:p>
        </w:tc>
      </w:tr>
      <w:tr>
        <w:trPr>
          <w:trHeight w:val="168"/>
        </w:trPr>
        <w:tc>
          <w:tcPr>
            <w:tcW w:w="1540" w:type="dxa"/>
            <w:vAlign w:val="bottom"/>
          </w:tcPr>
          <w:p>
            <w:pPr>
              <w:ind w:left="220"/>
              <w:spacing w:after="0"/>
              <w:rPr>
                <w:sz w:val="20"/>
                <w:szCs w:val="20"/>
                <w:color w:val="auto"/>
              </w:rPr>
            </w:pPr>
            <w:r>
              <w:rPr>
                <w:rFonts w:ascii="Arial" w:cs="Arial" w:eastAsia="Arial" w:hAnsi="Arial"/>
                <w:sz w:val="13"/>
                <w:szCs w:val="13"/>
                <w:color w:val="auto"/>
              </w:rPr>
              <w:t>loan losses</w:t>
            </w: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5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Allowance for unfunded</w:t>
            </w:r>
          </w:p>
        </w:tc>
        <w:tc>
          <w:tcPr>
            <w:tcW w:w="12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12,100</w:t>
            </w: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3,391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0" w:type="dxa"/>
            <w:vAlign w:val="bottom"/>
          </w:tcPr>
          <w:p>
            <w:pPr>
              <w:spacing w:after="0"/>
              <w:rPr>
                <w:sz w:val="1"/>
                <w:szCs w:val="1"/>
                <w:color w:val="auto"/>
              </w:rPr>
            </w:pPr>
          </w:p>
        </w:tc>
      </w:tr>
      <w:tr>
        <w:trPr>
          <w:trHeight w:val="176"/>
        </w:trPr>
        <w:tc>
          <w:tcPr>
            <w:tcW w:w="1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w:t>
            </w: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540" w:type="dxa"/>
            <w:vAlign w:val="bottom"/>
          </w:tcPr>
          <w:p>
            <w:pPr>
              <w:ind w:left="220"/>
              <w:spacing w:after="0" w:line="102" w:lineRule="exact"/>
              <w:rPr>
                <w:sz w:val="20"/>
                <w:szCs w:val="20"/>
                <w:color w:val="auto"/>
              </w:rPr>
            </w:pPr>
            <w:r>
              <w:rPr>
                <w:rFonts w:ascii="Arial" w:cs="Arial" w:eastAsia="Arial" w:hAnsi="Arial"/>
                <w:sz w:val="10"/>
                <w:szCs w:val="10"/>
                <w:color w:val="auto"/>
              </w:rPr>
              <w:t>Total allowance for</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115,769</w:t>
            </w:r>
          </w:p>
        </w:tc>
        <w:tc>
          <w:tcPr>
            <w:tcW w:w="100" w:type="dxa"/>
            <w:vAlign w:val="bottom"/>
          </w:tcPr>
          <w:p>
            <w:pPr>
              <w:spacing w:after="0"/>
              <w:rPr>
                <w:sz w:val="8"/>
                <w:szCs w:val="8"/>
                <w:color w:val="auto"/>
              </w:rPr>
            </w:pPr>
          </w:p>
        </w:tc>
        <w:tc>
          <w:tcPr>
            <w:tcW w:w="320" w:type="dxa"/>
            <w:vAlign w:val="bottom"/>
            <w:vMerge w:val="restart"/>
          </w:tcPr>
          <w:p>
            <w:pPr>
              <w:ind w:left="14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37"/>
              <w:spacing w:after="0"/>
              <w:rPr>
                <w:sz w:val="20"/>
                <w:szCs w:val="20"/>
                <w:color w:val="auto"/>
              </w:rPr>
            </w:pPr>
            <w:r>
              <w:rPr>
                <w:rFonts w:ascii="Arial" w:cs="Arial" w:eastAsia="Arial" w:hAnsi="Arial"/>
                <w:sz w:val="13"/>
                <w:szCs w:val="13"/>
                <w:color w:val="auto"/>
              </w:rPr>
              <w:t>11,152</w:t>
            </w:r>
          </w:p>
        </w:tc>
        <w:tc>
          <w:tcPr>
            <w:tcW w:w="28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(6,756)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4,218</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21,793</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146,176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65,595</w:t>
            </w:r>
          </w:p>
        </w:tc>
        <w:tc>
          <w:tcPr>
            <w:tcW w:w="100" w:type="dxa"/>
            <w:vAlign w:val="bottom"/>
          </w:tcPr>
          <w:p>
            <w:pPr>
              <w:spacing w:after="0"/>
              <w:rPr>
                <w:sz w:val="8"/>
                <w:szCs w:val="8"/>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(4,080)</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1,357</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3,100</w:t>
            </w:r>
          </w:p>
        </w:tc>
        <w:tc>
          <w:tcPr>
            <w:tcW w:w="8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65,972</w:t>
            </w:r>
          </w:p>
        </w:tc>
        <w:tc>
          <w:tcPr>
            <w:tcW w:w="0" w:type="dxa"/>
            <w:vAlign w:val="bottom"/>
          </w:tcPr>
          <w:p>
            <w:pPr>
              <w:spacing w:after="0"/>
              <w:rPr>
                <w:sz w:val="1"/>
                <w:szCs w:val="1"/>
                <w:color w:val="auto"/>
              </w:rPr>
            </w:pPr>
          </w:p>
        </w:tc>
      </w:tr>
      <w:tr>
        <w:trPr>
          <w:trHeight w:val="149"/>
        </w:trPr>
        <w:tc>
          <w:tcPr>
            <w:tcW w:w="1540" w:type="dxa"/>
            <w:vAlign w:val="bottom"/>
          </w:tcPr>
          <w:p>
            <w:pPr>
              <w:ind w:left="220"/>
              <w:spacing w:after="0"/>
              <w:rPr>
                <w:sz w:val="20"/>
                <w:szCs w:val="20"/>
                <w:color w:val="auto"/>
              </w:rPr>
            </w:pPr>
            <w:r>
              <w:rPr>
                <w:rFonts w:ascii="Arial" w:cs="Arial" w:eastAsia="Arial" w:hAnsi="Arial"/>
                <w:sz w:val="13"/>
                <w:szCs w:val="13"/>
                <w:color w:val="auto"/>
              </w:rPr>
              <w:t>credit losses</w:t>
            </w: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9"/>
          <w:szCs w:val="9"/>
          <w:color w:val="auto"/>
        </w:rPr>
      </w:pPr>
      <w:r>
        <w:rPr>
          <w:rFonts w:ascii="Arial" w:cs="Arial" w:eastAsia="Arial" w:hAnsi="Arial"/>
          <w:sz w:val="14"/>
          <w:szCs w:val="14"/>
          <w:color w:val="auto"/>
        </w:rPr>
        <w:t>Represents the initial ACL related to PCD loans acquired in the Three Shores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132715</wp:posOffset>
            </wp:positionV>
            <wp:extent cx="62147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4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CECL</w:t>
            </w:r>
          </w:p>
        </w:tc>
        <w:tc>
          <w:tcPr>
            <w:tcW w:w="8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Incurred Loss</w:t>
            </w:r>
          </w:p>
        </w:tc>
        <w:tc>
          <w:tcPr>
            <w:tcW w:w="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00"/>
              <w:spacing w:after="0" w:line="107" w:lineRule="exact"/>
              <w:rPr>
                <w:sz w:val="20"/>
                <w:szCs w:val="20"/>
                <w:color w:val="auto"/>
              </w:rPr>
            </w:pPr>
            <w:r>
              <w:rPr>
                <w:rFonts w:ascii="Arial" w:cs="Arial" w:eastAsia="Arial" w:hAnsi="Arial"/>
                <w:sz w:val="11"/>
                <w:szCs w:val="11"/>
                <w:b w:val="1"/>
                <w:bCs w:val="1"/>
                <w:color w:val="auto"/>
                <w:w w:val="86"/>
              </w:rPr>
              <w:t>Dec. 31,</w:t>
            </w:r>
          </w:p>
        </w:tc>
        <w:tc>
          <w:tcPr>
            <w:tcW w:w="70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Adoption of</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0"/>
              </w:rPr>
              <w:t>Jan. 1, 2020</w:t>
            </w: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8"/>
              </w:rPr>
              <w:t>Initial ACL -</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(Release)</w:t>
            </w:r>
          </w:p>
        </w:tc>
        <w:tc>
          <w:tcPr>
            <w:tcW w:w="120" w:type="dxa"/>
            <w:vAlign w:val="bottom"/>
          </w:tcPr>
          <w:p>
            <w:pPr>
              <w:spacing w:after="0"/>
              <w:rPr>
                <w:sz w:val="9"/>
                <w:szCs w:val="9"/>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Ending</w:t>
            </w:r>
          </w:p>
        </w:tc>
        <w:tc>
          <w:tcPr>
            <w:tcW w:w="100" w:type="dxa"/>
            <w:vAlign w:val="bottom"/>
          </w:tcPr>
          <w:p>
            <w:pPr>
              <w:spacing w:after="0"/>
              <w:rPr>
                <w:sz w:val="9"/>
                <w:szCs w:val="9"/>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9"/>
              </w:rPr>
              <w:t>Beginning</w:t>
            </w:r>
          </w:p>
        </w:tc>
        <w:tc>
          <w:tcPr>
            <w:tcW w:w="100" w:type="dxa"/>
            <w:vAlign w:val="bottom"/>
          </w:tcPr>
          <w:p>
            <w:pPr>
              <w:spacing w:after="0"/>
              <w:rPr>
                <w:sz w:val="9"/>
                <w:szCs w:val="9"/>
                <w:color w:val="auto"/>
              </w:rPr>
            </w:pPr>
          </w:p>
        </w:tc>
        <w:tc>
          <w:tcPr>
            <w:tcW w:w="540" w:type="dxa"/>
            <w:vAlign w:val="bottom"/>
            <w:vMerge w:val="restart"/>
          </w:tcPr>
          <w:p>
            <w:pPr>
              <w:jc w:val="right"/>
              <w:ind w:right="78"/>
              <w:spacing w:after="0"/>
              <w:rPr>
                <w:sz w:val="20"/>
                <w:szCs w:val="20"/>
                <w:color w:val="auto"/>
              </w:rPr>
            </w:pPr>
            <w:r>
              <w:rPr>
                <w:rFonts w:ascii="Arial" w:cs="Arial" w:eastAsia="Arial" w:hAnsi="Arial"/>
                <w:sz w:val="11"/>
                <w:szCs w:val="11"/>
                <w:b w:val="1"/>
                <w:bCs w:val="1"/>
                <w:color w:val="auto"/>
                <w:w w:val="91"/>
              </w:rPr>
              <w:t>Charge-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(Release)</w:t>
            </w:r>
          </w:p>
        </w:tc>
        <w:tc>
          <w:tcPr>
            <w:tcW w:w="120" w:type="dxa"/>
            <w:vAlign w:val="bottom"/>
          </w:tcPr>
          <w:p>
            <w:pPr>
              <w:spacing w:after="0"/>
              <w:rPr>
                <w:sz w:val="9"/>
                <w:szCs w:val="9"/>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1"/>
                <w:szCs w:val="11"/>
                <w:b w:val="1"/>
                <w:bCs w:val="1"/>
                <w:color w:val="auto"/>
                <w:w w:val="96"/>
              </w:rPr>
              <w:t>Ending</w:t>
            </w:r>
          </w:p>
        </w:tc>
        <w:tc>
          <w:tcPr>
            <w:tcW w:w="0" w:type="dxa"/>
            <w:vAlign w:val="bottom"/>
          </w:tcPr>
          <w:p>
            <w:pPr>
              <w:spacing w:after="0"/>
              <w:rPr>
                <w:sz w:val="1"/>
                <w:szCs w:val="1"/>
                <w:color w:val="auto"/>
              </w:rPr>
            </w:pPr>
          </w:p>
        </w:tc>
      </w:tr>
      <w:tr>
        <w:trPr>
          <w:trHeight w:val="108"/>
        </w:trPr>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center"/>
              <w:ind w:right="59"/>
              <w:spacing w:after="0" w:line="108" w:lineRule="exact"/>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Charge-Offs</w:t>
            </w:r>
          </w:p>
        </w:tc>
        <w:tc>
          <w:tcPr>
            <w:tcW w:w="8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Recoveries</w:t>
            </w:r>
          </w:p>
        </w:tc>
        <w:tc>
          <w:tcPr>
            <w:tcW w:w="1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85"/>
              </w:rPr>
              <w:t>Recoveries</w:t>
            </w:r>
          </w:p>
        </w:tc>
        <w:tc>
          <w:tcPr>
            <w:tcW w:w="8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Balance</w:t>
            </w:r>
          </w:p>
        </w:tc>
        <w:tc>
          <w:tcPr>
            <w:tcW w:w="120" w:type="dxa"/>
            <w:vAlign w:val="bottom"/>
          </w:tcPr>
          <w:p>
            <w:pPr>
              <w:spacing w:after="0"/>
              <w:rPr>
                <w:sz w:val="12"/>
                <w:szCs w:val="12"/>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CECL</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5"/>
              </w:rPr>
              <w:t>Balance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w w:val="89"/>
              </w:rPr>
              <w:t xml:space="preserve">PCD loans </w:t>
            </w:r>
            <w:r>
              <w:rPr>
                <w:rFonts w:ascii="Arial" w:cs="Arial" w:eastAsia="Arial" w:hAnsi="Arial"/>
                <w:sz w:val="7"/>
                <w:szCs w:val="7"/>
                <w:b w:val="1"/>
                <w:bCs w:val="1"/>
                <w:color w:val="auto"/>
                <w:w w:val="89"/>
              </w:rPr>
              <w:t>(1)</w:t>
            </w: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Provision</w:t>
            </w:r>
          </w:p>
        </w:tc>
        <w:tc>
          <w:tcPr>
            <w:tcW w:w="120" w:type="dxa"/>
            <w:vAlign w:val="bottom"/>
          </w:tcPr>
          <w:p>
            <w:pPr>
              <w:spacing w:after="0"/>
              <w:rPr>
                <w:sz w:val="12"/>
                <w:szCs w:val="12"/>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Balance</w:t>
            </w:r>
          </w:p>
        </w:tc>
        <w:tc>
          <w:tcPr>
            <w:tcW w:w="100" w:type="dxa"/>
            <w:vAlign w:val="bottom"/>
          </w:tcPr>
          <w:p>
            <w:pPr>
              <w:spacing w:after="0"/>
              <w:rPr>
                <w:sz w:val="12"/>
                <w:szCs w:val="12"/>
                <w:color w:val="auto"/>
              </w:rPr>
            </w:pPr>
          </w:p>
        </w:tc>
        <w:tc>
          <w:tcPr>
            <w:tcW w:w="540" w:type="dxa"/>
            <w:vAlign w:val="bottom"/>
          </w:tcPr>
          <w:p>
            <w:pPr>
              <w:jc w:val="right"/>
              <w:ind w:right="158"/>
              <w:spacing w:after="0"/>
              <w:rPr>
                <w:sz w:val="20"/>
                <w:szCs w:val="20"/>
                <w:color w:val="auto"/>
              </w:rPr>
            </w:pPr>
            <w:r>
              <w:rPr>
                <w:rFonts w:ascii="Arial" w:cs="Arial" w:eastAsia="Arial" w:hAnsi="Arial"/>
                <w:sz w:val="11"/>
                <w:szCs w:val="11"/>
                <w:b w:val="1"/>
                <w:bCs w:val="1"/>
                <w:color w:val="auto"/>
              </w:rPr>
              <w:t>Offs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Provision</w:t>
            </w:r>
          </w:p>
        </w:tc>
        <w:tc>
          <w:tcPr>
            <w:tcW w:w="120" w:type="dxa"/>
            <w:vAlign w:val="bottom"/>
          </w:tcPr>
          <w:p>
            <w:pPr>
              <w:spacing w:after="0"/>
              <w:rPr>
                <w:sz w:val="12"/>
                <w:szCs w:val="12"/>
                <w:color w:val="auto"/>
              </w:rPr>
            </w:pPr>
          </w:p>
        </w:tc>
        <w:tc>
          <w:tcPr>
            <w:tcW w:w="560" w:type="dxa"/>
            <w:vAlign w:val="bottom"/>
          </w:tcPr>
          <w:p>
            <w:pPr>
              <w:jc w:val="right"/>
              <w:ind w:right="98"/>
              <w:spacing w:after="0"/>
              <w:rPr>
                <w:sz w:val="20"/>
                <w:szCs w:val="20"/>
                <w:color w:val="auto"/>
              </w:rPr>
            </w:pPr>
            <w:r>
              <w:rPr>
                <w:rFonts w:ascii="Arial" w:cs="Arial" w:eastAsia="Arial" w:hAnsi="Arial"/>
                <w:sz w:val="11"/>
                <w:szCs w:val="11"/>
                <w:b w:val="1"/>
                <w:bCs w:val="1"/>
                <w:color w:val="auto"/>
                <w:w w:val="89"/>
              </w:rPr>
              <w:t>Balance</w:t>
            </w:r>
          </w:p>
        </w:tc>
        <w:tc>
          <w:tcPr>
            <w:tcW w:w="0" w:type="dxa"/>
            <w:vAlign w:val="bottom"/>
          </w:tcPr>
          <w:p>
            <w:pPr>
              <w:spacing w:after="0"/>
              <w:rPr>
                <w:sz w:val="1"/>
                <w:szCs w:val="1"/>
                <w:color w:val="auto"/>
              </w:rPr>
            </w:pPr>
          </w:p>
        </w:tc>
      </w:tr>
      <w:tr>
        <w:trPr>
          <w:trHeight w:val="22"/>
        </w:trPr>
        <w:tc>
          <w:tcPr>
            <w:tcW w:w="1460" w:type="dxa"/>
            <w:vAlign w:val="bottom"/>
            <w:vMerge w:val="restart"/>
          </w:tcPr>
          <w:p>
            <w:pPr>
              <w:ind w:left="20"/>
              <w:spacing w:after="0" w:line="144" w:lineRule="exact"/>
              <w:rPr>
                <w:sz w:val="20"/>
                <w:szCs w:val="20"/>
                <w:color w:val="auto"/>
              </w:rPr>
            </w:pPr>
            <w:r>
              <w:rPr>
                <w:rFonts w:ascii="Arial" w:cs="Arial" w:eastAsia="Arial" w:hAnsi="Arial"/>
                <w:sz w:val="13"/>
                <w:szCs w:val="13"/>
                <w:color w:val="auto"/>
              </w:rPr>
              <w:t>Owner occupied</w:t>
            </w: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2"/>
        </w:trPr>
        <w:tc>
          <w:tcPr>
            <w:tcW w:w="1460" w:type="dxa"/>
            <w:vAlign w:val="bottom"/>
            <w:vMerge w:val="continue"/>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11,404</w:t>
            </w:r>
          </w:p>
        </w:tc>
        <w:tc>
          <w:tcPr>
            <w:tcW w:w="10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(1,616)</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9,788</w:t>
            </w:r>
          </w:p>
        </w:tc>
        <w:tc>
          <w:tcPr>
            <w:tcW w:w="10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1,779</w:t>
            </w:r>
          </w:p>
        </w:tc>
        <w:tc>
          <w:tcPr>
            <w:tcW w:w="320" w:type="dxa"/>
            <w:vAlign w:val="bottom"/>
            <w:gridSpan w:val="2"/>
            <w:vMerge w:val="restart"/>
          </w:tcPr>
          <w:p>
            <w:pPr>
              <w:jc w:val="right"/>
              <w:ind w:right="66"/>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2,225</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5,588</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19,374</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12,207</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(949)</w:t>
            </w:r>
          </w:p>
        </w:tc>
        <w:tc>
          <w:tcPr>
            <w:tcW w:w="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11,419</w:t>
            </w:r>
          </w:p>
        </w:tc>
        <w:tc>
          <w:tcPr>
            <w:tcW w:w="0" w:type="dxa"/>
            <w:vAlign w:val="bottom"/>
          </w:tcPr>
          <w:p>
            <w:pPr>
              <w:spacing w:after="0"/>
              <w:rPr>
                <w:sz w:val="1"/>
                <w:szCs w:val="1"/>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Income producing</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12,306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12,276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1,208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(8,033)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28,157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35,038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11,073</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127</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839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11,062</w:t>
            </w: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commercial real estate</w:t>
            </w:r>
          </w:p>
        </w:tc>
        <w:tc>
          <w:tcPr>
            <w:tcW w:w="10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Commercial &amp; industrial</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5,266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4,012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9,278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7,680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(8,118)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11,609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21,524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4,802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5,390</w:t>
            </w: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w w:val="99"/>
              </w:rPr>
              <w:t>Commercial construction</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(726)</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14,851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10,337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10,407</w:t>
            </w:r>
          </w:p>
        </w:tc>
        <w:tc>
          <w:tcPr>
            <w:tcW w:w="0" w:type="dxa"/>
            <w:vAlign w:val="bottom"/>
          </w:tcPr>
          <w:p>
            <w:pPr>
              <w:spacing w:after="0"/>
              <w:rPr>
                <w:sz w:val="1"/>
                <w:szCs w:val="1"/>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Equipment financing</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7,384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5,871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13,255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(6,366)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1,201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15,176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5,452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5,138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7,246</w:t>
            </w: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mortgage</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8,081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9,650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22"/>
        </w:trPr>
        <w:tc>
          <w:tcPr>
            <w:tcW w:w="1460" w:type="dxa"/>
            <w:vAlign w:val="bottom"/>
          </w:tcPr>
          <w:p>
            <w:pPr>
              <w:ind w:left="20"/>
              <w:spacing w:after="0" w:line="122" w:lineRule="exact"/>
              <w:rPr>
                <w:sz w:val="20"/>
                <w:szCs w:val="20"/>
                <w:color w:val="auto"/>
              </w:rPr>
            </w:pPr>
            <w:r>
              <w:rPr>
                <w:rFonts w:ascii="Arial" w:cs="Arial" w:eastAsia="Arial" w:hAnsi="Arial"/>
                <w:sz w:val="13"/>
                <w:szCs w:val="13"/>
                <w:color w:val="auto"/>
              </w:rPr>
              <w:t>Home equity lines of</w:t>
            </w:r>
          </w:p>
        </w:tc>
        <w:tc>
          <w:tcPr>
            <w:tcW w:w="10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4,575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1,919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6,494</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209</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468</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1,712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8,721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4,752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(653)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466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4,683</w:t>
            </w:r>
          </w:p>
        </w:tc>
        <w:tc>
          <w:tcPr>
            <w:tcW w:w="0" w:type="dxa"/>
            <w:vAlign w:val="bottom"/>
          </w:tcPr>
          <w:p>
            <w:pPr>
              <w:spacing w:after="0"/>
              <w:rPr>
                <w:sz w:val="1"/>
                <w:szCs w:val="1"/>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credit</w:t>
            </w: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Residential construction</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2,551</w:t>
            </w:r>
          </w:p>
        </w:tc>
        <w:tc>
          <w:tcPr>
            <w:tcW w:w="0" w:type="dxa"/>
            <w:vAlign w:val="bottom"/>
          </w:tcPr>
          <w:p>
            <w:pPr>
              <w:spacing w:after="0"/>
              <w:rPr>
                <w:sz w:val="1"/>
                <w:szCs w:val="1"/>
                <w:color w:val="auto"/>
              </w:rPr>
            </w:pPr>
          </w:p>
        </w:tc>
      </w:tr>
      <w:tr>
        <w:trPr>
          <w:trHeight w:val="168"/>
        </w:trPr>
        <w:tc>
          <w:tcPr>
            <w:tcW w:w="1460" w:type="dxa"/>
            <w:vAlign w:val="bottom"/>
          </w:tcPr>
          <w:p>
            <w:pPr>
              <w:ind w:left="20"/>
              <w:spacing w:after="0"/>
              <w:rPr>
                <w:sz w:val="20"/>
                <w:szCs w:val="20"/>
                <w:color w:val="auto"/>
              </w:rPr>
            </w:pPr>
            <w:r>
              <w:rPr>
                <w:rFonts w:ascii="Arial" w:cs="Arial" w:eastAsia="Arial" w:hAnsi="Arial"/>
                <w:sz w:val="13"/>
                <w:szCs w:val="13"/>
                <w:color w:val="auto"/>
              </w:rPr>
              <w:t>Consumer</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(491)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(1,721)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1,073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877</w:t>
            </w:r>
          </w:p>
        </w:tc>
        <w:tc>
          <w:tcPr>
            <w:tcW w:w="0" w:type="dxa"/>
            <w:vAlign w:val="bottom"/>
          </w:tcPr>
          <w:p>
            <w:pPr>
              <w:spacing w:after="0"/>
              <w:rPr>
                <w:sz w:val="1"/>
                <w:szCs w:val="1"/>
                <w:color w:val="auto"/>
              </w:rPr>
            </w:pPr>
          </w:p>
        </w:tc>
      </w:tr>
      <w:tr>
        <w:trPr>
          <w:trHeight w:val="183"/>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Indirect auto</w:t>
            </w:r>
          </w:p>
        </w:tc>
        <w:tc>
          <w:tcPr>
            <w:tcW w:w="1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w:t>
            </w:r>
          </w:p>
        </w:tc>
        <w:tc>
          <w:tcPr>
            <w:tcW w:w="0" w:type="dxa"/>
            <w:vAlign w:val="bottom"/>
          </w:tcPr>
          <w:p>
            <w:pPr>
              <w:spacing w:after="0"/>
              <w:rPr>
                <w:sz w:val="1"/>
                <w:szCs w:val="1"/>
                <w:color w:val="auto"/>
              </w:rPr>
            </w:pPr>
          </w:p>
        </w:tc>
      </w:tr>
      <w:tr>
        <w:trPr>
          <w:trHeight w:val="101"/>
        </w:trPr>
        <w:tc>
          <w:tcPr>
            <w:tcW w:w="1460" w:type="dxa"/>
            <w:vAlign w:val="bottom"/>
          </w:tcPr>
          <w:p>
            <w:pPr>
              <w:ind w:left="220"/>
              <w:spacing w:after="0" w:line="102" w:lineRule="exact"/>
              <w:rPr>
                <w:sz w:val="20"/>
                <w:szCs w:val="20"/>
                <w:color w:val="auto"/>
              </w:rPr>
            </w:pPr>
            <w:r>
              <w:rPr>
                <w:rFonts w:ascii="Arial" w:cs="Arial" w:eastAsia="Arial" w:hAnsi="Arial"/>
                <w:sz w:val="10"/>
                <w:szCs w:val="10"/>
                <w:color w:val="auto"/>
              </w:rPr>
              <w:t>Total allowance for</w:t>
            </w: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62,089</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6,880</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68,969</w:t>
            </w: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11,152</w:t>
            </w:r>
          </w:p>
        </w:tc>
        <w:tc>
          <w:tcPr>
            <w:tcW w:w="1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6"/>
              </w:rPr>
              <w:t>(25,620)</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8,819</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70,936</w:t>
            </w: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134,256</w:t>
            </w:r>
          </w:p>
        </w:tc>
        <w:tc>
          <w:tcPr>
            <w:tcW w:w="1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61,203</w:t>
            </w: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(12,267)</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3,976</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9,602</w:t>
            </w: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62,514</w:t>
            </w:r>
          </w:p>
        </w:tc>
        <w:tc>
          <w:tcPr>
            <w:tcW w:w="0" w:type="dxa"/>
            <w:vAlign w:val="bottom"/>
          </w:tcPr>
          <w:p>
            <w:pPr>
              <w:spacing w:after="0"/>
              <w:rPr>
                <w:sz w:val="1"/>
                <w:szCs w:val="1"/>
                <w:color w:val="auto"/>
              </w:rPr>
            </w:pPr>
          </w:p>
        </w:tc>
      </w:tr>
      <w:tr>
        <w:trPr>
          <w:trHeight w:val="168"/>
        </w:trPr>
        <w:tc>
          <w:tcPr>
            <w:tcW w:w="1460" w:type="dxa"/>
            <w:vAlign w:val="bottom"/>
          </w:tcPr>
          <w:p>
            <w:pPr>
              <w:ind w:left="220"/>
              <w:spacing w:after="0"/>
              <w:rPr>
                <w:sz w:val="20"/>
                <w:szCs w:val="20"/>
                <w:color w:val="auto"/>
              </w:rPr>
            </w:pPr>
            <w:r>
              <w:rPr>
                <w:rFonts w:ascii="Arial" w:cs="Arial" w:eastAsia="Arial" w:hAnsi="Arial"/>
                <w:sz w:val="13"/>
                <w:szCs w:val="13"/>
                <w:color w:val="auto"/>
              </w:rPr>
              <w:t>credit losses - loans</w:t>
            </w: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6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Allowance for unfunded</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1,871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5,329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6,591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3,410</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3,458</w:t>
            </w:r>
          </w:p>
        </w:tc>
        <w:tc>
          <w:tcPr>
            <w:tcW w:w="0" w:type="dxa"/>
            <w:vAlign w:val="bottom"/>
          </w:tcPr>
          <w:p>
            <w:pPr>
              <w:spacing w:after="0"/>
              <w:rPr>
                <w:sz w:val="1"/>
                <w:szCs w:val="1"/>
                <w:color w:val="auto"/>
              </w:rPr>
            </w:pPr>
          </w:p>
        </w:tc>
      </w:tr>
      <w:tr>
        <w:trPr>
          <w:trHeight w:val="175"/>
        </w:trPr>
        <w:tc>
          <w:tcPr>
            <w:tcW w:w="1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w:t>
            </w:r>
          </w:p>
        </w:tc>
        <w:tc>
          <w:tcPr>
            <w:tcW w:w="1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1460" w:type="dxa"/>
            <w:vAlign w:val="bottom"/>
          </w:tcPr>
          <w:p>
            <w:pPr>
              <w:ind w:left="220"/>
              <w:spacing w:after="0" w:line="102" w:lineRule="exact"/>
              <w:rPr>
                <w:sz w:val="20"/>
                <w:szCs w:val="20"/>
                <w:color w:val="auto"/>
              </w:rPr>
            </w:pPr>
            <w:r>
              <w:rPr>
                <w:rFonts w:ascii="Arial" w:cs="Arial" w:eastAsia="Arial" w:hAnsi="Arial"/>
                <w:sz w:val="10"/>
                <w:szCs w:val="10"/>
                <w:color w:val="auto"/>
              </w:rPr>
              <w:t>Total allowance for</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65,547</w:t>
            </w:r>
          </w:p>
        </w:tc>
        <w:tc>
          <w:tcPr>
            <w:tcW w:w="100" w:type="dxa"/>
            <w:vAlign w:val="bottom"/>
          </w:tcPr>
          <w:p>
            <w:pPr>
              <w:spacing w:after="0"/>
              <w:rPr>
                <w:sz w:val="8"/>
                <w:szCs w:val="8"/>
                <w:color w:val="auto"/>
              </w:rPr>
            </w:pP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8,751</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74,298</w:t>
            </w:r>
          </w:p>
        </w:tc>
        <w:tc>
          <w:tcPr>
            <w:tcW w:w="100" w:type="dxa"/>
            <w:vAlign w:val="bottom"/>
          </w:tcPr>
          <w:p>
            <w:pPr>
              <w:spacing w:after="0"/>
              <w:rPr>
                <w:sz w:val="8"/>
                <w:szCs w:val="8"/>
                <w:color w:val="auto"/>
              </w:rPr>
            </w:pPr>
          </w:p>
        </w:tc>
        <w:tc>
          <w:tcPr>
            <w:tcW w:w="1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11,152</w:t>
            </w:r>
          </w:p>
        </w:tc>
        <w:tc>
          <w:tcPr>
            <w:tcW w:w="320" w:type="dxa"/>
            <w:vAlign w:val="bottom"/>
            <w:gridSpan w:val="2"/>
            <w:vMerge w:val="restart"/>
          </w:tcPr>
          <w:p>
            <w:pPr>
              <w:jc w:val="right"/>
              <w:ind w:right="66"/>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w w:val="86"/>
              </w:rPr>
              <w:t>(25,620)</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8,819</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77,527</w:t>
            </w:r>
          </w:p>
        </w:tc>
        <w:tc>
          <w:tcPr>
            <w:tcW w:w="10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146,176</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64,613</w:t>
            </w:r>
          </w:p>
        </w:tc>
        <w:tc>
          <w:tcPr>
            <w:tcW w:w="12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(12,267)</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3,976</w:t>
            </w:r>
          </w:p>
        </w:tc>
        <w:tc>
          <w:tcPr>
            <w:tcW w:w="120" w:type="dxa"/>
            <w:vAlign w:val="bottom"/>
          </w:tcPr>
          <w:p>
            <w:pPr>
              <w:spacing w:after="0"/>
              <w:rPr>
                <w:sz w:val="8"/>
                <w:szCs w:val="8"/>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9,650</w:t>
            </w:r>
          </w:p>
        </w:tc>
        <w:tc>
          <w:tcPr>
            <w:tcW w:w="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65,972</w:t>
            </w:r>
          </w:p>
        </w:tc>
        <w:tc>
          <w:tcPr>
            <w:tcW w:w="0" w:type="dxa"/>
            <w:vAlign w:val="bottom"/>
          </w:tcPr>
          <w:p>
            <w:pPr>
              <w:spacing w:after="0"/>
              <w:rPr>
                <w:sz w:val="1"/>
                <w:szCs w:val="1"/>
                <w:color w:val="auto"/>
              </w:rPr>
            </w:pPr>
          </w:p>
        </w:tc>
      </w:tr>
      <w:tr>
        <w:trPr>
          <w:trHeight w:val="148"/>
        </w:trPr>
        <w:tc>
          <w:tcPr>
            <w:tcW w:w="1460" w:type="dxa"/>
            <w:vAlign w:val="bottom"/>
          </w:tcPr>
          <w:p>
            <w:pPr>
              <w:ind w:left="220"/>
              <w:spacing w:after="0"/>
              <w:rPr>
                <w:sz w:val="20"/>
                <w:szCs w:val="20"/>
                <w:color w:val="auto"/>
              </w:rPr>
            </w:pPr>
            <w:r>
              <w:rPr>
                <w:rFonts w:ascii="Arial" w:cs="Arial" w:eastAsia="Arial" w:hAnsi="Arial"/>
                <w:sz w:val="13"/>
                <w:szCs w:val="13"/>
                <w:color w:val="auto"/>
              </w:rPr>
              <w:t>credit losses</w:t>
            </w:r>
          </w:p>
        </w:tc>
        <w:tc>
          <w:tcPr>
            <w:tcW w:w="10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160" w:hanging="152"/>
        <w:spacing w:after="0"/>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Represents the initial ACL related to PCD loans acquired in the Three Shores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January 1, 2020 and September 30, 2020, United used a one-year reasonable and supportable forecast period. Expected credit losses were estimated using a regression model based on historical data from peer banks which incorporates a third party vendor’s economic forecast to predict the change in credit losses. These results were then combined with a starting value that was based on United’s recent default experience. At September 30, 2020, the forecast indicated a challenging economic environment due to high levels of unemployment, but also indicated mild improvement in the short term. The increase in the ACL compared to January 1, 2020 was primarily attributable to the worsening trends in the forecast at September 30, 2020 compared to the beginning of 2020, with the primary economic forecast driver being the change in unemployment claims due to policy decisions made in response to the COVID-19 pandemic. The forecasted economic outlook at September 30, 2020 improved compared to the forecast at June 30, 2020 due to actual economic performance in the interim time period, which contributed to a lower calculated ACL on certain portfolios, most notably equipment financing loans. United adjusted the economic forecast by eliminating the initial spike in unemployment to account for the impact of government stimulus programs, which mitigated some of the negative impact on forecasted losses. In addition, United used a model overlay for the economic forecast for residential mortgage loans and income producing commercial real estate to moderate losses in those portfolios. The overlay at September 30, 2020 was eased compared to the one used at June 30, 2020 which, combined with loan growth, led to a higher calculated ACL on residential mortgage loans and all other commercial loan categories, as well as a higher coverage ratio on many of these portfolios.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periods beyond the reasonable and supportable forecast period of one year, United reverted to historical credit loss information on a straight line basis over two years. For all collateral types excluding residential mortgage, United reverted to through-the-cycle average default rates using peer data from 2000 to 2017. For loans secured by residential mortgages, the peer data was adjusted for changes in lending practices designed to prevent the magnitude of losses observed during the mortgage crisis.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PPP loans were considered low risk assets due to the related 100% guarantee by the SBA and were therefore excluded from the calculation.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Disaggregation of Incurred Loss Impairment Methodology</w:t>
      </w:r>
    </w:p>
    <w:p>
      <w:pPr>
        <w:spacing w:after="0" w:line="27"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 xml:space="preserve">The following tables represent the recorded investment in loans by portfolio segment and the balance of the allowance assigned to each segment based on the method of evaluating the loans for impairment as of December 31, 2019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Loans Outstanding</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9"/>
              </w:rPr>
              <w:t>Allowance for Credit Losses</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Collectively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evaluated for</w:t>
            </w:r>
          </w:p>
        </w:tc>
        <w:tc>
          <w:tcPr>
            <w:tcW w:w="180" w:type="dxa"/>
            <w:vAlign w:val="bottom"/>
          </w:tcPr>
          <w:p>
            <w:pPr>
              <w:spacing w:after="0"/>
              <w:rPr>
                <w:sz w:val="11"/>
                <w:szCs w:val="11"/>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PCI</w:t>
            </w:r>
          </w:p>
        </w:tc>
        <w:tc>
          <w:tcPr>
            <w:tcW w:w="2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1"/>
              </w:rPr>
              <w:t>evaluated for</w:t>
            </w:r>
          </w:p>
        </w:tc>
        <w:tc>
          <w:tcPr>
            <w:tcW w:w="160" w:type="dxa"/>
            <w:vAlign w:val="bottom"/>
          </w:tcPr>
          <w:p>
            <w:pPr>
              <w:spacing w:after="0"/>
              <w:rPr>
                <w:sz w:val="11"/>
                <w:szCs w:val="11"/>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2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for impairment</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1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Balance</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for impairment</w:t>
            </w:r>
          </w:p>
        </w:tc>
        <w:tc>
          <w:tcPr>
            <w:tcW w:w="10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82"/>
        </w:trPr>
        <w:tc>
          <w:tcPr>
            <w:tcW w:w="2820" w:type="dxa"/>
            <w:vAlign w:val="bottom"/>
          </w:tcPr>
          <w:p>
            <w:pPr>
              <w:ind w:left="20"/>
              <w:spacing w:after="0"/>
              <w:rPr>
                <w:sz w:val="20"/>
                <w:szCs w:val="20"/>
                <w:color w:val="auto"/>
              </w:rPr>
            </w:pPr>
            <w:r>
              <w:rPr>
                <w:rFonts w:ascii="Arial" w:cs="Arial" w:eastAsia="Arial" w:hAnsi="Arial"/>
                <w:sz w:val="14"/>
                <w:szCs w:val="14"/>
                <w:color w:val="auto"/>
              </w:rPr>
              <w:t>Owner occupied commercial real estate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19,233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1,692,448</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8,546</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1,720,227</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10,483</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11,404</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producing commercial real estate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1,962,588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2,007,950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12,306</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1,218,882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1,220,657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5,266</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965,678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976,215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9,668</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Equipment financing</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739,532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744,544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7,240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7,384</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1,092,046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1,117,616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8,081</w:t>
            </w:r>
          </w:p>
        </w:tc>
        <w:tc>
          <w:tcPr>
            <w:tcW w:w="0" w:type="dxa"/>
            <w:vAlign w:val="bottom"/>
          </w:tcPr>
          <w:p>
            <w:pPr>
              <w:spacing w:after="0"/>
              <w:rPr>
                <w:sz w:val="1"/>
                <w:szCs w:val="1"/>
                <w:color w:val="auto"/>
              </w:rPr>
            </w:pPr>
          </w:p>
        </w:tc>
      </w:tr>
      <w:tr>
        <w:trPr>
          <w:trHeight w:val="186"/>
        </w:trPr>
        <w:tc>
          <w:tcPr>
            <w:tcW w:w="2820" w:type="dxa"/>
            <w:vAlign w:val="bottom"/>
          </w:tcPr>
          <w:p>
            <w:pPr>
              <w:ind w:left="20"/>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658,273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660,675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4,575</w:t>
            </w:r>
          </w:p>
        </w:tc>
        <w:tc>
          <w:tcPr>
            <w:tcW w:w="0" w:type="dxa"/>
            <w:vAlign w:val="bottom"/>
          </w:tcPr>
          <w:p>
            <w:pPr>
              <w:spacing w:after="0"/>
              <w:rPr>
                <w:sz w:val="1"/>
                <w:szCs w:val="1"/>
                <w:color w:val="auto"/>
              </w:rPr>
            </w:pPr>
          </w:p>
        </w:tc>
      </w:tr>
      <w:tr>
        <w:trPr>
          <w:trHeight w:val="19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236,437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w:t>
            </w:r>
          </w:p>
        </w:tc>
        <w:tc>
          <w:tcPr>
            <w:tcW w:w="0" w:type="dxa"/>
            <w:vAlign w:val="bottom"/>
          </w:tcPr>
          <w:p>
            <w:pPr>
              <w:spacing w:after="0"/>
              <w:rPr>
                <w:sz w:val="1"/>
                <w:szCs w:val="1"/>
                <w:color w:val="auto"/>
              </w:rPr>
            </w:pPr>
          </w:p>
        </w:tc>
      </w:tr>
      <w:tr>
        <w:trPr>
          <w:trHeight w:val="186"/>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Consumer</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128,232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211"/>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8,691,936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58,646</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8,812,553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59,214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62,089</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3,458</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CCEEFF"/>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4"/>
                <w:szCs w:val="14"/>
                <w:color w:val="auto"/>
              </w:rPr>
              <w:t>3,458</w:t>
            </w:r>
          </w:p>
        </w:tc>
        <w:tc>
          <w:tcPr>
            <w:tcW w:w="0" w:type="dxa"/>
            <w:vAlign w:val="bottom"/>
          </w:tcPr>
          <w:p>
            <w:pPr>
              <w:spacing w:after="0" w:line="20" w:lineRule="exact"/>
              <w:rPr>
                <w:sz w:val="1"/>
                <w:szCs w:val="1"/>
                <w:color w:val="auto"/>
              </w:rPr>
            </w:pPr>
          </w:p>
        </w:tc>
      </w:tr>
      <w:tr>
        <w:trPr>
          <w:trHeight w:val="133"/>
        </w:trPr>
        <w:tc>
          <w:tcPr>
            <w:tcW w:w="2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8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62,672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65,547</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presents additional detail on loans individually evaluated for impairment under Incurred Loss by class as of December 31, 2019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Unpaid Principal Balance</w:t>
            </w:r>
          </w:p>
        </w:tc>
        <w:tc>
          <w:tcPr>
            <w:tcW w:w="120" w:type="dxa"/>
            <w:vAlign w:val="bottom"/>
          </w:tcPr>
          <w:p>
            <w:pPr>
              <w:spacing w:after="0"/>
              <w:rPr>
                <w:sz w:val="11"/>
                <w:szCs w:val="11"/>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Recorded Investment</w:t>
            </w: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Allowance for Loan Losses</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184"/>
        </w:trPr>
        <w:tc>
          <w:tcPr>
            <w:tcW w:w="4740" w:type="dxa"/>
            <w:vAlign w:val="bottom"/>
            <w:tcBorders>
              <w:top w:val="single" w:sz="8" w:color="CCEEFF"/>
            </w:tcBorders>
            <w:shd w:val="clear" w:color="auto" w:fill="CCEEFF"/>
          </w:tcPr>
          <w:p>
            <w:pPr>
              <w:ind w:left="1240"/>
              <w:spacing w:after="0"/>
              <w:rPr>
                <w:sz w:val="20"/>
                <w:szCs w:val="20"/>
                <w:color w:val="auto"/>
              </w:rPr>
            </w:pPr>
            <w:r>
              <w:rPr>
                <w:rFonts w:ascii="Arial" w:cs="Arial" w:eastAsia="Arial" w:hAnsi="Arial"/>
                <w:sz w:val="14"/>
                <w:szCs w:val="14"/>
                <w:color w:val="auto"/>
              </w:rPr>
              <w:t>With no related allowance recorded:</w:t>
            </w:r>
          </w:p>
        </w:tc>
        <w:tc>
          <w:tcPr>
            <w:tcW w:w="6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Owner occupied commercial real estate</w:t>
            </w:r>
          </w:p>
        </w:tc>
        <w:tc>
          <w:tcPr>
            <w:tcW w:w="62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9,527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8,118</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2700" w:type="dxa"/>
            <w:vAlign w:val="bottom"/>
            <w:gridSpan w:val="2"/>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Income producing commercial real estate</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Commercial &amp; industrial</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Commercial construction</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Equipment financing</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40" w:type="dxa"/>
            <w:vAlign w:val="bottom"/>
            <w:tcBorders>
              <w:top w:val="single" w:sz="8" w:color="CCEEFF"/>
            </w:tcBorders>
            <w:shd w:val="clear" w:color="auto" w:fill="CCEEFF"/>
          </w:tcPr>
          <w:p>
            <w:pPr>
              <w:ind w:left="1420"/>
              <w:spacing w:after="0"/>
              <w:rPr>
                <w:sz w:val="20"/>
                <w:szCs w:val="20"/>
                <w:color w:val="auto"/>
              </w:rPr>
            </w:pPr>
            <w:r>
              <w:rPr>
                <w:rFonts w:ascii="Arial" w:cs="Arial" w:eastAsia="Arial" w:hAnsi="Arial"/>
                <w:sz w:val="14"/>
                <w:szCs w:val="14"/>
                <w:color w:val="auto"/>
              </w:rPr>
              <w:t>Total commercial</w:t>
            </w:r>
          </w:p>
        </w:tc>
        <w:tc>
          <w:tcPr>
            <w:tcW w:w="6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19,315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17,131</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Residential mortgage</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7,362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6,436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Home equity lines of credit</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Residential construction</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2"/>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Consumer</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40" w:type="dxa"/>
            <w:vAlign w:val="bottom"/>
            <w:tcBorders>
              <w:bottom w:val="single" w:sz="8" w:color="CCEEFF"/>
            </w:tcBorders>
          </w:tcPr>
          <w:p>
            <w:pPr>
              <w:ind w:left="1420"/>
              <w:spacing w:after="0"/>
              <w:rPr>
                <w:sz w:val="20"/>
                <w:szCs w:val="20"/>
                <w:color w:val="auto"/>
              </w:rPr>
            </w:pPr>
            <w:r>
              <w:rPr>
                <w:rFonts w:ascii="Arial" w:cs="Arial" w:eastAsia="Arial" w:hAnsi="Arial"/>
                <w:sz w:val="14"/>
                <w:szCs w:val="14"/>
                <w:color w:val="auto"/>
              </w:rPr>
              <w:t>Total with no related allowance recorded</w:t>
            </w:r>
          </w:p>
        </w:tc>
        <w:tc>
          <w:tcPr>
            <w:tcW w:w="6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28,590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25,107</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7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240"/>
              <w:spacing w:after="0"/>
              <w:rPr>
                <w:sz w:val="20"/>
                <w:szCs w:val="20"/>
                <w:color w:val="auto"/>
              </w:rPr>
            </w:pPr>
            <w:r>
              <w:rPr>
                <w:rFonts w:ascii="Arial" w:cs="Arial" w:eastAsia="Arial" w:hAnsi="Arial"/>
                <w:sz w:val="14"/>
                <w:szCs w:val="14"/>
                <w:color w:val="auto"/>
              </w:rPr>
              <w:t>With an allowance recorded:</w:t>
            </w: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Owner occupied commercial real estate</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816</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Income producing commercial real estate</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13,178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770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Commercial &amp; industrial</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Commercial construction</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Equipment financing</w:t>
            </w:r>
          </w:p>
        </w:tc>
        <w:tc>
          <w:tcPr>
            <w:tcW w:w="6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jc w:val="right"/>
              <w:ind w:right="1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740" w:type="dxa"/>
            <w:vAlign w:val="bottom"/>
          </w:tcPr>
          <w:p>
            <w:pPr>
              <w:ind w:left="1420"/>
              <w:spacing w:after="0"/>
              <w:rPr>
                <w:sz w:val="20"/>
                <w:szCs w:val="20"/>
                <w:color w:val="auto"/>
              </w:rPr>
            </w:pPr>
            <w:r>
              <w:rPr>
                <w:rFonts w:ascii="Arial" w:cs="Arial" w:eastAsia="Arial" w:hAnsi="Arial"/>
                <w:sz w:val="14"/>
                <w:szCs w:val="14"/>
                <w:color w:val="auto"/>
              </w:rPr>
              <w:t>Total commercial</w:t>
            </w:r>
          </w:p>
        </w:tc>
        <w:tc>
          <w:tcPr>
            <w:tcW w:w="6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26,821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26,387</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1,662</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Residential mortgage</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782</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340"/>
              <w:spacing w:after="0"/>
              <w:rPr>
                <w:sz w:val="20"/>
                <w:szCs w:val="20"/>
                <w:color w:val="auto"/>
              </w:rPr>
            </w:pPr>
            <w:r>
              <w:rPr>
                <w:rFonts w:ascii="Arial" w:cs="Arial" w:eastAsia="Arial" w:hAnsi="Arial"/>
                <w:sz w:val="14"/>
                <w:szCs w:val="14"/>
                <w:color w:val="auto"/>
              </w:rPr>
              <w:t>Home equity lines of credit</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740" w:type="dxa"/>
            <w:vAlign w:val="bottom"/>
            <w:shd w:val="clear" w:color="auto" w:fill="CCEEFF"/>
          </w:tcPr>
          <w:p>
            <w:pPr>
              <w:ind w:left="1340"/>
              <w:spacing w:after="0"/>
              <w:rPr>
                <w:sz w:val="20"/>
                <w:szCs w:val="20"/>
                <w:color w:val="auto"/>
              </w:rPr>
            </w:pPr>
            <w:r>
              <w:rPr>
                <w:rFonts w:ascii="Arial" w:cs="Arial" w:eastAsia="Arial" w:hAnsi="Arial"/>
                <w:sz w:val="14"/>
                <w:szCs w:val="14"/>
                <w:color w:val="auto"/>
              </w:rPr>
              <w:t>Residential construction</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Borders>
              <w:bottom w:val="single" w:sz="8" w:color="CCEEFF"/>
            </w:tcBorders>
          </w:tcPr>
          <w:p>
            <w:pPr>
              <w:ind w:left="1340"/>
              <w:spacing w:after="0"/>
              <w:rPr>
                <w:sz w:val="20"/>
                <w:szCs w:val="20"/>
                <w:color w:val="auto"/>
              </w:rPr>
            </w:pPr>
            <w:r>
              <w:rPr>
                <w:rFonts w:ascii="Arial" w:cs="Arial" w:eastAsia="Arial" w:hAnsi="Arial"/>
                <w:sz w:val="14"/>
                <w:szCs w:val="14"/>
                <w:color w:val="auto"/>
              </w:rPr>
              <w:t>Consumer</w:t>
            </w:r>
          </w:p>
        </w:tc>
        <w:tc>
          <w:tcPr>
            <w:tcW w:w="6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12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shd w:val="clear" w:color="auto" w:fill="CCEEFF"/>
          </w:tcPr>
          <w:p>
            <w:pPr>
              <w:ind w:left="1420"/>
              <w:spacing w:after="0"/>
              <w:rPr>
                <w:sz w:val="20"/>
                <w:szCs w:val="20"/>
                <w:color w:val="auto"/>
              </w:rPr>
            </w:pPr>
            <w:r>
              <w:rPr>
                <w:rFonts w:ascii="Arial" w:cs="Arial" w:eastAsia="Arial" w:hAnsi="Arial"/>
                <w:sz w:val="14"/>
                <w:szCs w:val="14"/>
                <w:color w:val="auto"/>
              </w:rPr>
              <w:t>Total with an allowance recorded</w:t>
            </w:r>
          </w:p>
        </w:tc>
        <w:tc>
          <w:tcPr>
            <w:tcW w:w="6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37,395</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36,864</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2,512</w:t>
            </w: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1540"/>
              <w:spacing w:after="0"/>
              <w:rPr>
                <w:sz w:val="20"/>
                <w:szCs w:val="20"/>
                <w:color w:val="auto"/>
              </w:rPr>
            </w:pPr>
            <w:r>
              <w:rPr>
                <w:rFonts w:ascii="Arial" w:cs="Arial" w:eastAsia="Arial" w:hAnsi="Arial"/>
                <w:sz w:val="14"/>
                <w:szCs w:val="14"/>
                <w:color w:val="auto"/>
              </w:rPr>
              <w:t>Total</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65,985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61,971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under Incurred Loss are presented below for the period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w w:val="92"/>
              </w:rPr>
              <w:t>Three Months Ended September 30, 2019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w w:val="91"/>
              </w:rPr>
              <w:t>Nine Months Ended September 30, 2019</w:t>
            </w:r>
          </w:p>
        </w:tc>
        <w:tc>
          <w:tcPr>
            <w:tcW w:w="0" w:type="dxa"/>
            <w:vAlign w:val="bottom"/>
          </w:tcPr>
          <w:p>
            <w:pPr>
              <w:spacing w:after="0"/>
              <w:rPr>
                <w:sz w:val="1"/>
                <w:szCs w:val="1"/>
                <w:color w:val="auto"/>
              </w:rPr>
            </w:pPr>
          </w:p>
        </w:tc>
      </w:tr>
      <w:tr>
        <w:trPr>
          <w:trHeight w:val="158"/>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8"/>
              </w:rPr>
              <w:t>Cash Basis</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3"/>
              </w:rPr>
              <w:t>Interest</w:t>
            </w:r>
          </w:p>
        </w:tc>
        <w:tc>
          <w:tcPr>
            <w:tcW w:w="160" w:type="dxa"/>
            <w:vAlign w:val="bottom"/>
          </w:tcPr>
          <w:p>
            <w:pPr>
              <w:spacing w:after="0"/>
              <w:rPr>
                <w:sz w:val="13"/>
                <w:szCs w:val="13"/>
                <w:color w:val="auto"/>
              </w:rPr>
            </w:pPr>
          </w:p>
        </w:tc>
        <w:tc>
          <w:tcPr>
            <w:tcW w:w="10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Cash Basis</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Revenue</w:t>
            </w: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Recognized</w:t>
            </w: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Interest</w:t>
            </w:r>
          </w:p>
        </w:tc>
        <w:tc>
          <w:tcPr>
            <w:tcW w:w="200" w:type="dxa"/>
            <w:vAlign w:val="bottom"/>
          </w:tcPr>
          <w:p>
            <w:pPr>
              <w:spacing w:after="0"/>
              <w:rPr>
                <w:sz w:val="14"/>
                <w:szCs w:val="14"/>
                <w:color w:val="auto"/>
              </w:rPr>
            </w:pPr>
          </w:p>
        </w:tc>
        <w:tc>
          <w:tcPr>
            <w:tcW w:w="110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Average</w:t>
            </w:r>
          </w:p>
        </w:tc>
        <w:tc>
          <w:tcPr>
            <w:tcW w:w="14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Recognized</w:t>
            </w: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Interest</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During</w:t>
            </w: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Revenue</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6"/>
              </w:rPr>
              <w:t>During</w:t>
            </w:r>
          </w:p>
        </w:tc>
        <w:tc>
          <w:tcPr>
            <w:tcW w:w="160" w:type="dxa"/>
            <w:vAlign w:val="bottom"/>
          </w:tcPr>
          <w:p>
            <w:pPr>
              <w:spacing w:after="0"/>
              <w:rPr>
                <w:sz w:val="14"/>
                <w:szCs w:val="14"/>
                <w:color w:val="auto"/>
              </w:rPr>
            </w:pPr>
          </w:p>
        </w:tc>
        <w:tc>
          <w:tcPr>
            <w:tcW w:w="10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Revenue</w:t>
            </w:r>
          </w:p>
        </w:tc>
        <w:tc>
          <w:tcPr>
            <w:tcW w:w="0" w:type="dxa"/>
            <w:vAlign w:val="bottom"/>
          </w:tcPr>
          <w:p>
            <w:pPr>
              <w:spacing w:after="0"/>
              <w:rPr>
                <w:sz w:val="1"/>
                <w:szCs w:val="1"/>
                <w:color w:val="auto"/>
              </w:rPr>
            </w:pPr>
          </w:p>
        </w:tc>
      </w:tr>
      <w:tr>
        <w:trPr>
          <w:trHeight w:val="213"/>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Impairment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Received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Balance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Impairment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Received</w:t>
            </w:r>
          </w:p>
        </w:tc>
        <w:tc>
          <w:tcPr>
            <w:tcW w:w="0" w:type="dxa"/>
            <w:vAlign w:val="bottom"/>
          </w:tcPr>
          <w:p>
            <w:pPr>
              <w:spacing w:after="0"/>
              <w:rPr>
                <w:sz w:val="1"/>
                <w:szCs w:val="1"/>
                <w:color w:val="auto"/>
              </w:rPr>
            </w:pPr>
          </w:p>
        </w:tc>
      </w:tr>
      <w:tr>
        <w:trPr>
          <w:trHeight w:val="21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529</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Commercial &amp; industrial</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Commercial construction</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6"/>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Total commercial</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35,180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36,222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1,617</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mortgage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Home equity lines of credit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Residential construction</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3"/>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Consumer</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Indirect auto</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3"/>
        </w:trPr>
        <w:tc>
          <w:tcPr>
            <w:tcW w:w="3500" w:type="dxa"/>
            <w:vAlign w:val="bottom"/>
            <w:gridSpan w:val="2"/>
          </w:tcPr>
          <w:p>
            <w:pPr>
              <w:ind w:left="1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54,721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has master netting agreements with the derivatives dealers with which it does business, but has elected to reflect gross assets and liabilities on the consolidated balance sheets.</w:t>
      </w:r>
    </w:p>
    <w:p>
      <w:pPr>
        <w:spacing w:after="0" w:line="19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57150</wp:posOffset>
            </wp:positionV>
            <wp:extent cx="30943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3" w:lineRule="exact"/>
        <w:rPr>
          <w:sz w:val="20"/>
          <w:szCs w:val="20"/>
          <w:color w:val="auto"/>
        </w:rPr>
      </w:pPr>
    </w:p>
    <w:p>
      <w:pPr>
        <w:jc w:val="center"/>
        <w:ind w:left="6560"/>
        <w:spacing w:after="0"/>
        <w:rPr>
          <w:sz w:val="20"/>
          <w:szCs w:val="20"/>
          <w:color w:val="auto"/>
        </w:rPr>
      </w:pPr>
      <w:r>
        <w:rPr>
          <w:rFonts w:ascii="Arial" w:cs="Arial" w:eastAsia="Arial" w:hAnsi="Arial"/>
          <w:sz w:val="16"/>
          <w:szCs w:val="16"/>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20320</wp:posOffset>
            </wp:positionV>
            <wp:extent cx="15087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7780" w:val="left"/>
        </w:tabs>
        <w:rPr>
          <w:sz w:val="20"/>
          <w:szCs w:val="20"/>
          <w:color w:val="auto"/>
        </w:rPr>
      </w:pPr>
      <w:r>
        <w:rPr>
          <w:rFonts w:ascii="Arial" w:cs="Arial" w:eastAsia="Arial" w:hAnsi="Arial"/>
          <w:sz w:val="15"/>
          <w:szCs w:val="15"/>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spacing w:after="0" w:line="8" w:lineRule="exact"/>
        <w:rPr>
          <w:sz w:val="20"/>
          <w:szCs w:val="20"/>
          <w:color w:val="auto"/>
        </w:rPr>
      </w:pPr>
    </w:p>
    <w:p>
      <w:pPr>
        <w:ind w:left="6720"/>
        <w:spacing w:after="0"/>
        <w:tabs>
          <w:tab w:leader="none" w:pos="784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240"/>
        <w:spacing w:after="0"/>
        <w:rPr>
          <w:sz w:val="20"/>
          <w:szCs w:val="20"/>
          <w:color w:val="auto"/>
        </w:rPr>
      </w:pPr>
      <w:r>
        <w:rPr>
          <w:rFonts w:ascii="Arial" w:cs="Arial" w:eastAsia="Arial" w:hAnsi="Arial"/>
          <w:sz w:val="16"/>
          <w:szCs w:val="16"/>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20320</wp:posOffset>
            </wp:positionV>
            <wp:extent cx="15176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255"/>
                    </a:xfrm>
                    <a:prstGeom prst="rect">
                      <a:avLst/>
                    </a:prstGeom>
                    <a:noFill/>
                  </pic:spPr>
                </pic:pic>
              </a:graphicData>
            </a:graphic>
          </wp:anchor>
        </w:drawing>
      </w:r>
    </w:p>
    <w:p>
      <w:pPr>
        <w:spacing w:after="0" w:line="26" w:lineRule="exact"/>
        <w:rPr>
          <w:sz w:val="20"/>
          <w:szCs w:val="20"/>
          <w:color w:val="auto"/>
        </w:rPr>
      </w:pPr>
    </w:p>
    <w:p>
      <w:pPr>
        <w:spacing w:after="0"/>
        <w:tabs>
          <w:tab w:leader="none" w:pos="1220" w:val="left"/>
        </w:tabs>
        <w:rPr>
          <w:sz w:val="20"/>
          <w:szCs w:val="20"/>
          <w:color w:val="auto"/>
        </w:rPr>
      </w:pPr>
      <w:r>
        <w:rPr>
          <w:rFonts w:ascii="Arial" w:cs="Arial" w:eastAsia="Arial" w:hAnsi="Arial"/>
          <w:sz w:val="15"/>
          <w:szCs w:val="15"/>
          <w:b w:val="1"/>
          <w:bCs w:val="1"/>
          <w:color w:val="auto"/>
        </w:rPr>
        <w:t>Derivative</w:t>
      </w:r>
      <w:r>
        <w:rPr>
          <w:sz w:val="20"/>
          <w:szCs w:val="20"/>
          <w:color w:val="auto"/>
        </w:rPr>
        <w:tab/>
      </w:r>
      <w:r>
        <w:rPr>
          <w:rFonts w:ascii="Arial" w:cs="Arial" w:eastAsia="Arial" w:hAnsi="Arial"/>
          <w:sz w:val="15"/>
          <w:szCs w:val="15"/>
          <w:b w:val="1"/>
          <w:bCs w:val="1"/>
          <w:color w:val="auto"/>
        </w:rPr>
        <w:t>Derivative</w:t>
      </w:r>
    </w:p>
    <w:p>
      <w:pPr>
        <w:spacing w:after="0" w:line="8" w:lineRule="exact"/>
        <w:rPr>
          <w:sz w:val="20"/>
          <w:szCs w:val="20"/>
          <w:color w:val="auto"/>
        </w:rPr>
      </w:pPr>
    </w:p>
    <w:p>
      <w:pPr>
        <w:ind w:left="180"/>
        <w:spacing w:after="0"/>
        <w:tabs>
          <w:tab w:leader="none" w:pos="1280" w:val="left"/>
        </w:tabs>
        <w:rPr>
          <w:sz w:val="20"/>
          <w:szCs w:val="20"/>
          <w:color w:val="auto"/>
        </w:rPr>
      </w:pPr>
      <w:r>
        <w:rPr>
          <w:rFonts w:ascii="Arial" w:cs="Arial" w:eastAsia="Arial" w:hAnsi="Arial"/>
          <w:sz w:val="16"/>
          <w:szCs w:val="16"/>
          <w:b w:val="1"/>
          <w:bCs w:val="1"/>
          <w:color w:val="auto"/>
        </w:rPr>
        <w:t>Asset</w:t>
      </w:r>
      <w:r>
        <w:rPr>
          <w:sz w:val="20"/>
          <w:szCs w:val="20"/>
          <w:color w:val="auto"/>
        </w:rPr>
        <w:tab/>
      </w:r>
      <w:r>
        <w:rPr>
          <w:rFonts w:ascii="Arial" w:cs="Arial" w:eastAsia="Arial" w:hAnsi="Arial"/>
          <w:sz w:val="16"/>
          <w:szCs w:val="16"/>
          <w:b w:val="1"/>
          <w:bCs w:val="1"/>
          <w:color w:val="auto"/>
        </w:rPr>
        <w:t>Liability</w:t>
      </w:r>
    </w:p>
    <w:p>
      <w:pPr>
        <w:spacing w:after="0" w:line="8" w:lineRule="exact"/>
        <w:rPr>
          <w:sz w:val="20"/>
          <w:szCs w:val="20"/>
          <w:color w:val="auto"/>
        </w:rPr>
      </w:pPr>
    </w:p>
    <w:p>
      <w:pPr>
        <w:sectPr>
          <w:pgSz w:w="11900" w:h="16838" w:orient="portrait"/>
          <w:cols w:equalWidth="0" w:num="2">
            <w:col w:w="8520" w:space="520"/>
            <w:col w:w="2200"/>
          </w:cols>
          <w:pgMar w:left="320" w:top="121" w:right="339" w:bottom="1440" w:gutter="0" w:footer="0" w:header="0"/>
          <w:type w:val="continuous"/>
        </w:sectPr>
      </w:pPr>
    </w:p>
    <w:tbl>
      <w:tblPr>
        <w:tblLayout w:type="fixed"/>
        <w:tblInd w:w="40" w:type="dxa"/>
        <w:tblCellMar>
          <w:top w:w="0" w:type="dxa"/>
          <w:left w:w="0" w:type="dxa"/>
          <w:bottom w:w="0" w:type="dxa"/>
          <w:right w:w="0" w:type="dxa"/>
        </w:tblCellMar>
      </w:tblPr>
      <w:tr>
        <w:trPr>
          <w:trHeight w:val="202"/>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Derivatives designated as hedging instruments:</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Fair value hedge of brokered time deposits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219"/>
        </w:trPr>
        <w:tc>
          <w:tcPr>
            <w:tcW w:w="6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 of subordinated debt</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320" w:type="dxa"/>
            <w:vAlign w:val="bottom"/>
          </w:tcPr>
          <w:p>
            <w:pPr>
              <w:ind w:left="44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2,735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880</w:t>
            </w:r>
          </w:p>
        </w:tc>
      </w:tr>
      <w:tr>
        <w:trPr>
          <w:trHeight w:val="199"/>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Derivatives not designated as hedging instruments:</w:t>
            </w: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Customer derivative positions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87,978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Dealer offsets to customer derivative positions</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w:t>
            </w: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Risk participations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Mortgage banking - loan commitment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Mortgage banking - forward sales commitment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63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Bifurcated embedded derivatives</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20" w:type="dxa"/>
            <w:vAlign w:val="bottom"/>
          </w:tcPr>
          <w:p>
            <w:pPr>
              <w:ind w:left="200"/>
              <w:spacing w:after="0"/>
              <w:rPr>
                <w:sz w:val="20"/>
                <w:szCs w:val="20"/>
                <w:color w:val="auto"/>
              </w:rPr>
            </w:pPr>
            <w:r>
              <w:rPr>
                <w:rFonts w:ascii="Arial" w:cs="Arial" w:eastAsia="Arial" w:hAnsi="Arial"/>
                <w:sz w:val="16"/>
                <w:szCs w:val="16"/>
                <w:color w:val="auto"/>
              </w:rPr>
              <w:t>Dealer offsets to bifurcated embedded derivatives</w:t>
            </w:r>
          </w:p>
        </w:tc>
        <w:tc>
          <w:tcPr>
            <w:tcW w:w="3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7,667</w:t>
            </w:r>
          </w:p>
        </w:tc>
      </w:tr>
      <w:tr>
        <w:trPr>
          <w:trHeight w:val="210"/>
        </w:trPr>
        <w:tc>
          <w:tcPr>
            <w:tcW w:w="63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100,653</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33,519</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14,636</w:t>
            </w:r>
          </w:p>
        </w:tc>
      </w:tr>
      <w:tr>
        <w:trPr>
          <w:trHeight w:val="199"/>
        </w:trPr>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41"/>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derivatives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33,519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15,516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Total gross derivative instruments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15,516</w:t>
            </w: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Less: Amounts subject to master netting agreements</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Less: Cash collateral received/pledged</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(31,676)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(14,933)</w:t>
            </w:r>
          </w:p>
        </w:tc>
      </w:tr>
      <w:tr>
        <w:trPr>
          <w:trHeight w:val="213"/>
        </w:trPr>
        <w:tc>
          <w:tcPr>
            <w:tcW w:w="6320" w:type="dxa"/>
            <w:vAlign w:val="bottom"/>
          </w:tcPr>
          <w:p>
            <w:pPr>
              <w:spacing w:after="0"/>
              <w:rPr>
                <w:sz w:val="20"/>
                <w:szCs w:val="20"/>
                <w:color w:val="auto"/>
              </w:rPr>
            </w:pPr>
            <w:r>
              <w:rPr>
                <w:rFonts w:ascii="Arial" w:cs="Arial" w:eastAsia="Arial" w:hAnsi="Arial"/>
                <w:sz w:val="16"/>
                <w:szCs w:val="16"/>
                <w:color w:val="auto"/>
              </w:rPr>
              <w:t>Net amount</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100,627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34,606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w:t>
            </w:r>
          </w:p>
        </w:tc>
      </w:tr>
      <w:tr>
        <w:trPr>
          <w:trHeight w:val="20"/>
        </w:trPr>
        <w:tc>
          <w:tcPr>
            <w:tcW w:w="6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Hedging Derivatives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 of Interest Rate Risk</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United enters into cash flow hedges to mitigate exposure to the variability of future cash flows or other forecasted transactions. During the second quarter of 2020, United entered into three cash flow hedges using interest rate caps and swaps with an aggregate notional amount of $120 million to hedge the variability of cash flows due to changes in interest rates on certain of its variable-rate subordinated debt and trust preferred securities. United considers these derivatives to be highly effective at achieving offsetting changes in cash flows attributable to changes in interest rates. Therefore, changes in the fair value of these derivative instruments are recognized in other comprehensive income. Gains and losses related to changes in fair value are reclassified into earnings in the periods the hedged forecasted transactions occur. Losses representing amortization of the premium recorded on cash flow hedges, which is a component excluded from the assessment of effectiveness, are recognized in earnings on a straight-line basis in the same caption as the hedged item over the term of the hedge. Over the next twelve months United expects to reclassify $581,000 of losses from accumulated other comprehensive income into earnings related to these agreements.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2019, United had no active cash flow hedges.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During the second quarter of 2019, United amortized the remaining balance of losses on terminated hedging positions from other comprehensive income, which was the only effect of cash flow hedges on the consolidated statements of income for the three and nine months ended September 30, 2019. See Note 13 for further detail.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of Interest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 is exposed to changes in the fair value of certain of its fixed-rate obligations due to changes in interest rates. United uses interest rate derivatives to manage its exposure to changes in fair value on these instruments attributable to changes in interest rates. 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w:t>
      </w:r>
    </w:p>
    <w:p>
      <w:pPr>
        <w:spacing w:after="0" w:line="21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2020 and December 31, 2019, United had two and four, respectively, interest rate swaps with an aggregate notional amount of $20.0 million and $37.9 million, respectively, that were designated as fair value hedges of fixed-rate brokered time deposits. The swaps involved the receipt of fixed-rate amounts from a counterparty in exchange for United making variable rate payments over the life of the agreements.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events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table below presents the effect of derivatives in hedging relationships on the consolidated statement of income for the periods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440"/>
              <w:spacing w:after="0"/>
              <w:rPr>
                <w:sz w:val="20"/>
                <w:szCs w:val="20"/>
                <w:color w:val="auto"/>
              </w:rPr>
            </w:pPr>
            <w:r>
              <w:rPr>
                <w:rFonts w:ascii="Arial" w:cs="Arial" w:eastAsia="Arial" w:hAnsi="Arial"/>
                <w:sz w:val="16"/>
                <w:szCs w:val="16"/>
                <w:b w:val="1"/>
                <w:bCs w:val="1"/>
                <w:color w:val="auto"/>
              </w:rPr>
              <w:t>Interest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5"/>
          </w:tcPr>
          <w:p>
            <w:pPr>
              <w:ind w:left="20"/>
              <w:spacing w:after="0" w:line="158" w:lineRule="exact"/>
              <w:rPr>
                <w:sz w:val="20"/>
                <w:szCs w:val="20"/>
                <w:color w:val="auto"/>
              </w:rPr>
            </w:pPr>
            <w:r>
              <w:rPr>
                <w:rFonts w:ascii="Arial" w:cs="Arial" w:eastAsia="Arial" w:hAnsi="Arial"/>
                <w:sz w:val="16"/>
                <w:szCs w:val="16"/>
                <w:b w:val="1"/>
                <w:bCs w:val="1"/>
                <w:color w:val="auto"/>
              </w:rPr>
              <w:t>Three Months Ended September</w:t>
            </w:r>
          </w:p>
        </w:tc>
        <w:tc>
          <w:tcPr>
            <w:tcW w:w="2520" w:type="dxa"/>
            <w:vAlign w:val="bottom"/>
            <w:gridSpan w:val="5"/>
            <w:vMerge w:val="restart"/>
          </w:tcPr>
          <w:p>
            <w:pPr>
              <w:jc w:val="right"/>
              <w:spacing w:after="0"/>
              <w:rPr>
                <w:sz w:val="20"/>
                <w:szCs w:val="20"/>
                <w:color w:val="auto"/>
              </w:rPr>
            </w:pPr>
            <w:r>
              <w:rPr>
                <w:rFonts w:ascii="Arial" w:cs="Arial" w:eastAsia="Arial" w:hAnsi="Arial"/>
                <w:sz w:val="16"/>
                <w:szCs w:val="16"/>
                <w:b w:val="1"/>
                <w:bCs w:val="1"/>
                <w:color w:val="auto"/>
                <w:w w:val="93"/>
              </w:rPr>
              <w:t>Nine Months Ended September 30,</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Total amounts presented in the consolidated statements of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21,277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45,561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63,531</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Gains (losses) on fair value hedging relationships: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rate contracts: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40"/>
              <w:spacing w:after="0"/>
              <w:rPr>
                <w:sz w:val="20"/>
                <w:szCs w:val="20"/>
                <w:color w:val="auto"/>
              </w:rPr>
            </w:pPr>
            <w:r>
              <w:rPr>
                <w:rFonts w:ascii="Arial" w:cs="Arial" w:eastAsia="Arial" w:hAnsi="Arial"/>
                <w:sz w:val="16"/>
                <w:szCs w:val="16"/>
                <w:color w:val="auto"/>
              </w:rPr>
              <w:t>Amounts related to interest settlements on derivatives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Recognized on derivatives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Recognized on hedged items</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37"/>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(expense) recognized on fair value hedges</w:t>
            </w: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Gains (losses) on active cash flow hedging relationships </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00"/>
              <w:spacing w:after="0"/>
              <w:rPr>
                <w:sz w:val="20"/>
                <w:szCs w:val="20"/>
                <w:color w:val="auto"/>
              </w:rPr>
            </w:pPr>
            <w:r>
              <w:rPr>
                <w:rFonts w:ascii="Arial" w:cs="Arial" w:eastAsia="Arial" w:hAnsi="Arial"/>
                <w:sz w:val="16"/>
                <w:szCs w:val="16"/>
                <w:color w:val="auto"/>
              </w:rPr>
              <w:t>Interest rate contracts: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Realized gains (losses) reclassified from AOCI into net income </w:t>
            </w:r>
            <w:r>
              <w:rPr>
                <w:rFonts w:ascii="Arial" w:cs="Arial" w:eastAsia="Arial" w:hAnsi="Arial"/>
                <w:sz w:val="21"/>
                <w:szCs w:val="2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100" w:type="dxa"/>
            <w:vAlign w:val="bottom"/>
          </w:tcPr>
          <w:p>
            <w:pPr>
              <w:ind w:left="20"/>
              <w:spacing w:after="0"/>
              <w:rPr>
                <w:sz w:val="20"/>
                <w:szCs w:val="20"/>
                <w:color w:val="auto"/>
              </w:rPr>
            </w:pPr>
            <w:r>
              <w:rPr>
                <w:rFonts w:ascii="Arial" w:cs="Arial" w:eastAsia="Arial" w:hAnsi="Arial"/>
                <w:sz w:val="16"/>
                <w:szCs w:val="16"/>
                <w:color w:val="auto"/>
              </w:rPr>
              <w:t>Net income (expense) recognized on cash flow hedges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00" w:hanging="163"/>
        <w:spacing w:after="0"/>
        <w:tabs>
          <w:tab w:leader="none" w:pos="200" w:val="left"/>
        </w:tabs>
        <w:numPr>
          <w:ilvl w:val="1"/>
          <w:numId w:val="11"/>
        </w:numPr>
        <w:rPr>
          <w:rFonts w:ascii="Arial" w:cs="Arial" w:eastAsia="Arial" w:hAnsi="Arial"/>
          <w:sz w:val="19"/>
          <w:szCs w:val="19"/>
          <w:color w:val="auto"/>
          <w:vertAlign w:val="superscript"/>
        </w:rPr>
      </w:pPr>
      <w:r>
        <w:rPr>
          <w:rFonts w:ascii="Arial" w:cs="Arial" w:eastAsia="Arial" w:hAnsi="Arial"/>
          <w:sz w:val="15"/>
          <w:szCs w:val="15"/>
          <w:color w:val="auto"/>
        </w:rPr>
        <w:t>Excludes amortization of losses related to de-designated cash flow hedges. See Note 13 for further detail.</w:t>
      </w:r>
    </w:p>
    <w:p>
      <w:pPr>
        <w:ind w:firstLine="8"/>
        <w:spacing w:after="0" w:line="234" w:lineRule="auto"/>
        <w:tabs>
          <w:tab w:leader="none" w:pos="170"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Includes $119,000 and $211,000 of premium amortization expense excluded from the assessment of hedge effectiveness for the three and nine months ended September 30, 2020, respectively.</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carrying amount of hedged fixed-rate brokered time deposits and cumulative fair value hedging adjustments included in the carrying amount of the hedged liability for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gridSpan w:val="5"/>
          </w:tcPr>
          <w:p>
            <w:pPr>
              <w:ind w:left="1360"/>
              <w:spacing w:after="0"/>
              <w:rPr>
                <w:sz w:val="20"/>
                <w:szCs w:val="20"/>
                <w:color w:val="auto"/>
              </w:rPr>
            </w:pPr>
            <w:r>
              <w:rPr>
                <w:rFonts w:ascii="Arial" w:cs="Arial" w:eastAsia="Arial" w:hAnsi="Arial"/>
                <w:sz w:val="16"/>
                <w:szCs w:val="16"/>
                <w:b w:val="1"/>
                <w:bCs w:val="1"/>
                <w:color w:val="auto"/>
              </w:rPr>
              <w:t>September 30, 2020</w:t>
            </w:r>
          </w:p>
        </w:tc>
        <w:tc>
          <w:tcPr>
            <w:tcW w:w="120" w:type="dxa"/>
            <w:vAlign w:val="bottom"/>
          </w:tcPr>
          <w:p>
            <w:pPr>
              <w:spacing w:after="0"/>
              <w:rPr>
                <w:sz w:val="18"/>
                <w:szCs w:val="18"/>
                <w:color w:val="auto"/>
              </w:rPr>
            </w:pPr>
          </w:p>
        </w:tc>
        <w:tc>
          <w:tcPr>
            <w:tcW w:w="4180" w:type="dxa"/>
            <w:vAlign w:val="bottom"/>
            <w:gridSpan w:val="4"/>
          </w:tcPr>
          <w:p>
            <w:pPr>
              <w:ind w:left="1380"/>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159"/>
        </w:trPr>
        <w:tc>
          <w:tcPr>
            <w:tcW w:w="246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vMerge w:val="restart"/>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88"/>
              </w:rPr>
              <w:t>Hedge Accounting Basis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8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0"/>
              </w:rPr>
              <w:t>Carrying amount of Assets</w:t>
            </w: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Hedge Accounting Basis</w:t>
            </w:r>
          </w:p>
        </w:tc>
        <w:tc>
          <w:tcPr>
            <w:tcW w:w="0" w:type="dxa"/>
            <w:vAlign w:val="bottom"/>
          </w:tcPr>
          <w:p>
            <w:pPr>
              <w:spacing w:after="0"/>
              <w:rPr>
                <w:sz w:val="1"/>
                <w:szCs w:val="1"/>
                <w:color w:val="auto"/>
              </w:rPr>
            </w:pPr>
          </w:p>
        </w:tc>
      </w:tr>
      <w:tr>
        <w:trPr>
          <w:trHeight w:val="213"/>
        </w:trPr>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3"/>
              </w:rPr>
              <w:t>Adjustment</w:t>
            </w:r>
          </w:p>
        </w:tc>
        <w:tc>
          <w:tcPr>
            <w:tcW w:w="0" w:type="dxa"/>
            <w:vAlign w:val="bottom"/>
          </w:tcPr>
          <w:p>
            <w:pPr>
              <w:spacing w:after="0"/>
              <w:rPr>
                <w:sz w:val="1"/>
                <w:szCs w:val="1"/>
                <w:color w:val="auto"/>
              </w:rPr>
            </w:pPr>
          </w:p>
        </w:tc>
      </w:tr>
      <w:tr>
        <w:trPr>
          <w:trHeight w:val="212"/>
        </w:trPr>
        <w:tc>
          <w:tcPr>
            <w:tcW w:w="2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ind w:left="1400"/>
              <w:spacing w:after="0"/>
              <w:rPr>
                <w:sz w:val="20"/>
                <w:szCs w:val="20"/>
                <w:color w:val="auto"/>
              </w:rPr>
            </w:pPr>
            <w:r>
              <w:rPr>
                <w:rFonts w:ascii="Arial" w:cs="Arial" w:eastAsia="Arial" w:hAnsi="Arial"/>
                <w:sz w:val="16"/>
                <w:szCs w:val="16"/>
                <w:color w:val="auto"/>
                <w:w w:val="93"/>
              </w:rPr>
              <w:t>(35,880)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derivative positions include swaps, caps, and collars between United and certain commercial loan customers with offsetting positions to dealers under a back-to-back program. In addition, United occasionally enters into credit risk participation agreements with counterparty banks to accept or transfer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w:t>
      </w:r>
    </w:p>
    <w:p>
      <w:pPr>
        <w:spacing w:after="0" w:line="21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market-linked swaps and the bifurcated embedded derivatives tend to move in opposite directions with changes in 90-day London Interbank Offered Rate (“LIBOR”) and therefore provide an economic hedge.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gains and other related fee income 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100" w:type="dxa"/>
            <w:vAlign w:val="bottom"/>
            <w:tcBorders>
              <w:bottom w:val="single" w:sz="8" w:color="auto"/>
            </w:tcBorders>
            <w:gridSpan w:val="10"/>
          </w:tcPr>
          <w:p>
            <w:pPr>
              <w:jc w:val="right"/>
              <w:ind w:right="519"/>
              <w:spacing w:after="0"/>
              <w:rPr>
                <w:sz w:val="20"/>
                <w:szCs w:val="20"/>
                <w:color w:val="auto"/>
              </w:rPr>
            </w:pPr>
            <w:r>
              <w:rPr>
                <w:rFonts w:ascii="Arial" w:cs="Arial" w:eastAsia="Arial" w:hAnsi="Arial"/>
                <w:sz w:val="16"/>
                <w:szCs w:val="16"/>
                <w:b w:val="1"/>
                <w:bCs w:val="1"/>
                <w:color w:val="auto"/>
                <w:w w:val="97"/>
              </w:rPr>
              <w:t>Amount of Gain (Loss) Recognized in Income on Derivatives</w:t>
            </w:r>
          </w:p>
        </w:tc>
        <w:tc>
          <w:tcPr>
            <w:tcW w:w="0" w:type="dxa"/>
            <w:vAlign w:val="bottom"/>
          </w:tcPr>
          <w:p>
            <w:pPr>
              <w:spacing w:after="0"/>
              <w:rPr>
                <w:sz w:val="1"/>
                <w:szCs w:val="1"/>
                <w:color w:val="auto"/>
              </w:rPr>
            </w:pPr>
          </w:p>
        </w:tc>
      </w:tr>
      <w:tr>
        <w:trPr>
          <w:trHeight w:val="186"/>
        </w:trPr>
        <w:tc>
          <w:tcPr>
            <w:tcW w:w="3620" w:type="dxa"/>
            <w:vAlign w:val="bottom"/>
          </w:tcPr>
          <w:p>
            <w:pPr>
              <w:spacing w:after="0"/>
              <w:rPr>
                <w:sz w:val="16"/>
                <w:szCs w:val="16"/>
                <w:color w:val="auto"/>
              </w:rPr>
            </w:pPr>
          </w:p>
        </w:tc>
        <w:tc>
          <w:tcPr>
            <w:tcW w:w="220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Location of Gain (Loss)</w:t>
            </w:r>
          </w:p>
        </w:tc>
        <w:tc>
          <w:tcPr>
            <w:tcW w:w="280" w:type="dxa"/>
            <w:vAlign w:val="bottom"/>
          </w:tcPr>
          <w:p>
            <w:pPr>
              <w:spacing w:after="0"/>
              <w:rPr>
                <w:sz w:val="16"/>
                <w:szCs w:val="16"/>
                <w:color w:val="auto"/>
              </w:rPr>
            </w:pPr>
          </w:p>
        </w:tc>
        <w:tc>
          <w:tcPr>
            <w:tcW w:w="194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620" w:type="dxa"/>
            <w:vAlign w:val="bottom"/>
          </w:tcPr>
          <w:p>
            <w:pPr>
              <w:spacing w:after="0"/>
              <w:rPr>
                <w:sz w:val="8"/>
                <w:szCs w:val="8"/>
                <w:color w:val="auto"/>
              </w:rPr>
            </w:pPr>
          </w:p>
        </w:tc>
        <w:tc>
          <w:tcPr>
            <w:tcW w:w="22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940" w:type="dxa"/>
            <w:vAlign w:val="bottom"/>
            <w:gridSpan w:val="3"/>
            <w:vMerge w:val="restart"/>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jc w:val="right"/>
              <w:ind w:right="19"/>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2200" w:type="dxa"/>
            <w:vAlign w:val="bottom"/>
            <w:gridSpan w:val="2"/>
            <w:vMerge w:val="restart"/>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Recognized in Income on</w:t>
            </w:r>
          </w:p>
        </w:tc>
        <w:tc>
          <w:tcPr>
            <w:tcW w:w="2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vMerge w:val="continue"/>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20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
                <w:szCs w:val="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line="20" w:lineRule="exact"/>
              <w:rPr>
                <w:sz w:val="1"/>
                <w:szCs w:val="1"/>
                <w:color w:val="auto"/>
              </w:rPr>
            </w:pPr>
          </w:p>
        </w:tc>
      </w:tr>
      <w:tr>
        <w:trPr>
          <w:trHeight w:val="210"/>
        </w:trPr>
        <w:tc>
          <w:tcPr>
            <w:tcW w:w="362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620" w:type="dxa"/>
            <w:vAlign w:val="bottom"/>
          </w:tcPr>
          <w:p>
            <w:pPr>
              <w:ind w:left="20"/>
              <w:spacing w:after="0" w:line="152" w:lineRule="exact"/>
              <w:rPr>
                <w:sz w:val="20"/>
                <w:szCs w:val="20"/>
                <w:color w:val="auto"/>
              </w:rPr>
            </w:pPr>
            <w:r>
              <w:rPr>
                <w:rFonts w:ascii="Arial" w:cs="Arial" w:eastAsia="Arial" w:hAnsi="Arial"/>
                <w:sz w:val="16"/>
                <w:szCs w:val="16"/>
                <w:color w:val="auto"/>
              </w:rPr>
              <w:t>Customer derivatives, dealer offsets and risk</w:t>
            </w:r>
          </w:p>
        </w:tc>
        <w:tc>
          <w:tcPr>
            <w:tcW w:w="2200" w:type="dxa"/>
            <w:vAlign w:val="bottom"/>
            <w:gridSpan w:val="2"/>
            <w:vMerge w:val="restart"/>
          </w:tcPr>
          <w:p>
            <w:pPr>
              <w:ind w:left="20"/>
              <w:spacing w:after="0"/>
              <w:rPr>
                <w:sz w:val="20"/>
                <w:szCs w:val="20"/>
                <w:color w:val="auto"/>
              </w:rPr>
            </w:pPr>
            <w:r>
              <w:rPr>
                <w:rFonts w:ascii="Arial" w:cs="Arial" w:eastAsia="Arial" w:hAnsi="Arial"/>
                <w:sz w:val="16"/>
                <w:szCs w:val="16"/>
                <w:color w:val="auto"/>
              </w:rPr>
              <w:t>Other noninterest income</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2,258</w:t>
            </w:r>
          </w:p>
        </w:tc>
        <w:tc>
          <w:tcPr>
            <w:tcW w:w="120" w:type="dxa"/>
            <w:vAlign w:val="bottom"/>
          </w:tcPr>
          <w:p>
            <w:pPr>
              <w:spacing w:after="0"/>
              <w:rPr>
                <w:sz w:val="13"/>
                <w:szCs w:val="13"/>
                <w:color w:val="auto"/>
              </w:rPr>
            </w:pPr>
          </w:p>
        </w:tc>
        <w:tc>
          <w:tcPr>
            <w:tcW w:w="860" w:type="dxa"/>
            <w:vAlign w:val="bottom"/>
            <w:vMerge w:val="restart"/>
          </w:tcPr>
          <w:p>
            <w:pPr>
              <w:jc w:val="right"/>
              <w:ind w:right="67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648</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3"/>
                <w:szCs w:val="13"/>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2,371</w:t>
            </w:r>
          </w:p>
        </w:tc>
        <w:tc>
          <w:tcPr>
            <w:tcW w:w="0" w:type="dxa"/>
            <w:vAlign w:val="bottom"/>
          </w:tcPr>
          <w:p>
            <w:pPr>
              <w:spacing w:after="0"/>
              <w:rPr>
                <w:sz w:val="1"/>
                <w:szCs w:val="1"/>
                <w:color w:val="auto"/>
              </w:rPr>
            </w:pP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participations</w:t>
            </w:r>
          </w:p>
        </w:tc>
        <w:tc>
          <w:tcPr>
            <w:tcW w:w="220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Bifurcated embedded derivatives and dealer offsets</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noninterest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De-designated hedges</w:t>
            </w:r>
          </w:p>
        </w:tc>
        <w:tc>
          <w:tcPr>
            <w:tcW w:w="2200" w:type="dxa"/>
            <w:vAlign w:val="bottom"/>
            <w:gridSpan w:val="2"/>
          </w:tcPr>
          <w:p>
            <w:pPr>
              <w:ind w:left="20"/>
              <w:spacing w:after="0"/>
              <w:rPr>
                <w:sz w:val="20"/>
                <w:szCs w:val="20"/>
                <w:color w:val="auto"/>
              </w:rPr>
            </w:pPr>
            <w:r>
              <w:rPr>
                <w:rFonts w:ascii="Arial" w:cs="Arial" w:eastAsia="Arial" w:hAnsi="Arial"/>
                <w:sz w:val="16"/>
                <w:szCs w:val="16"/>
                <w:color w:val="auto"/>
              </w:rPr>
              <w:t>Other noninterest income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 banking derivatives</w:t>
            </w: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Mortgage loan revenue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w:t>
            </w: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Other Intangible Assets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represents the premium paid for acquired companies above the net fair value of the assets acquired and liabilities assumed, including separately identifiable intangible assets.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latter part of the first quarter of 2020, as a result of market concerns about the potential impact of COVID-19, United’s stock price declined such that it traded below book value for much of the first nine months of 2020. United generally performs its annual goodwill impairment assessment during the fourth quarter of each year, using data as of the end of the third quarter; however, as a result of this triggering event, management has qualitatively assessed and concluded that there was not a greater than 50% likelihood that United’s fair value was less than its carrying amount as of September 30, 2020, given the anticipated short duration of the change in macroeconomic conditions and excess of value as of the latest annual assessment performed as of September 30, 2019. Management will continue to monitor and assess the impact of the pandemic on the Company’s value as part of the annual goodwill assessment in the fourth quarter.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2020</w:t>
            </w:r>
          </w:p>
        </w:tc>
        <w:tc>
          <w:tcPr>
            <w:tcW w:w="140" w:type="dxa"/>
            <w:vAlign w:val="bottom"/>
          </w:tcPr>
          <w:p>
            <w:pPr>
              <w:spacing w:after="0"/>
              <w:rPr>
                <w:sz w:val="18"/>
                <w:szCs w:val="18"/>
                <w:color w:val="auto"/>
              </w:rPr>
            </w:pPr>
          </w:p>
        </w:tc>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5940" w:type="dxa"/>
            <w:vAlign w:val="bottom"/>
            <w:tcBorders>
              <w:top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Core deposit intangible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32,802</w:t>
            </w:r>
          </w:p>
        </w:tc>
        <w:tc>
          <w:tcPr>
            <w:tcW w:w="1760" w:type="dxa"/>
            <w:vAlign w:val="bottom"/>
            <w:tcBorders>
              <w:top w:val="single" w:sz="8" w:color="CCEEFF"/>
            </w:tcBorders>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Less: accumulated amortization</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(21,106)</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(17,980)</w:t>
            </w:r>
          </w:p>
        </w:tc>
        <w:tc>
          <w:tcPr>
            <w:tcW w:w="1760" w:type="dxa"/>
            <w:vAlign w:val="bottom"/>
            <w:tcBorders>
              <w:bottom w:val="single" w:sz="8" w:color="CCEEFF"/>
            </w:tcBorders>
          </w:tcPr>
          <w:p>
            <w:pPr>
              <w:spacing w:after="0"/>
              <w:rPr>
                <w:sz w:val="18"/>
                <w:szCs w:val="18"/>
                <w:color w:val="auto"/>
              </w:rPr>
            </w:pPr>
          </w:p>
        </w:tc>
      </w:tr>
      <w:tr>
        <w:trPr>
          <w:trHeight w:val="213"/>
        </w:trPr>
        <w:tc>
          <w:tcPr>
            <w:tcW w:w="5940" w:type="dxa"/>
            <w:vAlign w:val="bottom"/>
            <w:shd w:val="clear" w:color="auto" w:fill="CCEEFF"/>
          </w:tcPr>
          <w:p>
            <w:pPr>
              <w:ind w:left="1940"/>
              <w:spacing w:after="0"/>
              <w:rPr>
                <w:sz w:val="20"/>
                <w:szCs w:val="20"/>
                <w:color w:val="auto"/>
              </w:rPr>
            </w:pPr>
            <w:r>
              <w:rPr>
                <w:rFonts w:ascii="Arial" w:cs="Arial" w:eastAsia="Arial" w:hAnsi="Arial"/>
                <w:sz w:val="16"/>
                <w:szCs w:val="16"/>
                <w:color w:val="auto"/>
              </w:rPr>
              <w:t>Net core deposit intangible</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760" w:type="dxa"/>
            <w:vAlign w:val="bottom"/>
            <w:shd w:val="clear" w:color="auto" w:fill="CCEEFF"/>
          </w:tcPr>
          <w:p>
            <w:pPr>
              <w:spacing w:after="0"/>
              <w:rPr>
                <w:sz w:val="18"/>
                <w:szCs w:val="18"/>
                <w:color w:val="auto"/>
              </w:rPr>
            </w:pPr>
          </w:p>
        </w:tc>
      </w:tr>
      <w:tr>
        <w:trPr>
          <w:trHeight w:val="213"/>
        </w:trPr>
        <w:tc>
          <w:tcPr>
            <w:tcW w:w="594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Goodwill</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369,018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327,425</w:t>
            </w:r>
          </w:p>
        </w:tc>
        <w:tc>
          <w:tcPr>
            <w:tcW w:w="1760" w:type="dxa"/>
            <w:vAlign w:val="bottom"/>
            <w:tcBorders>
              <w:bottom w:val="single" w:sz="8" w:color="CCEEFF"/>
            </w:tcBorders>
          </w:tcPr>
          <w:p>
            <w:pPr>
              <w:spacing w:after="0"/>
              <w:rPr>
                <w:sz w:val="18"/>
                <w:szCs w:val="18"/>
                <w:color w:val="auto"/>
              </w:rPr>
            </w:pPr>
          </w:p>
        </w:tc>
      </w:tr>
      <w:tr>
        <w:trPr>
          <w:trHeight w:val="238"/>
        </w:trPr>
        <w:tc>
          <w:tcPr>
            <w:tcW w:w="594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Total goodwill and other intangible assets,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342,247</w:t>
            </w:r>
          </w:p>
        </w:tc>
        <w:tc>
          <w:tcPr>
            <w:tcW w:w="1760" w:type="dxa"/>
            <w:vAlign w:val="bottom"/>
            <w:tcBorders>
              <w:bottom w:val="single" w:sz="8" w:color="CCEEFF"/>
            </w:tcBorders>
            <w:shd w:val="clear" w:color="auto" w:fill="CCEEFF"/>
          </w:tcPr>
          <w:p>
            <w:pPr>
              <w:spacing w:after="0"/>
              <w:rPr>
                <w:sz w:val="20"/>
                <w:szCs w:val="20"/>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60" w:type="dxa"/>
            <w:vAlign w:val="bottom"/>
            <w:gridSpan w:val="8"/>
          </w:tcPr>
          <w:p>
            <w:pPr>
              <w:ind w:left="64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3940" w:type="dxa"/>
            <w:vAlign w:val="bottom"/>
            <w:gridSpan w:val="7"/>
          </w:tcPr>
          <w:p>
            <w:pPr>
              <w:jc w:val="right"/>
              <w:ind w:right="75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159"/>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Goodwill, net of</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1"/>
              </w:rPr>
              <w:t>Goodwill, net of</w:t>
            </w: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rPr>
              <w:t>Goodwill</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Impairment</w:t>
            </w:r>
          </w:p>
        </w:tc>
        <w:tc>
          <w:tcPr>
            <w:tcW w:w="160" w:type="dxa"/>
            <w:vAlign w:val="bottom"/>
          </w:tcPr>
          <w:p>
            <w:pPr>
              <w:spacing w:after="0"/>
              <w:rPr>
                <w:sz w:val="14"/>
                <w:szCs w:val="14"/>
                <w:color w:val="auto"/>
              </w:rPr>
            </w:pPr>
          </w:p>
        </w:tc>
        <w:tc>
          <w:tcPr>
            <w:tcW w:w="14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4"/>
                <w:szCs w:val="14"/>
                <w:color w:val="auto"/>
              </w:rPr>
            </w:pP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7"/>
              </w:rPr>
              <w:t>Goodwill</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7"/>
              </w:rPr>
              <w:t>Impairment</w:t>
            </w:r>
          </w:p>
        </w:tc>
        <w:tc>
          <w:tcPr>
            <w:tcW w:w="160" w:type="dxa"/>
            <w:vAlign w:val="bottom"/>
          </w:tcPr>
          <w:p>
            <w:pPr>
              <w:spacing w:after="0"/>
              <w:rPr>
                <w:sz w:val="14"/>
                <w:szCs w:val="14"/>
                <w:color w:val="auto"/>
              </w:rPr>
            </w:pPr>
          </w:p>
        </w:tc>
        <w:tc>
          <w:tcPr>
            <w:tcW w:w="13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Accumulated</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Impairment Losses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Impairment Losses</w:t>
            </w:r>
          </w:p>
        </w:tc>
        <w:tc>
          <w:tcPr>
            <w:tcW w:w="0" w:type="dxa"/>
            <w:vAlign w:val="bottom"/>
          </w:tcPr>
          <w:p>
            <w:pPr>
              <w:spacing w:after="0"/>
              <w:rPr>
                <w:sz w:val="1"/>
                <w:szCs w:val="1"/>
                <w:color w:val="auto"/>
              </w:rPr>
            </w:pPr>
          </w:p>
        </w:tc>
      </w:tr>
      <w:tr>
        <w:trPr>
          <w:trHeight w:val="212"/>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327,425</w:t>
            </w:r>
          </w:p>
        </w:tc>
        <w:tc>
          <w:tcPr>
            <w:tcW w:w="0" w:type="dxa"/>
            <w:vAlign w:val="bottom"/>
          </w:tcPr>
          <w:p>
            <w:pPr>
              <w:spacing w:after="0"/>
              <w:rPr>
                <w:sz w:val="1"/>
                <w:szCs w:val="1"/>
                <w:color w:val="auto"/>
              </w:rPr>
            </w:pPr>
          </w:p>
        </w:tc>
      </w:tr>
      <w:tr>
        <w:trPr>
          <w:trHeight w:val="21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Acquisition of Three Shores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41,593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41,593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41,593</w:t>
            </w:r>
          </w:p>
        </w:tc>
        <w:tc>
          <w:tcPr>
            <w:tcW w:w="0" w:type="dxa"/>
            <w:vAlign w:val="bottom"/>
          </w:tcPr>
          <w:p>
            <w:pPr>
              <w:spacing w:after="0"/>
              <w:rPr>
                <w:sz w:val="1"/>
                <w:szCs w:val="1"/>
                <w:color w:val="auto"/>
              </w:rPr>
            </w:pPr>
          </w:p>
        </w:tc>
      </w:tr>
      <w:tr>
        <w:trPr>
          <w:trHeight w:val="237"/>
        </w:trPr>
        <w:tc>
          <w:tcPr>
            <w:tcW w:w="2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674,608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674,608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369,018</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Balance, beginning of period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633,015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327,425</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612,702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307,112</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 of FMBT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20,313</w:t>
            </w:r>
          </w:p>
        </w:tc>
        <w:tc>
          <w:tcPr>
            <w:tcW w:w="0" w:type="dxa"/>
            <w:vAlign w:val="bottom"/>
          </w:tcPr>
          <w:p>
            <w:pPr>
              <w:spacing w:after="0"/>
              <w:rPr>
                <w:sz w:val="1"/>
                <w:szCs w:val="1"/>
                <w:color w:val="auto"/>
              </w:rPr>
            </w:pPr>
          </w:p>
        </w:tc>
      </w:tr>
      <w:tr>
        <w:trPr>
          <w:trHeight w:val="213"/>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633,015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327,425</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633,015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327,425</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aggregate amortization expense for future periods for core deposit intangibles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6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r>
      <w:tr>
        <w:trPr>
          <w:trHeight w:val="213"/>
        </w:trPr>
        <w:tc>
          <w:tcPr>
            <w:tcW w:w="3480" w:type="dxa"/>
            <w:vAlign w:val="bottom"/>
            <w:shd w:val="clear" w:color="auto" w:fill="CCEEFF"/>
          </w:tcPr>
          <w:p>
            <w:pPr>
              <w:spacing w:after="0"/>
              <w:rPr>
                <w:sz w:val="18"/>
                <w:szCs w:val="18"/>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3500" w:type="dxa"/>
            <w:vAlign w:val="bottom"/>
            <w:shd w:val="clear" w:color="auto" w:fill="CCEEFF"/>
          </w:tcPr>
          <w:p>
            <w:pPr>
              <w:spacing w:after="0"/>
              <w:rPr>
                <w:sz w:val="18"/>
                <w:szCs w:val="18"/>
                <w:color w:val="auto"/>
              </w:rPr>
            </w:pPr>
          </w:p>
        </w:tc>
      </w:tr>
      <w:tr>
        <w:trPr>
          <w:trHeight w:val="213"/>
        </w:trPr>
        <w:tc>
          <w:tcPr>
            <w:tcW w:w="6060" w:type="dxa"/>
            <w:vAlign w:val="bottom"/>
            <w:gridSpan w:val="2"/>
          </w:tcPr>
          <w:p>
            <w:pPr>
              <w:ind w:left="3500"/>
              <w:spacing w:after="0"/>
              <w:rPr>
                <w:sz w:val="20"/>
                <w:szCs w:val="20"/>
                <w:color w:val="auto"/>
              </w:rPr>
            </w:pPr>
            <w:r>
              <w:rPr>
                <w:rFonts w:ascii="Arial" w:cs="Arial" w:eastAsia="Arial" w:hAnsi="Arial"/>
                <w:sz w:val="16"/>
                <w:szCs w:val="16"/>
                <w:color w:val="auto"/>
              </w:rPr>
              <w:t>2021</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3,622</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Arial" w:cs="Arial" w:eastAsia="Arial" w:hAnsi="Arial"/>
                <w:sz w:val="16"/>
                <w:szCs w:val="16"/>
                <w:color w:val="auto"/>
              </w:rPr>
              <w:t>2022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2,915</w:t>
            </w:r>
          </w:p>
        </w:tc>
        <w:tc>
          <w:tcPr>
            <w:tcW w:w="3500" w:type="dxa"/>
            <w:vAlign w:val="bottom"/>
            <w:shd w:val="clear" w:color="auto" w:fill="CCEEFF"/>
          </w:tcPr>
          <w:p>
            <w:pPr>
              <w:spacing w:after="0"/>
              <w:rPr>
                <w:sz w:val="19"/>
                <w:szCs w:val="19"/>
                <w:color w:val="auto"/>
              </w:rPr>
            </w:pPr>
          </w:p>
        </w:tc>
      </w:tr>
      <w:tr>
        <w:trPr>
          <w:trHeight w:val="213"/>
        </w:trPr>
        <w:tc>
          <w:tcPr>
            <w:tcW w:w="6060" w:type="dxa"/>
            <w:vAlign w:val="bottom"/>
            <w:gridSpan w:val="2"/>
          </w:tcPr>
          <w:p>
            <w:pPr>
              <w:ind w:left="3500"/>
              <w:spacing w:after="0"/>
              <w:rPr>
                <w:sz w:val="20"/>
                <w:szCs w:val="20"/>
                <w:color w:val="auto"/>
              </w:rPr>
            </w:pPr>
            <w:r>
              <w:rPr>
                <w:rFonts w:ascii="Arial" w:cs="Arial" w:eastAsia="Arial" w:hAnsi="Arial"/>
                <w:sz w:val="16"/>
                <w:szCs w:val="16"/>
                <w:color w:val="auto"/>
              </w:rPr>
              <w:t>2023</w:t>
            </w:r>
          </w:p>
        </w:tc>
        <w:tc>
          <w:tcPr>
            <w:tcW w:w="6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2,321</w:t>
            </w:r>
          </w:p>
        </w:tc>
        <w:tc>
          <w:tcPr>
            <w:tcW w:w="3500" w:type="dxa"/>
            <w:vAlign w:val="bottom"/>
          </w:tcPr>
          <w:p>
            <w:pPr>
              <w:spacing w:after="0"/>
              <w:rPr>
                <w:sz w:val="18"/>
                <w:szCs w:val="18"/>
                <w:color w:val="auto"/>
              </w:rPr>
            </w:pPr>
          </w:p>
        </w:tc>
      </w:tr>
      <w:tr>
        <w:trPr>
          <w:trHeight w:val="219"/>
        </w:trPr>
        <w:tc>
          <w:tcPr>
            <w:tcW w:w="6060" w:type="dxa"/>
            <w:vAlign w:val="bottom"/>
            <w:gridSpan w:val="2"/>
            <w:shd w:val="clear" w:color="auto" w:fill="CCEEFF"/>
          </w:tcPr>
          <w:p>
            <w:pPr>
              <w:ind w:left="3500"/>
              <w:spacing w:after="0"/>
              <w:rPr>
                <w:sz w:val="20"/>
                <w:szCs w:val="20"/>
                <w:color w:val="auto"/>
              </w:rPr>
            </w:pPr>
            <w:r>
              <w:rPr>
                <w:rFonts w:ascii="Arial" w:cs="Arial" w:eastAsia="Arial" w:hAnsi="Arial"/>
                <w:sz w:val="16"/>
                <w:szCs w:val="16"/>
                <w:color w:val="auto"/>
              </w:rPr>
              <w:t>2024</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1,834</w:t>
            </w:r>
          </w:p>
        </w:tc>
        <w:tc>
          <w:tcPr>
            <w:tcW w:w="3500" w:type="dxa"/>
            <w:vAlign w:val="bottom"/>
            <w:shd w:val="clear" w:color="auto" w:fill="CCEEFF"/>
          </w:tcPr>
          <w:p>
            <w:pPr>
              <w:spacing w:after="0"/>
              <w:rPr>
                <w:sz w:val="19"/>
                <w:szCs w:val="19"/>
                <w:color w:val="auto"/>
              </w:rPr>
            </w:pPr>
          </w:p>
        </w:tc>
      </w:tr>
      <w:tr>
        <w:trPr>
          <w:trHeight w:val="213"/>
        </w:trPr>
        <w:tc>
          <w:tcPr>
            <w:tcW w:w="348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6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3,322</w:t>
            </w:r>
          </w:p>
        </w:tc>
        <w:tc>
          <w:tcPr>
            <w:tcW w:w="3500" w:type="dxa"/>
            <w:vAlign w:val="bottom"/>
            <w:tcBorders>
              <w:bottom w:val="single" w:sz="8" w:color="CCEEFF"/>
            </w:tcBorders>
          </w:tcPr>
          <w:p>
            <w:pPr>
              <w:spacing w:after="0"/>
              <w:rPr>
                <w:sz w:val="18"/>
                <w:szCs w:val="18"/>
                <w:color w:val="auto"/>
              </w:rPr>
            </w:pPr>
          </w:p>
        </w:tc>
      </w:tr>
      <w:tr>
        <w:trPr>
          <w:trHeight w:val="237"/>
        </w:trPr>
        <w:tc>
          <w:tcPr>
            <w:tcW w:w="34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15,056</w:t>
            </w:r>
          </w:p>
        </w:tc>
        <w:tc>
          <w:tcPr>
            <w:tcW w:w="3500" w:type="dxa"/>
            <w:vAlign w:val="bottom"/>
            <w:tcBorders>
              <w:bottom w:val="single" w:sz="8" w:color="CCEEFF"/>
            </w:tcBorders>
            <w:shd w:val="clear" w:color="auto" w:fill="CCEEFF"/>
          </w:tcPr>
          <w:p>
            <w:pPr>
              <w:spacing w:after="0"/>
              <w:rPr>
                <w:sz w:val="20"/>
                <w:szCs w:val="20"/>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Issue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Stated</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Earliest</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1"/>
              </w:rPr>
              <w:t>December 31, 2019</w:t>
            </w: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Maturity</w:t>
            </w:r>
          </w:p>
        </w:tc>
        <w:tc>
          <w:tcPr>
            <w:tcW w:w="90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Call</w:t>
            </w:r>
          </w:p>
        </w:tc>
        <w:tc>
          <w:tcPr>
            <w:tcW w:w="240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240"/>
              <w:spacing w:after="0"/>
              <w:rPr>
                <w:sz w:val="20"/>
                <w:szCs w:val="20"/>
                <w:color w:val="auto"/>
              </w:rPr>
            </w:pPr>
            <w:r>
              <w:rPr>
                <w:rFonts w:ascii="Arial" w:cs="Arial" w:eastAsia="Arial" w:hAnsi="Arial"/>
                <w:sz w:val="16"/>
                <w:szCs w:val="16"/>
                <w:b w:val="1"/>
                <w:bCs w:val="1"/>
                <w:color w:val="auto"/>
              </w:rPr>
              <w:t>Date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Date</w:t>
            </w:r>
          </w:p>
        </w:tc>
        <w:tc>
          <w:tcPr>
            <w:tcW w:w="2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Obligations of the Bank and its Subsidiaries:</w:t>
            </w: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line="166" w:lineRule="exact"/>
              <w:rPr>
                <w:sz w:val="20"/>
                <w:szCs w:val="20"/>
                <w:color w:val="auto"/>
              </w:rPr>
            </w:pPr>
            <w:r>
              <w:rPr>
                <w:rFonts w:ascii="Arial" w:cs="Arial" w:eastAsia="Arial" w:hAnsi="Arial"/>
                <w:sz w:val="16"/>
                <w:szCs w:val="16"/>
                <w:color w:val="auto"/>
              </w:rPr>
              <w:t>2026 subordinated debentures</w:t>
            </w:r>
          </w:p>
        </w:tc>
        <w:tc>
          <w:tcPr>
            <w:tcW w:w="16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66" w:lineRule="exact"/>
              <w:rPr>
                <w:sz w:val="20"/>
                <w:szCs w:val="20"/>
                <w:color w:val="auto"/>
              </w:rPr>
            </w:pPr>
            <w:r>
              <w:rPr>
                <w:rFonts w:ascii="Arial" w:cs="Arial" w:eastAsia="Arial" w:hAnsi="Arial"/>
                <w:sz w:val="16"/>
                <w:szCs w:val="16"/>
                <w:color w:val="auto"/>
              </w:rPr>
              <w:t>15,000</w:t>
            </w:r>
          </w:p>
        </w:tc>
        <w:tc>
          <w:tcPr>
            <w:tcW w:w="100" w:type="dxa"/>
            <w:vAlign w:val="bottom"/>
          </w:tcPr>
          <w:p>
            <w:pPr>
              <w:spacing w:after="0"/>
              <w:rPr>
                <w:sz w:val="14"/>
                <w:szCs w:val="14"/>
                <w:color w:val="auto"/>
              </w:rPr>
            </w:pPr>
          </w:p>
        </w:tc>
        <w:tc>
          <w:tcPr>
            <w:tcW w:w="440" w:type="dxa"/>
            <w:vAlign w:val="bottom"/>
          </w:tcPr>
          <w:p>
            <w:pPr>
              <w:jc w:val="right"/>
              <w:ind w:right="259"/>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2016</w:t>
            </w:r>
          </w:p>
        </w:tc>
        <w:tc>
          <w:tcPr>
            <w:tcW w:w="8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2026</w:t>
            </w: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2021</w:t>
            </w:r>
          </w:p>
        </w:tc>
        <w:tc>
          <w:tcPr>
            <w:tcW w:w="80" w:type="dxa"/>
            <w:vAlign w:val="bottom"/>
          </w:tcPr>
          <w:p>
            <w:pPr>
              <w:spacing w:after="0"/>
              <w:rPr>
                <w:sz w:val="14"/>
                <w:szCs w:val="14"/>
                <w:color w:val="auto"/>
              </w:rPr>
            </w:pPr>
          </w:p>
        </w:tc>
        <w:tc>
          <w:tcPr>
            <w:tcW w:w="2400" w:type="dxa"/>
            <w:vAlign w:val="bottom"/>
          </w:tcPr>
          <w:p>
            <w:pPr>
              <w:ind w:left="20"/>
              <w:spacing w:after="0" w:line="166" w:lineRule="exact"/>
              <w:rPr>
                <w:sz w:val="20"/>
                <w:szCs w:val="20"/>
                <w:color w:val="auto"/>
              </w:rPr>
            </w:pPr>
            <w:r>
              <w:rPr>
                <w:rFonts w:ascii="Arial" w:cs="Arial" w:eastAsia="Arial" w:hAnsi="Arial"/>
                <w:sz w:val="16"/>
                <w:szCs w:val="16"/>
                <w:color w:val="auto"/>
              </w:rPr>
              <w:t>5.875% through August 2021, 3-</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month LIBOR plus 4.70%</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Obligations of the Holding Company:</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line="166" w:lineRule="exact"/>
              <w:rPr>
                <w:sz w:val="20"/>
                <w:szCs w:val="20"/>
                <w:color w:val="auto"/>
              </w:rPr>
            </w:pPr>
            <w:r>
              <w:rPr>
                <w:rFonts w:ascii="Arial" w:cs="Arial" w:eastAsia="Arial" w:hAnsi="Arial"/>
                <w:sz w:val="16"/>
                <w:szCs w:val="16"/>
                <w:color w:val="auto"/>
              </w:rPr>
              <w:t>2022 senior debentures</w:t>
            </w:r>
          </w:p>
        </w:tc>
        <w:tc>
          <w:tcPr>
            <w:tcW w:w="160" w:type="dxa"/>
            <w:vAlign w:val="bottom"/>
          </w:tcPr>
          <w:p>
            <w:pPr>
              <w:jc w:val="right"/>
              <w:spacing w:after="0" w:line="166"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66" w:lineRule="exact"/>
              <w:rPr>
                <w:sz w:val="20"/>
                <w:szCs w:val="20"/>
                <w:color w:val="auto"/>
              </w:rPr>
            </w:pPr>
            <w:r>
              <w:rPr>
                <w:rFonts w:ascii="Arial" w:cs="Arial" w:eastAsia="Arial" w:hAnsi="Arial"/>
                <w:sz w:val="16"/>
                <w:szCs w:val="16"/>
                <w:color w:val="auto"/>
              </w:rPr>
              <w:t>50,000</w:t>
            </w:r>
          </w:p>
        </w:tc>
        <w:tc>
          <w:tcPr>
            <w:tcW w:w="100" w:type="dxa"/>
            <w:vAlign w:val="bottom"/>
          </w:tcPr>
          <w:p>
            <w:pPr>
              <w:spacing w:after="0"/>
              <w:rPr>
                <w:sz w:val="14"/>
                <w:szCs w:val="14"/>
                <w:color w:val="auto"/>
              </w:rPr>
            </w:pPr>
          </w:p>
        </w:tc>
        <w:tc>
          <w:tcPr>
            <w:tcW w:w="440" w:type="dxa"/>
            <w:vAlign w:val="bottom"/>
          </w:tcPr>
          <w:p>
            <w:pPr>
              <w:jc w:val="right"/>
              <w:ind w:right="259"/>
              <w:spacing w:after="0" w:line="166" w:lineRule="exact"/>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50,000</w:t>
            </w:r>
          </w:p>
        </w:tc>
        <w:tc>
          <w:tcPr>
            <w:tcW w:w="90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2015</w:t>
            </w:r>
          </w:p>
        </w:tc>
        <w:tc>
          <w:tcPr>
            <w:tcW w:w="8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2022</w:t>
            </w: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4"/>
                <w:szCs w:val="14"/>
                <w:color w:val="auto"/>
              </w:rPr>
            </w:pPr>
          </w:p>
        </w:tc>
        <w:tc>
          <w:tcPr>
            <w:tcW w:w="2400" w:type="dxa"/>
            <w:vAlign w:val="bottom"/>
          </w:tcPr>
          <w:p>
            <w:pPr>
              <w:ind w:left="20"/>
              <w:spacing w:after="0" w:line="166" w:lineRule="exact"/>
              <w:rPr>
                <w:sz w:val="20"/>
                <w:szCs w:val="20"/>
                <w:color w:val="auto"/>
              </w:rPr>
            </w:pPr>
            <w:r>
              <w:rPr>
                <w:rFonts w:ascii="Arial" w:cs="Arial" w:eastAsia="Arial" w:hAnsi="Arial"/>
                <w:sz w:val="16"/>
                <w:szCs w:val="16"/>
                <w:color w:val="auto"/>
                <w:w w:val="98"/>
              </w:rPr>
              <w:t>5.000% through August 13, 2020,</w:t>
            </w: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tcPr>
          <w:p>
            <w:pPr>
              <w:ind w:left="20"/>
              <w:spacing w:after="0" w:line="162" w:lineRule="exact"/>
              <w:rPr>
                <w:sz w:val="20"/>
                <w:szCs w:val="20"/>
                <w:color w:val="auto"/>
              </w:rPr>
            </w:pPr>
            <w:r>
              <w:rPr>
                <w:rFonts w:ascii="Arial" w:cs="Arial" w:eastAsia="Arial" w:hAnsi="Arial"/>
                <w:sz w:val="16"/>
                <w:szCs w:val="16"/>
                <w:color w:val="auto"/>
              </w:rPr>
              <w:t>3-month LIBOR plus 3.814%</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169"/>
        </w:trPr>
        <w:tc>
          <w:tcPr>
            <w:tcW w:w="30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2027 senior debentures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35,000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35,000</w:t>
            </w:r>
          </w:p>
        </w:tc>
        <w:tc>
          <w:tcPr>
            <w:tcW w:w="90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2015</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2027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2025</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8"/>
              </w:rPr>
              <w:t>5.500% through August 13, 2025,</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3-month LIBOR plus 3.71%</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166"/>
        </w:trPr>
        <w:tc>
          <w:tcPr>
            <w:tcW w:w="3080" w:type="dxa"/>
            <w:vAlign w:val="bottom"/>
          </w:tcPr>
          <w:p>
            <w:pPr>
              <w:ind w:left="20"/>
              <w:spacing w:after="0" w:line="166" w:lineRule="exact"/>
              <w:rPr>
                <w:sz w:val="20"/>
                <w:szCs w:val="20"/>
                <w:color w:val="auto"/>
              </w:rPr>
            </w:pPr>
            <w:r>
              <w:rPr>
                <w:rFonts w:ascii="Arial" w:cs="Arial" w:eastAsia="Arial" w:hAnsi="Arial"/>
                <w:sz w:val="16"/>
                <w:szCs w:val="16"/>
                <w:color w:val="auto"/>
              </w:rPr>
              <w:t>2030 senior debentures</w:t>
            </w:r>
          </w:p>
        </w:tc>
        <w:tc>
          <w:tcPr>
            <w:tcW w:w="160" w:type="dxa"/>
            <w:vAlign w:val="bottom"/>
          </w:tcPr>
          <w:p>
            <w:pPr>
              <w:spacing w:after="0"/>
              <w:rPr>
                <w:sz w:val="14"/>
                <w:szCs w:val="14"/>
                <w:color w:val="auto"/>
              </w:rPr>
            </w:pPr>
          </w:p>
        </w:tc>
        <w:tc>
          <w:tcPr>
            <w:tcW w:w="1240" w:type="dxa"/>
            <w:vAlign w:val="bottom"/>
          </w:tcPr>
          <w:p>
            <w:pPr>
              <w:jc w:val="right"/>
              <w:spacing w:after="0" w:line="166" w:lineRule="exact"/>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spacing w:after="0" w:line="166" w:lineRule="exact"/>
              <w:rPr>
                <w:sz w:val="20"/>
                <w:szCs w:val="20"/>
                <w:color w:val="auto"/>
              </w:rPr>
            </w:pPr>
            <w:r>
              <w:rPr>
                <w:rFonts w:ascii="Arial" w:cs="Arial" w:eastAsia="Arial" w:hAnsi="Arial"/>
                <w:sz w:val="16"/>
                <w:szCs w:val="16"/>
                <w:color w:val="auto"/>
              </w:rPr>
              <w:t>—</w:t>
            </w:r>
          </w:p>
        </w:tc>
        <w:tc>
          <w:tcPr>
            <w:tcW w:w="900" w:type="dxa"/>
            <w:vAlign w:val="bottom"/>
            <w:gridSpan w:val="2"/>
          </w:tcPr>
          <w:p>
            <w:pPr>
              <w:jc w:val="right"/>
              <w:spacing w:after="0" w:line="166" w:lineRule="exact"/>
              <w:rPr>
                <w:sz w:val="20"/>
                <w:szCs w:val="20"/>
                <w:color w:val="auto"/>
              </w:rPr>
            </w:pPr>
            <w:r>
              <w:rPr>
                <w:rFonts w:ascii="Arial" w:cs="Arial" w:eastAsia="Arial" w:hAnsi="Arial"/>
                <w:sz w:val="16"/>
                <w:szCs w:val="16"/>
                <w:color w:val="auto"/>
              </w:rPr>
              <w:t>2020</w:t>
            </w:r>
          </w:p>
        </w:tc>
        <w:tc>
          <w:tcPr>
            <w:tcW w:w="80" w:type="dxa"/>
            <w:vAlign w:val="bottom"/>
          </w:tcPr>
          <w:p>
            <w:pPr>
              <w:spacing w:after="0"/>
              <w:rPr>
                <w:sz w:val="14"/>
                <w:szCs w:val="14"/>
                <w:color w:val="auto"/>
              </w:rPr>
            </w:pPr>
          </w:p>
        </w:tc>
        <w:tc>
          <w:tcPr>
            <w:tcW w:w="920" w:type="dxa"/>
            <w:vAlign w:val="bottom"/>
          </w:tcPr>
          <w:p>
            <w:pPr>
              <w:jc w:val="right"/>
              <w:spacing w:after="0" w:line="166" w:lineRule="exact"/>
              <w:rPr>
                <w:sz w:val="20"/>
                <w:szCs w:val="20"/>
                <w:color w:val="auto"/>
              </w:rPr>
            </w:pPr>
            <w:r>
              <w:rPr>
                <w:rFonts w:ascii="Arial" w:cs="Arial" w:eastAsia="Arial" w:hAnsi="Arial"/>
                <w:sz w:val="16"/>
                <w:szCs w:val="16"/>
                <w:color w:val="auto"/>
              </w:rPr>
              <w:t>2030</w:t>
            </w:r>
          </w:p>
        </w:tc>
        <w:tc>
          <w:tcPr>
            <w:tcW w:w="80" w:type="dxa"/>
            <w:vAlign w:val="bottom"/>
          </w:tcPr>
          <w:p>
            <w:pPr>
              <w:spacing w:after="0"/>
              <w:rPr>
                <w:sz w:val="14"/>
                <w:szCs w:val="14"/>
                <w:color w:val="auto"/>
              </w:rPr>
            </w:pPr>
          </w:p>
        </w:tc>
        <w:tc>
          <w:tcPr>
            <w:tcW w:w="820" w:type="dxa"/>
            <w:vAlign w:val="bottom"/>
          </w:tcPr>
          <w:p>
            <w:pPr>
              <w:jc w:val="right"/>
              <w:spacing w:after="0" w:line="166" w:lineRule="exact"/>
              <w:rPr>
                <w:sz w:val="20"/>
                <w:szCs w:val="20"/>
                <w:color w:val="auto"/>
              </w:rPr>
            </w:pPr>
            <w:r>
              <w:rPr>
                <w:rFonts w:ascii="Arial" w:cs="Arial" w:eastAsia="Arial" w:hAnsi="Arial"/>
                <w:sz w:val="16"/>
                <w:szCs w:val="16"/>
                <w:color w:val="auto"/>
              </w:rPr>
              <w:t>2025</w:t>
            </w:r>
          </w:p>
        </w:tc>
        <w:tc>
          <w:tcPr>
            <w:tcW w:w="80" w:type="dxa"/>
            <w:vAlign w:val="bottom"/>
          </w:tcPr>
          <w:p>
            <w:pPr>
              <w:spacing w:after="0"/>
              <w:rPr>
                <w:sz w:val="14"/>
                <w:szCs w:val="14"/>
                <w:color w:val="auto"/>
              </w:rPr>
            </w:pPr>
          </w:p>
        </w:tc>
        <w:tc>
          <w:tcPr>
            <w:tcW w:w="2400" w:type="dxa"/>
            <w:vAlign w:val="bottom"/>
          </w:tcPr>
          <w:p>
            <w:pPr>
              <w:ind w:left="20"/>
              <w:spacing w:after="0" w:line="166" w:lineRule="exact"/>
              <w:rPr>
                <w:sz w:val="20"/>
                <w:szCs w:val="20"/>
                <w:color w:val="auto"/>
              </w:rPr>
            </w:pPr>
            <w:r>
              <w:rPr>
                <w:rFonts w:ascii="Arial" w:cs="Arial" w:eastAsia="Arial" w:hAnsi="Arial"/>
                <w:sz w:val="16"/>
                <w:szCs w:val="16"/>
                <w:color w:val="auto"/>
              </w:rPr>
              <w:t>5.00% through June 15, 2025, 3-</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w w:val="94"/>
              </w:rPr>
              <w:t>month SOFR plus 4.87% thereafter</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senior debentures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185,000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08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2028 subordinated debentures</w:t>
            </w: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100,000</w:t>
            </w:r>
          </w:p>
        </w:tc>
        <w:tc>
          <w:tcPr>
            <w:tcW w:w="900" w:type="dxa"/>
            <w:vAlign w:val="bottom"/>
            <w:gridSpan w:val="2"/>
            <w:shd w:val="clear" w:color="auto" w:fill="CCEEFF"/>
          </w:tcPr>
          <w:p>
            <w:pPr>
              <w:jc w:val="right"/>
              <w:spacing w:after="0" w:line="166" w:lineRule="exact"/>
              <w:rPr>
                <w:sz w:val="20"/>
                <w:szCs w:val="20"/>
                <w:color w:val="auto"/>
              </w:rPr>
            </w:pPr>
            <w:r>
              <w:rPr>
                <w:rFonts w:ascii="Arial" w:cs="Arial" w:eastAsia="Arial" w:hAnsi="Arial"/>
                <w:sz w:val="16"/>
                <w:szCs w:val="16"/>
                <w:color w:val="auto"/>
              </w:rPr>
              <w:t>2018</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2028</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6" w:lineRule="exact"/>
              <w:rPr>
                <w:sz w:val="20"/>
                <w:szCs w:val="20"/>
                <w:color w:val="auto"/>
              </w:rPr>
            </w:pPr>
            <w:r>
              <w:rPr>
                <w:rFonts w:ascii="Arial" w:cs="Arial" w:eastAsia="Arial" w:hAnsi="Arial"/>
                <w:sz w:val="16"/>
                <w:szCs w:val="16"/>
                <w:color w:val="auto"/>
              </w:rPr>
              <w:t>2023</w:t>
            </w: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6"/>
              </w:rPr>
              <w:t>4.500% through January 30, 2023,</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3-month LIBOR plus 2.12%</w:t>
            </w:r>
          </w:p>
        </w:tc>
        <w:tc>
          <w:tcPr>
            <w:tcW w:w="0" w:type="dxa"/>
            <w:vAlign w:val="bottom"/>
          </w:tcPr>
          <w:p>
            <w:pPr>
              <w:spacing w:after="0"/>
              <w:rPr>
                <w:sz w:val="1"/>
                <w:szCs w:val="1"/>
                <w:color w:val="auto"/>
              </w:rPr>
            </w:pPr>
          </w:p>
        </w:tc>
      </w:tr>
      <w:tr>
        <w:trPr>
          <w:trHeight w:val="212"/>
        </w:trPr>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2025 subordinated debentures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11,250</w:t>
            </w:r>
          </w:p>
        </w:tc>
        <w:tc>
          <w:tcPr>
            <w:tcW w:w="9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2015</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2025</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2020</w:t>
            </w:r>
          </w:p>
        </w:tc>
        <w:tc>
          <w:tcPr>
            <w:tcW w:w="80" w:type="dxa"/>
            <w:vAlign w:val="bottom"/>
            <w:tcBorders>
              <w:bottom w:val="single" w:sz="8" w:color="CCEEFF"/>
            </w:tcBorders>
          </w:tcPr>
          <w:p>
            <w:pPr>
              <w:spacing w:after="0"/>
              <w:rPr>
                <w:sz w:val="18"/>
                <w:szCs w:val="18"/>
                <w:color w:val="auto"/>
              </w:rPr>
            </w:pPr>
          </w:p>
        </w:tc>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6.250%</w:t>
            </w: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subordinated debentures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111,250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111,250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Southern Bancorp Capital Trust I</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w:t>
            </w: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 plus 1.00%</w:t>
            </w:r>
          </w:p>
        </w:tc>
        <w:tc>
          <w:tcPr>
            <w:tcW w:w="0" w:type="dxa"/>
            <w:vAlign w:val="bottom"/>
          </w:tcPr>
          <w:p>
            <w:pPr>
              <w:spacing w:after="0"/>
              <w:rPr>
                <w:sz w:val="1"/>
                <w:szCs w:val="1"/>
                <w:color w:val="auto"/>
              </w:rPr>
            </w:pPr>
          </w:p>
        </w:tc>
      </w:tr>
      <w:tr>
        <w:trPr>
          <w:trHeight w:val="213"/>
        </w:trPr>
        <w:tc>
          <w:tcPr>
            <w:tcW w:w="3080" w:type="dxa"/>
            <w:vAlign w:val="bottom"/>
          </w:tcPr>
          <w:p>
            <w:pPr>
              <w:ind w:left="20"/>
              <w:spacing w:after="0"/>
              <w:rPr>
                <w:sz w:val="20"/>
                <w:szCs w:val="20"/>
                <w:color w:val="auto"/>
              </w:rPr>
            </w:pPr>
            <w:r>
              <w:rPr>
                <w:rFonts w:ascii="Arial" w:cs="Arial" w:eastAsia="Arial" w:hAnsi="Arial"/>
                <w:sz w:val="16"/>
                <w:szCs w:val="16"/>
                <w:color w:val="auto"/>
              </w:rPr>
              <w:t>Tidelands Statutory Trust I</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8,248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8,248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2006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2011</w:t>
            </w:r>
          </w:p>
        </w:tc>
        <w:tc>
          <w:tcPr>
            <w:tcW w:w="80" w:type="dxa"/>
            <w:vAlign w:val="bottom"/>
          </w:tcPr>
          <w:p>
            <w:pPr>
              <w:spacing w:after="0"/>
              <w:rPr>
                <w:sz w:val="18"/>
                <w:szCs w:val="18"/>
                <w:color w:val="auto"/>
              </w:rPr>
            </w:pPr>
          </w:p>
        </w:tc>
        <w:tc>
          <w:tcPr>
            <w:tcW w:w="2400" w:type="dxa"/>
            <w:vAlign w:val="bottom"/>
          </w:tcPr>
          <w:p>
            <w:pPr>
              <w:ind w:left="20"/>
              <w:spacing w:after="0"/>
              <w:rPr>
                <w:sz w:val="20"/>
                <w:szCs w:val="20"/>
                <w:color w:val="auto"/>
              </w:rPr>
            </w:pPr>
            <w:r>
              <w:rPr>
                <w:rFonts w:ascii="Arial" w:cs="Arial" w:eastAsia="Arial" w:hAnsi="Arial"/>
                <w:sz w:val="16"/>
                <w:szCs w:val="16"/>
                <w:color w:val="auto"/>
              </w:rPr>
              <w:t>3-month LIBOR plus 1.38%</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Four Oaks Statutory Trust I</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2006</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3-month LIBOR plus 1.35%</w:t>
            </w:r>
          </w:p>
        </w:tc>
        <w:tc>
          <w:tcPr>
            <w:tcW w:w="0" w:type="dxa"/>
            <w:vAlign w:val="bottom"/>
          </w:tcPr>
          <w:p>
            <w:pPr>
              <w:spacing w:after="0"/>
              <w:rPr>
                <w:sz w:val="1"/>
                <w:szCs w:val="1"/>
                <w:color w:val="auto"/>
              </w:rPr>
            </w:pPr>
          </w:p>
        </w:tc>
      </w:tr>
      <w:tr>
        <w:trPr>
          <w:trHeight w:val="206"/>
        </w:trPr>
        <w:tc>
          <w:tcPr>
            <w:tcW w:w="30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Total trust preferred securities</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25,002</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discount</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(8,588)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080" w:type="dxa"/>
            <w:vAlign w:val="bottom"/>
          </w:tcPr>
          <w:p>
            <w:pPr>
              <w:ind w:left="120"/>
              <w:spacing w:after="0"/>
              <w:rPr>
                <w:sz w:val="20"/>
                <w:szCs w:val="20"/>
                <w:color w:val="auto"/>
              </w:rPr>
            </w:pPr>
            <w:r>
              <w:rPr>
                <w:rFonts w:ascii="Arial" w:cs="Arial" w:eastAsia="Arial" w:hAnsi="Arial"/>
                <w:sz w:val="16"/>
                <w:szCs w:val="16"/>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326,703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212,664</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Interest is currently paid at least semiannually for all senior and subordinated debentures and trust preferred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2020, United issued the 2030 senior debentures. The 2030 senior debentures are redeemable, in whole or in part, on any interest payment date on or after June 15, 2025 at a redemption price equal to 100% of the principal amount to be redeemed plus any accrued and unpaid interest, and will mature on June 15, 2030 if not redeemed prior to that date.</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2022 senior debentures are redeemable, in whole or in part, on or after August 14, 2020 at a redemption price equal to 100% of the principal amount to be redeemed plus any accrued and unpaid interest, and will mature on February 14, 2022 if not redeemed prior to that date.</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Subordinated Debentures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Bank assumed, as part of the Three Shores acquisition, $15.0 million aggregate principal amount of subordinated debentures (the “2026 subordinated debentures”). The 2026 subordinated debentures are redeemable by the issuer, in whole or in part, on or after September 1, 2021 at a redemption price equal to 100% of the principal amount to be redeemed, plus accrued but unpaid interest, and will mature on September 1, 2026.</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2025 subordinated debentures are due on November 30, 2025, but United may prepay the notes at any time after November 30, 2020, subject to compliance with applicable laws.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subordinated debentures qualify as Tier 2 regulatory capital.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Beginning in the third quarter of 2020, trust preferred securities qualify as Tier 2 capital for United under risk based capital guidelines, subject to certain limitations. Prior to that date, trust preferred securities qualified as Tier 1 capital. The trust preferred securities are mandatorily redeemable upon maturity, or upon earlier redemption as provided in the indentures governing such securities.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Operating Leases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United’s leases for which it is the lessee consist of operating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 sales tax, and insurance, which are recognized as incurred in the consolidated statement of income. Many of United’s operating leases contain renewal options, which are included in the measurement of the right-of-use asset and lease liability only to the extent they are reasonably certain to be exercised. United also subleases and leases certain real estate properties to third parties under operating leases. The following table presents the balances of United’s right-of-use asset and operating lease liability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Borders>
              <w:bottom w:val="single" w:sz="8" w:color="CCEEFF"/>
            </w:tcBorders>
          </w:tcPr>
          <w:p>
            <w:pPr>
              <w:spacing w:after="0"/>
              <w:rPr>
                <w:sz w:val="18"/>
                <w:szCs w:val="18"/>
                <w:color w:val="auto"/>
              </w:rPr>
            </w:pPr>
          </w:p>
        </w:tc>
        <w:tc>
          <w:tcPr>
            <w:tcW w:w="222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Balance Sheet Location</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September 30, 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December 31, 2019</w:t>
            </w:r>
          </w:p>
        </w:tc>
        <w:tc>
          <w:tcPr>
            <w:tcW w:w="1060" w:type="dxa"/>
            <w:vAlign w:val="bottom"/>
            <w:tcBorders>
              <w:bottom w:val="single" w:sz="8" w:color="CCEEFF"/>
            </w:tcBorders>
          </w:tcPr>
          <w:p>
            <w:pPr>
              <w:spacing w:after="0"/>
              <w:rPr>
                <w:sz w:val="18"/>
                <w:szCs w:val="18"/>
                <w:color w:val="auto"/>
              </w:rPr>
            </w:pPr>
          </w:p>
        </w:tc>
      </w:tr>
      <w:tr>
        <w:trPr>
          <w:trHeight w:val="213"/>
        </w:trPr>
        <w:tc>
          <w:tcPr>
            <w:tcW w:w="426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Right-of-use asset</w:t>
            </w:r>
          </w:p>
        </w:tc>
        <w:tc>
          <w:tcPr>
            <w:tcW w:w="2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19,894</w:t>
            </w:r>
          </w:p>
        </w:tc>
        <w:tc>
          <w:tcPr>
            <w:tcW w:w="1060" w:type="dxa"/>
            <w:vAlign w:val="bottom"/>
            <w:shd w:val="clear" w:color="auto" w:fill="CCEEFF"/>
          </w:tcPr>
          <w:p>
            <w:pPr>
              <w:spacing w:after="0"/>
              <w:rPr>
                <w:sz w:val="18"/>
                <w:szCs w:val="18"/>
                <w:color w:val="auto"/>
              </w:rPr>
            </w:pPr>
          </w:p>
        </w:tc>
      </w:tr>
      <w:tr>
        <w:trPr>
          <w:trHeight w:val="210"/>
        </w:trPr>
        <w:tc>
          <w:tcPr>
            <w:tcW w:w="4260" w:type="dxa"/>
            <w:vAlign w:val="bottom"/>
          </w:tcPr>
          <w:p>
            <w:pPr>
              <w:ind w:left="1060"/>
              <w:spacing w:after="0"/>
              <w:rPr>
                <w:sz w:val="20"/>
                <w:szCs w:val="20"/>
                <w:color w:val="auto"/>
              </w:rPr>
            </w:pPr>
            <w:r>
              <w:rPr>
                <w:rFonts w:ascii="Arial" w:cs="Arial" w:eastAsia="Arial" w:hAnsi="Arial"/>
                <w:sz w:val="16"/>
                <w:szCs w:val="16"/>
                <w:color w:val="auto"/>
              </w:rPr>
              <w:t>Operating lease liability</w:t>
            </w:r>
          </w:p>
        </w:tc>
        <w:tc>
          <w:tcPr>
            <w:tcW w:w="2340" w:type="dxa"/>
            <w:vAlign w:val="bottom"/>
            <w:gridSpan w:val="2"/>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33,968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22,039</w:t>
            </w:r>
          </w:p>
        </w:tc>
        <w:tc>
          <w:tcPr>
            <w:tcW w:w="1060" w:type="dxa"/>
            <w:vAlign w:val="bottom"/>
          </w:tcPr>
          <w:p>
            <w:pPr>
              <w:spacing w:after="0"/>
              <w:rPr>
                <w:sz w:val="18"/>
                <w:szCs w:val="18"/>
                <w:color w:val="auto"/>
              </w:rPr>
            </w:pPr>
          </w:p>
        </w:tc>
      </w:tr>
    </w:tbl>
    <w:p>
      <w:pPr>
        <w:spacing w:after="0" w:line="3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2020, United obtained building and office space right-of-use assets resulting in an increase in its operating lease liability of $16.3 million. Leases assumed as part of the Three Shores transaction accounted for $15.1 million of the increase.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operating lease income and expense recognized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Nine Months Ended</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w w:val="95"/>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w w:val="87"/>
              </w:rPr>
              <w:t>September 30,</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6"/>
              </w:rPr>
              <w:t>Income Statement Location</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Occupancy expense</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4,500</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3,783</w:t>
            </w: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280" w:type="dxa"/>
            <w:vAlign w:val="bottom"/>
            <w:gridSpan w:val="2"/>
          </w:tcPr>
          <w:p>
            <w:pPr>
              <w:ind w:left="20"/>
              <w:spacing w:after="0"/>
              <w:rPr>
                <w:sz w:val="20"/>
                <w:szCs w:val="20"/>
                <w:color w:val="auto"/>
              </w:rPr>
            </w:pPr>
            <w:r>
              <w:rPr>
                <w:rFonts w:ascii="Arial" w:cs="Arial" w:eastAsia="Arial" w:hAnsi="Arial"/>
                <w:sz w:val="16"/>
                <w:szCs w:val="16"/>
                <w:color w:val="auto"/>
              </w:rPr>
              <w:t>Occupancy expense</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493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lease cost</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Occupancy expense</w:t>
            </w: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3"/>
        </w:trPr>
        <w:tc>
          <w:tcPr>
            <w:tcW w:w="3320" w:type="dxa"/>
            <w:vAlign w:val="bottom"/>
          </w:tcPr>
          <w:p>
            <w:pPr>
              <w:ind w:left="120"/>
              <w:spacing w:after="0"/>
              <w:rPr>
                <w:sz w:val="20"/>
                <w:szCs w:val="20"/>
                <w:color w:val="auto"/>
              </w:rPr>
            </w:pPr>
            <w:r>
              <w:rPr>
                <w:rFonts w:ascii="Arial" w:cs="Arial" w:eastAsia="Arial" w:hAnsi="Arial"/>
                <w:sz w:val="16"/>
                <w:szCs w:val="16"/>
                <w:color w:val="auto"/>
              </w:rPr>
              <w:t>Total lease cost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5,073</w:t>
            </w: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4,211</w:t>
            </w:r>
          </w:p>
        </w:tc>
        <w:tc>
          <w:tcPr>
            <w:tcW w:w="0" w:type="dxa"/>
            <w:vAlign w:val="bottom"/>
          </w:tcPr>
          <w:p>
            <w:pPr>
              <w:spacing w:after="0"/>
              <w:rPr>
                <w:sz w:val="1"/>
                <w:szCs w:val="1"/>
                <w:color w:val="auto"/>
              </w:rPr>
            </w:pP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320" w:type="dxa"/>
            <w:vAlign w:val="bottom"/>
          </w:tcPr>
          <w:p>
            <w:pPr>
              <w:ind w:left="20"/>
              <w:spacing w:after="0" w:line="166" w:lineRule="exact"/>
              <w:rPr>
                <w:sz w:val="20"/>
                <w:szCs w:val="20"/>
                <w:color w:val="auto"/>
              </w:rPr>
            </w:pPr>
            <w:r>
              <w:rPr>
                <w:rFonts w:ascii="Arial" w:cs="Arial" w:eastAsia="Arial" w:hAnsi="Arial"/>
                <w:sz w:val="16"/>
                <w:szCs w:val="16"/>
                <w:color w:val="auto"/>
                <w:w w:val="95"/>
              </w:rPr>
              <w:t>Sublease income and rental income from owned</w:t>
            </w:r>
          </w:p>
        </w:tc>
        <w:tc>
          <w:tcPr>
            <w:tcW w:w="2280" w:type="dxa"/>
            <w:vAlign w:val="bottom"/>
            <w:gridSpan w:val="2"/>
            <w:vMerge w:val="restart"/>
          </w:tcPr>
          <w:p>
            <w:pPr>
              <w:ind w:left="20"/>
              <w:spacing w:after="0"/>
              <w:rPr>
                <w:sz w:val="20"/>
                <w:szCs w:val="20"/>
                <w:color w:val="auto"/>
              </w:rPr>
            </w:pPr>
            <w:r>
              <w:rPr>
                <w:rFonts w:ascii="Arial" w:cs="Arial" w:eastAsia="Arial" w:hAnsi="Arial"/>
                <w:sz w:val="16"/>
                <w:szCs w:val="16"/>
                <w:color w:val="auto"/>
              </w:rPr>
              <w:t>Other noninterest income</w:t>
            </w:r>
          </w:p>
        </w:tc>
        <w:tc>
          <w:tcPr>
            <w:tcW w:w="940" w:type="dxa"/>
            <w:vAlign w:val="bottom"/>
            <w:vMerge w:val="restart"/>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4"/>
                <w:szCs w:val="14"/>
                <w:color w:val="auto"/>
              </w:rPr>
            </w:pPr>
          </w:p>
        </w:tc>
        <w:tc>
          <w:tcPr>
            <w:tcW w:w="960" w:type="dxa"/>
            <w:vAlign w:val="bottom"/>
            <w:vMerge w:val="restart"/>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4"/>
                <w:szCs w:val="14"/>
                <w:color w:val="auto"/>
              </w:rPr>
            </w:pP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4"/>
                <w:szCs w:val="14"/>
                <w:color w:val="auto"/>
              </w:rPr>
            </w:pP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color w:val="auto"/>
                <w:w w:val="89"/>
              </w:rPr>
              <w:t>$</w:t>
            </w:r>
          </w:p>
        </w:tc>
        <w:tc>
          <w:tcPr>
            <w:tcW w:w="440" w:type="dxa"/>
            <w:vAlign w:val="bottom"/>
            <w:vMerge w:val="restart"/>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Arial" w:cs="Arial" w:eastAsia="Arial" w:hAnsi="Arial"/>
                <w:sz w:val="16"/>
                <w:szCs w:val="16"/>
                <w:color w:val="auto"/>
              </w:rPr>
              <w:t>properties under operating leases</w:t>
            </w:r>
          </w:p>
        </w:tc>
        <w:tc>
          <w:tcPr>
            <w:tcW w:w="228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the weighted average remaining lease term and weighted average discount rate of operating leases was 5.78 years and 1.84%, respectively. Absent a readily determinable interest rate in the lease agreement, the discount rate applied to each individual lease obligation was United’s incremental borrowing rate for secured borrowings.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September 30, 2020,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18"/>
                <w:szCs w:val="18"/>
                <w:color w:val="auto"/>
              </w:rPr>
            </w:pPr>
          </w:p>
        </w:tc>
      </w:tr>
      <w:tr>
        <w:trPr>
          <w:trHeight w:val="213"/>
        </w:trPr>
        <w:tc>
          <w:tcPr>
            <w:tcW w:w="28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2020</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2840" w:type="dxa"/>
            <w:vAlign w:val="bottom"/>
            <w:shd w:val="clear" w:color="auto" w:fill="CCEEFF"/>
          </w:tcPr>
          <w:p>
            <w:pPr>
              <w:spacing w:after="0"/>
              <w:rPr>
                <w:sz w:val="18"/>
                <w:szCs w:val="18"/>
                <w:color w:val="auto"/>
              </w:rPr>
            </w:pPr>
          </w:p>
        </w:tc>
      </w:tr>
      <w:tr>
        <w:trPr>
          <w:trHeight w:val="213"/>
        </w:trPr>
        <w:tc>
          <w:tcPr>
            <w:tcW w:w="6320" w:type="dxa"/>
            <w:vAlign w:val="bottom"/>
            <w:gridSpan w:val="2"/>
          </w:tcPr>
          <w:p>
            <w:pPr>
              <w:ind w:left="2860"/>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8,057</w:t>
            </w:r>
          </w:p>
        </w:tc>
        <w:tc>
          <w:tcPr>
            <w:tcW w:w="2840" w:type="dxa"/>
            <w:vAlign w:val="bottom"/>
          </w:tcPr>
          <w:p>
            <w:pPr>
              <w:spacing w:after="0"/>
              <w:rPr>
                <w:sz w:val="18"/>
                <w:szCs w:val="18"/>
                <w:color w:val="auto"/>
              </w:rPr>
            </w:pPr>
          </w:p>
        </w:tc>
      </w:tr>
      <w:tr>
        <w:trPr>
          <w:trHeight w:val="219"/>
        </w:trPr>
        <w:tc>
          <w:tcPr>
            <w:tcW w:w="6320" w:type="dxa"/>
            <w:vAlign w:val="bottom"/>
            <w:gridSpan w:val="2"/>
            <w:shd w:val="clear" w:color="auto" w:fill="CCEEFF"/>
          </w:tcPr>
          <w:p>
            <w:pPr>
              <w:ind w:left="286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7,493</w:t>
            </w:r>
          </w:p>
        </w:tc>
        <w:tc>
          <w:tcPr>
            <w:tcW w:w="2840" w:type="dxa"/>
            <w:vAlign w:val="bottom"/>
            <w:shd w:val="clear" w:color="auto" w:fill="CCEEFF"/>
          </w:tcPr>
          <w:p>
            <w:pPr>
              <w:spacing w:after="0"/>
              <w:rPr>
                <w:sz w:val="19"/>
                <w:szCs w:val="19"/>
                <w:color w:val="auto"/>
              </w:rPr>
            </w:pPr>
          </w:p>
        </w:tc>
      </w:tr>
      <w:tr>
        <w:trPr>
          <w:trHeight w:val="213"/>
        </w:trPr>
        <w:tc>
          <w:tcPr>
            <w:tcW w:w="6320" w:type="dxa"/>
            <w:vAlign w:val="bottom"/>
            <w:gridSpan w:val="2"/>
          </w:tcPr>
          <w:p>
            <w:pPr>
              <w:ind w:left="286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6,793</w:t>
            </w:r>
          </w:p>
        </w:tc>
        <w:tc>
          <w:tcPr>
            <w:tcW w:w="2840" w:type="dxa"/>
            <w:vAlign w:val="bottom"/>
          </w:tcPr>
          <w:p>
            <w:pPr>
              <w:spacing w:after="0"/>
              <w:rPr>
                <w:sz w:val="18"/>
                <w:szCs w:val="18"/>
                <w:color w:val="auto"/>
              </w:rPr>
            </w:pPr>
          </w:p>
        </w:tc>
      </w:tr>
      <w:tr>
        <w:trPr>
          <w:trHeight w:val="219"/>
        </w:trPr>
        <w:tc>
          <w:tcPr>
            <w:tcW w:w="6320" w:type="dxa"/>
            <w:vAlign w:val="bottom"/>
            <w:gridSpan w:val="2"/>
            <w:shd w:val="clear" w:color="auto" w:fill="CCEEFF"/>
          </w:tcPr>
          <w:p>
            <w:pPr>
              <w:ind w:left="286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2840" w:type="dxa"/>
            <w:vAlign w:val="bottom"/>
            <w:shd w:val="clear" w:color="auto" w:fill="CCEEFF"/>
          </w:tcPr>
          <w:p>
            <w:pPr>
              <w:spacing w:after="0"/>
              <w:rPr>
                <w:sz w:val="19"/>
                <w:szCs w:val="19"/>
                <w:color w:val="auto"/>
              </w:rPr>
            </w:pPr>
          </w:p>
        </w:tc>
      </w:tr>
      <w:tr>
        <w:trPr>
          <w:trHeight w:val="213"/>
        </w:trPr>
        <w:tc>
          <w:tcPr>
            <w:tcW w:w="284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Thereafter</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8,746</w:t>
            </w:r>
          </w:p>
        </w:tc>
        <w:tc>
          <w:tcPr>
            <w:tcW w:w="2840" w:type="dxa"/>
            <w:vAlign w:val="bottom"/>
            <w:tcBorders>
              <w:bottom w:val="single" w:sz="8" w:color="CCEEFF"/>
            </w:tcBorders>
          </w:tcPr>
          <w:p>
            <w:pPr>
              <w:spacing w:after="0"/>
              <w:rPr>
                <w:sz w:val="18"/>
                <w:szCs w:val="18"/>
                <w:color w:val="auto"/>
              </w:rPr>
            </w:pPr>
          </w:p>
        </w:tc>
      </w:tr>
      <w:tr>
        <w:trPr>
          <w:trHeight w:val="213"/>
        </w:trPr>
        <w:tc>
          <w:tcPr>
            <w:tcW w:w="28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35,749</w:t>
            </w:r>
          </w:p>
        </w:tc>
        <w:tc>
          <w:tcPr>
            <w:tcW w:w="2840" w:type="dxa"/>
            <w:vAlign w:val="bottom"/>
            <w:shd w:val="clear" w:color="auto" w:fill="CCEEFF"/>
          </w:tcPr>
          <w:p>
            <w:pPr>
              <w:spacing w:after="0"/>
              <w:rPr>
                <w:sz w:val="18"/>
                <w:szCs w:val="18"/>
                <w:color w:val="auto"/>
              </w:rPr>
            </w:pPr>
          </w:p>
        </w:tc>
      </w:tr>
      <w:tr>
        <w:trPr>
          <w:trHeight w:val="213"/>
        </w:trPr>
        <w:tc>
          <w:tcPr>
            <w:tcW w:w="2840" w:type="dxa"/>
            <w:vAlign w:val="bottom"/>
            <w:tcBorders>
              <w:bottom w:val="single" w:sz="8" w:color="CCEEFF"/>
            </w:tcBorders>
          </w:tcPr>
          <w:p>
            <w:pPr>
              <w:spacing w:after="0"/>
              <w:rPr>
                <w:sz w:val="18"/>
                <w:szCs w:val="18"/>
                <w:color w:val="auto"/>
              </w:rPr>
            </w:pPr>
          </w:p>
        </w:tc>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discount</w:t>
            </w: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(1,781)</w:t>
            </w:r>
          </w:p>
        </w:tc>
        <w:tc>
          <w:tcPr>
            <w:tcW w:w="2840" w:type="dxa"/>
            <w:vAlign w:val="bottom"/>
            <w:tcBorders>
              <w:bottom w:val="single" w:sz="8" w:color="CCEEFF"/>
            </w:tcBorders>
          </w:tcPr>
          <w:p>
            <w:pPr>
              <w:spacing w:after="0"/>
              <w:rPr>
                <w:sz w:val="18"/>
                <w:szCs w:val="18"/>
                <w:color w:val="auto"/>
              </w:rPr>
            </w:pPr>
          </w:p>
        </w:tc>
      </w:tr>
      <w:tr>
        <w:trPr>
          <w:trHeight w:val="238"/>
        </w:trPr>
        <w:tc>
          <w:tcPr>
            <w:tcW w:w="2840" w:type="dxa"/>
            <w:vAlign w:val="bottom"/>
            <w:tcBorders>
              <w:bottom w:val="single" w:sz="8" w:color="CCEEFF"/>
            </w:tcBorders>
            <w:shd w:val="clear" w:color="auto" w:fill="CCEEFF"/>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liability</w:t>
            </w:r>
          </w:p>
        </w:tc>
        <w:tc>
          <w:tcPr>
            <w:tcW w:w="76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33,968</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Assets and Liabilities Measured at Fair Value</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14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w:t>
      </w:r>
      <w:r>
        <w:rPr>
          <w:rFonts w:ascii="Arial" w:cs="Arial" w:eastAsia="Arial" w:hAnsi="Arial"/>
          <w:sz w:val="16"/>
          <w:szCs w:val="16"/>
          <w:i w:val="1"/>
          <w:iCs w:val="1"/>
          <w:color w:val="auto"/>
        </w:rPr>
        <w:t xml:space="preserve"> </w:t>
      </w:r>
      <w:r>
        <w:rPr>
          <w:rFonts w:ascii="Arial" w:cs="Arial" w:eastAsia="Arial" w:hAnsi="Arial"/>
          <w:sz w:val="16"/>
          <w:szCs w:val="16"/>
          <w:color w:val="auto"/>
        </w:rPr>
        <w:t>or liability (other than quoted prices), such as interest rates, foreign exchange rates, and yield curves that are observable at commonly quoted intervals.</w:t>
      </w:r>
    </w:p>
    <w:p>
      <w:pPr>
        <w:spacing w:after="0" w:line="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which are typically based on an entity’s own assumptions, as there is little, if any, related market activity.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 uses derivatives to manage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incorporates credit valuation adjustments (“CVAs”) as necessary to appropriately reflect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and guarantees.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has determined that the majority of the inputs used to value its derivatives fall within Level 2 of the fair value hierarchy. However, the CVAs associated with these derivatives utilize Level 3 inputs, such as estimates of current credit spreads, to evaluate the likelihood of default by itself and its counterparties. Generally, management’s assessment of the significance of the CVAs has indicated that they are not a significant input to the overall valuation of the derivatives. In cases where management’s assessment indicates that the CVA is a significant input, the related derivative is disclosed as a Level 3 value. During the second quarter of 2020, certain derivative assets were transferred from Level 2 to Level 3 of the fair value hierarchy due to a change in the assessment of significance of the CVA.</w:t>
      </w:r>
    </w:p>
    <w:p>
      <w:pPr>
        <w:spacing w:after="0" w:line="21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derivatives classified as Level 3 include structured derivatives for which broker quotes, used as a key valuation input, were not observable. Risk participation agreements are classified as Level 3 instruments due to the incorporation of significant Level 3 inputs used to evaluate the probability of funding and the likelihood of customer default. Interest rate lock commitments, which relate to mortgage loan commitments, are categorized as Level 3 instruments as the fair value of these instruments is based on unobservable inputs for commitments that United does not expect to fund.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Residential and SBA/USDA Loans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United recognizes servicing rights upon the sale of residential and SBA/USDA loans sold with servicing retained. Management has elected to carry these assets at fair value. Given the nature of these assets, the key valuation inputs are unobservable and management classifies these assets as Level 3.</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8"/>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Debt securities available-for-sale: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128,534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128,534</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Government agencies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51,745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51,745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259,176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259,176</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1,299,804</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1,299,804</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394,517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394,517</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97,520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99,270</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457,402</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457,402</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830</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1,403</w:t>
            </w:r>
          </w:p>
        </w:tc>
      </w:tr>
      <w:tr>
        <w:trPr>
          <w:trHeight w:val="192"/>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128,587</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128,587</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9,001</w:t>
            </w:r>
          </w:p>
        </w:tc>
      </w:tr>
      <w:tr>
        <w:trPr>
          <w:trHeight w:val="192"/>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6,761</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14,367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14,367</w:t>
            </w:r>
          </w:p>
        </w:tc>
      </w:tr>
      <w:tr>
        <w:trPr>
          <w:trHeight w:val="189"/>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90,590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12,798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103,388</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138,108</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2,780,171</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35,676</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2,953,955</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9,007</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31,037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33,519</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65"/>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23"/>
                <w:szCs w:val="23"/>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3"/>
                <w:szCs w:val="23"/>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Total</w:t>
            </w:r>
          </w:p>
        </w:tc>
      </w:tr>
      <w:tr>
        <w:trPr>
          <w:trHeight w:val="188"/>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Debt securities available-for-sale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154,618</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3,035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3,035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226,490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226,490</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1,299,025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1,299,025</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284,953</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284,953</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202,093</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203,091</w:t>
            </w:r>
          </w:p>
        </w:tc>
      </w:tr>
      <w:tr>
        <w:trPr>
          <w:trHeight w:val="192"/>
        </w:trPr>
        <w:tc>
          <w:tcPr>
            <w:tcW w:w="50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103,369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103,369</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1,973</w:t>
            </w:r>
          </w:p>
        </w:tc>
      </w:tr>
      <w:tr>
        <w:trPr>
          <w:trHeight w:val="192"/>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58,484</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8,133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8,133</w:t>
            </w:r>
          </w:p>
        </w:tc>
      </w:tr>
      <w:tr>
        <w:trPr>
          <w:trHeight w:val="192"/>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6,794</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6,794</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13,565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13,565</w:t>
            </w:r>
          </w:p>
        </w:tc>
      </w:tr>
      <w:tr>
        <w:trPr>
          <w:trHeight w:val="189"/>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27,769</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35,007</w:t>
            </w:r>
          </w:p>
        </w:tc>
      </w:tr>
      <w:tr>
        <w:trPr>
          <w:trHeight w:val="186"/>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164,724</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2,205,218</w:t>
            </w:r>
          </w:p>
        </w:tc>
        <w:tc>
          <w:tcPr>
            <w:tcW w:w="10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28,595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2,398,537</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4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188"/>
        </w:trPr>
        <w:tc>
          <w:tcPr>
            <w:tcW w:w="508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90"/>
        </w:trPr>
        <w:tc>
          <w:tcPr>
            <w:tcW w:w="50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8,132</w:t>
            </w:r>
          </w:p>
        </w:tc>
      </w:tr>
      <w:tr>
        <w:trPr>
          <w:trHeight w:val="186"/>
        </w:trPr>
        <w:tc>
          <w:tcPr>
            <w:tcW w:w="5080" w:type="dxa"/>
            <w:vAlign w:val="bottom"/>
            <w:gridSpan w:val="2"/>
          </w:tcPr>
          <w:p>
            <w:pPr>
              <w:ind w:left="12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6,957</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8,559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15,516</w:t>
            </w:r>
          </w:p>
        </w:tc>
      </w:tr>
      <w:tr>
        <w:trPr>
          <w:trHeight w:val="211"/>
        </w:trPr>
        <w:tc>
          <w:tcPr>
            <w:tcW w:w="50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23,648</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2"/>
              </w:rPr>
              <w:t>Servicing</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Residential</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6" w:lineRule="exact"/>
              <w:rPr>
                <w:sz w:val="20"/>
                <w:szCs w:val="20"/>
                <w:color w:val="auto"/>
              </w:rPr>
            </w:pPr>
            <w:r>
              <w:rPr>
                <w:rFonts w:ascii="Arial" w:cs="Arial" w:eastAsia="Arial" w:hAnsi="Arial"/>
                <w:sz w:val="13"/>
                <w:szCs w:val="13"/>
                <w:b w:val="1"/>
                <w:bCs w:val="1"/>
                <w:color w:val="auto"/>
                <w:w w:val="96"/>
              </w:rPr>
              <w:t>Debt</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2"/>
              </w:rPr>
              <w:t>Servicing</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6" w:lineRule="exact"/>
              <w:rPr>
                <w:sz w:val="20"/>
                <w:szCs w:val="20"/>
                <w:color w:val="auto"/>
              </w:rPr>
            </w:pPr>
            <w:r>
              <w:rPr>
                <w:rFonts w:ascii="Arial" w:cs="Arial" w:eastAsia="Arial" w:hAnsi="Arial"/>
                <w:sz w:val="13"/>
                <w:szCs w:val="13"/>
                <w:b w:val="1"/>
                <w:bCs w:val="1"/>
                <w:color w:val="auto"/>
                <w:w w:val="95"/>
              </w:rPr>
              <w:t>Residential</w:t>
            </w:r>
          </w:p>
        </w:tc>
        <w:tc>
          <w:tcPr>
            <w:tcW w:w="120" w:type="dxa"/>
            <w:vAlign w:val="bottom"/>
          </w:tcPr>
          <w:p>
            <w:pPr>
              <w:spacing w:after="0"/>
              <w:rPr>
                <w:sz w:val="11"/>
                <w:szCs w:val="11"/>
                <w:color w:val="auto"/>
              </w:rPr>
            </w:pPr>
          </w:p>
        </w:tc>
        <w:tc>
          <w:tcPr>
            <w:tcW w:w="760" w:type="dxa"/>
            <w:vAlign w:val="bottom"/>
          </w:tcPr>
          <w:p>
            <w:pPr>
              <w:jc w:val="center"/>
              <w:ind w:right="53"/>
              <w:spacing w:after="0" w:line="136" w:lineRule="exact"/>
              <w:rPr>
                <w:sz w:val="20"/>
                <w:szCs w:val="20"/>
                <w:color w:val="auto"/>
              </w:rPr>
            </w:pPr>
            <w:r>
              <w:rPr>
                <w:rFonts w:ascii="Arial" w:cs="Arial" w:eastAsia="Arial" w:hAnsi="Arial"/>
                <w:sz w:val="13"/>
                <w:szCs w:val="13"/>
                <w:b w:val="1"/>
                <w:bCs w:val="1"/>
                <w:color w:val="auto"/>
                <w:w w:val="96"/>
              </w:rPr>
              <w:t>Debt</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rights for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Securities</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20" w:type="dxa"/>
            <w:vAlign w:val="bottom"/>
          </w:tcPr>
          <w:p>
            <w:pPr>
              <w:spacing w:after="0"/>
              <w:rPr>
                <w:sz w:val="11"/>
                <w:szCs w:val="1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Derivative</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4"/>
              </w:rPr>
              <w:t>rights for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mortgage</w:t>
            </w:r>
          </w:p>
        </w:tc>
        <w:tc>
          <w:tcPr>
            <w:tcW w:w="120" w:type="dxa"/>
            <w:vAlign w:val="bottom"/>
          </w:tcPr>
          <w:p>
            <w:pPr>
              <w:spacing w:after="0"/>
              <w:rPr>
                <w:sz w:val="11"/>
                <w:szCs w:val="11"/>
                <w:color w:val="auto"/>
              </w:rPr>
            </w:pPr>
          </w:p>
        </w:tc>
        <w:tc>
          <w:tcPr>
            <w:tcW w:w="760" w:type="dxa"/>
            <w:vAlign w:val="bottom"/>
          </w:tcPr>
          <w:p>
            <w:pPr>
              <w:jc w:val="center"/>
              <w:ind w:right="53"/>
              <w:spacing w:after="0" w:line="135" w:lineRule="exact"/>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SBA/USDA</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servicing</w:t>
            </w:r>
          </w:p>
        </w:tc>
        <w:tc>
          <w:tcPr>
            <w:tcW w:w="9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Available-for-</w:t>
            </w: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rPr>
              <w:t>SBA/USDA</w:t>
            </w:r>
          </w:p>
        </w:tc>
        <w:tc>
          <w:tcPr>
            <w:tcW w:w="12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servicing</w:t>
            </w:r>
          </w:p>
        </w:tc>
        <w:tc>
          <w:tcPr>
            <w:tcW w:w="8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0" w:type="dxa"/>
            <w:vAlign w:val="bottom"/>
          </w:tcPr>
          <w:p>
            <w:pPr>
              <w:spacing w:after="0"/>
              <w:rPr>
                <w:sz w:val="1"/>
                <w:szCs w:val="1"/>
                <w:color w:val="auto"/>
              </w:rPr>
            </w:pPr>
          </w:p>
        </w:tc>
      </w:tr>
      <w:tr>
        <w:trPr>
          <w:trHeight w:val="182"/>
        </w:trPr>
        <w:tc>
          <w:tcPr>
            <w:tcW w:w="15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w w:val="89"/>
              </w:rPr>
              <w:t>Sale</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8"/>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4"/>
              </w:rPr>
              <w:t>rights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3"/>
                <w:szCs w:val="13"/>
                <w:b w:val="1"/>
                <w:bCs w:val="1"/>
                <w:color w:val="auto"/>
                <w:w w:val="89"/>
              </w:rPr>
              <w:t>Sale</w:t>
            </w:r>
          </w:p>
        </w:tc>
        <w:tc>
          <w:tcPr>
            <w:tcW w:w="0" w:type="dxa"/>
            <w:vAlign w:val="bottom"/>
          </w:tcPr>
          <w:p>
            <w:pPr>
              <w:spacing w:after="0"/>
              <w:rPr>
                <w:sz w:val="1"/>
                <w:szCs w:val="1"/>
                <w:color w:val="auto"/>
              </w:rPr>
            </w:pPr>
          </w:p>
        </w:tc>
      </w:tr>
      <w:tr>
        <w:trPr>
          <w:trHeight w:val="182"/>
        </w:trPr>
        <w:tc>
          <w:tcPr>
            <w:tcW w:w="2520" w:type="dxa"/>
            <w:vAlign w:val="bottom"/>
            <w:gridSpan w:val="4"/>
          </w:tcPr>
          <w:p>
            <w:pPr>
              <w:ind w:left="20"/>
              <w:spacing w:after="0"/>
              <w:rPr>
                <w:sz w:val="20"/>
                <w:szCs w:val="20"/>
                <w:color w:val="auto"/>
              </w:rPr>
            </w:pPr>
            <w:r>
              <w:rPr>
                <w:rFonts w:ascii="Arial" w:cs="Arial" w:eastAsia="Arial" w:hAnsi="Arial"/>
                <w:sz w:val="13"/>
                <w:szCs w:val="13"/>
                <w:b w:val="1"/>
                <w:bCs w:val="1"/>
                <w:color w:val="auto"/>
              </w:rPr>
              <w:t>Three Months Ended September 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80" w:type="dxa"/>
            <w:vAlign w:val="bottom"/>
            <w:shd w:val="clear" w:color="auto" w:fill="CCEEFF"/>
          </w:tcPr>
          <w:p>
            <w:pPr>
              <w:ind w:left="20"/>
              <w:spacing w:after="0" w:line="145" w:lineRule="exact"/>
              <w:rPr>
                <w:sz w:val="20"/>
                <w:szCs w:val="20"/>
                <w:color w:val="auto"/>
              </w:rPr>
            </w:pPr>
            <w:r>
              <w:rPr>
                <w:rFonts w:ascii="Arial" w:cs="Arial" w:eastAsia="Arial" w:hAnsi="Arial"/>
                <w:sz w:val="13"/>
                <w:szCs w:val="13"/>
                <w:color w:val="auto"/>
              </w:rPr>
              <w:t>Balance at beginning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12,107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12,492</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7,744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9,012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7,380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10,679</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period</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12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Sales and settlements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1580" w:type="dxa"/>
            <w:vAlign w:val="bottom"/>
          </w:tcPr>
          <w:p>
            <w:pPr>
              <w:ind w:left="120"/>
              <w:spacing w:after="0" w:line="138" w:lineRule="exact"/>
              <w:rPr>
                <w:sz w:val="20"/>
                <w:szCs w:val="20"/>
                <w:color w:val="auto"/>
              </w:rPr>
            </w:pPr>
            <w:r>
              <w:rPr>
                <w:rFonts w:ascii="Arial" w:cs="Arial" w:eastAsia="Arial" w:hAnsi="Arial"/>
                <w:sz w:val="13"/>
                <w:szCs w:val="13"/>
                <w:color w:val="auto"/>
              </w:rPr>
              <w:t>Other comprehensive</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79"/>
        </w:trPr>
        <w:tc>
          <w:tcPr>
            <w:tcW w:w="1580" w:type="dxa"/>
            <w:vAlign w:val="bottom"/>
          </w:tcPr>
          <w:p>
            <w:pPr>
              <w:ind w:left="120"/>
              <w:spacing w:after="0"/>
              <w:rPr>
                <w:sz w:val="20"/>
                <w:szCs w:val="20"/>
                <w:color w:val="auto"/>
              </w:rPr>
            </w:pPr>
            <w:r>
              <w:rPr>
                <w:rFonts w:ascii="Arial" w:cs="Arial" w:eastAsia="Arial" w:hAnsi="Arial"/>
                <w:sz w:val="13"/>
                <w:szCs w:val="13"/>
                <w:color w:val="auto"/>
              </w:rPr>
              <w:t>income</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8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Amounts included in</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earnings - fair value</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592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(457)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(2,299)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(963)</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80" w:type="dxa"/>
            <w:vAlign w:val="bottom"/>
          </w:tcPr>
          <w:p>
            <w:pPr>
              <w:ind w:left="2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2,482</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6,761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14,367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6,243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6,713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7,246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11,089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20"/>
        </w:trPr>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520" w:type="dxa"/>
            <w:vAlign w:val="bottom"/>
            <w:gridSpan w:val="4"/>
          </w:tcPr>
          <w:p>
            <w:pPr>
              <w:ind w:left="20"/>
              <w:spacing w:after="0"/>
              <w:rPr>
                <w:sz w:val="20"/>
                <w:szCs w:val="20"/>
                <w:color w:val="auto"/>
              </w:rPr>
            </w:pPr>
            <w:r>
              <w:rPr>
                <w:rFonts w:ascii="Arial" w:cs="Arial" w:eastAsia="Arial" w:hAnsi="Arial"/>
                <w:sz w:val="13"/>
                <w:szCs w:val="13"/>
                <w:b w:val="1"/>
                <w:bCs w:val="1"/>
                <w:color w:val="auto"/>
              </w:rPr>
              <w:t>Nine Months Ended September 30,</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58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Balance at beginning of</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7,238</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8,559</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6,794</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13,565</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11,841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15,732</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7,510</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11,877</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995</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period</w:t>
            </w: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80" w:type="dxa"/>
            <w:vAlign w:val="bottom"/>
          </w:tcPr>
          <w:p>
            <w:pPr>
              <w:ind w:left="120"/>
              <w:spacing w:after="0"/>
              <w:rPr>
                <w:sz w:val="20"/>
                <w:szCs w:val="20"/>
                <w:color w:val="auto"/>
              </w:rPr>
            </w:pPr>
            <w:r>
              <w:rPr>
                <w:rFonts w:ascii="Arial" w:cs="Arial" w:eastAsia="Arial" w:hAnsi="Arial"/>
                <w:sz w:val="13"/>
                <w:szCs w:val="13"/>
                <w:color w:val="auto"/>
              </w:rPr>
              <w:t>Additions</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1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Transfers into Level 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1580" w:type="dxa"/>
            <w:vAlign w:val="bottom"/>
          </w:tcPr>
          <w:p>
            <w:pPr>
              <w:ind w:left="120"/>
              <w:spacing w:after="0"/>
              <w:rPr>
                <w:sz w:val="20"/>
                <w:szCs w:val="20"/>
                <w:color w:val="auto"/>
              </w:rPr>
            </w:pPr>
            <w:r>
              <w:rPr>
                <w:rFonts w:ascii="Arial" w:cs="Arial" w:eastAsia="Arial" w:hAnsi="Arial"/>
                <w:sz w:val="13"/>
                <w:szCs w:val="13"/>
                <w:color w:val="auto"/>
              </w:rPr>
              <w:t>Sales and settlements</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(2,330)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1580" w:type="dxa"/>
            <w:vAlign w:val="bottom"/>
            <w:shd w:val="clear" w:color="auto" w:fill="CCEEFF"/>
          </w:tcPr>
          <w:p>
            <w:pPr>
              <w:ind w:left="120"/>
              <w:spacing w:after="0" w:line="145" w:lineRule="exact"/>
              <w:rPr>
                <w:sz w:val="20"/>
                <w:szCs w:val="20"/>
                <w:color w:val="auto"/>
              </w:rPr>
            </w:pPr>
            <w:r>
              <w:rPr>
                <w:rFonts w:ascii="Arial" w:cs="Arial" w:eastAsia="Arial" w:hAnsi="Arial"/>
                <w:sz w:val="13"/>
                <w:szCs w:val="13"/>
                <w:color w:val="auto"/>
              </w:rPr>
              <w:t>Other comprehensive</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income</w:t>
            </w: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580" w:type="dxa"/>
            <w:vAlign w:val="bottom"/>
          </w:tcPr>
          <w:p>
            <w:pPr>
              <w:ind w:left="120"/>
              <w:spacing w:after="0" w:line="138" w:lineRule="exact"/>
              <w:rPr>
                <w:sz w:val="20"/>
                <w:szCs w:val="20"/>
                <w:color w:val="auto"/>
              </w:rPr>
            </w:pPr>
            <w:r>
              <w:rPr>
                <w:rFonts w:ascii="Arial" w:cs="Arial" w:eastAsia="Arial" w:hAnsi="Arial"/>
                <w:sz w:val="13"/>
                <w:szCs w:val="13"/>
                <w:color w:val="auto"/>
              </w:rPr>
              <w:t>Amounts included in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80" w:type="dxa"/>
            <w:vAlign w:val="bottom"/>
          </w:tcPr>
          <w:p>
            <w:pPr>
              <w:ind w:left="120"/>
              <w:spacing w:after="0" w:line="135" w:lineRule="exact"/>
              <w:rPr>
                <w:sz w:val="20"/>
                <w:szCs w:val="20"/>
                <w:color w:val="auto"/>
              </w:rPr>
            </w:pPr>
            <w:r>
              <w:rPr>
                <w:rFonts w:ascii="Arial" w:cs="Arial" w:eastAsia="Arial" w:hAnsi="Arial"/>
                <w:sz w:val="13"/>
                <w:szCs w:val="13"/>
                <w:color w:val="auto"/>
              </w:rPr>
              <w:t>earnings - fair value</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4,871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(6,077)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(5,687)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(4,463)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(6,689)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(693)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(3,949)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1580" w:type="dxa"/>
            <w:vAlign w:val="bottom"/>
          </w:tcPr>
          <w:p>
            <w:pPr>
              <w:ind w:left="120"/>
              <w:spacing w:after="0"/>
              <w:rPr>
                <w:sz w:val="20"/>
                <w:szCs w:val="20"/>
                <w:color w:val="auto"/>
              </w:rPr>
            </w:pPr>
            <w:r>
              <w:rPr>
                <w:rFonts w:ascii="Arial" w:cs="Arial" w:eastAsia="Arial" w:hAnsi="Arial"/>
                <w:sz w:val="13"/>
                <w:szCs w:val="13"/>
                <w:color w:val="auto"/>
              </w:rPr>
              <w:t>adjustments</w:t>
            </w: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12,798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11,089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quantitative information about Level 3 fair value measurements for fair value on a recurring basis as of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80"/>
        </w:trPr>
        <w:tc>
          <w:tcPr>
            <w:tcW w:w="2720" w:type="dxa"/>
            <w:vAlign w:val="bottom"/>
            <w:vMerge w:val="restart"/>
          </w:tcPr>
          <w:p>
            <w:pPr>
              <w:ind w:left="440"/>
              <w:spacing w:after="0"/>
              <w:rPr>
                <w:sz w:val="20"/>
                <w:szCs w:val="20"/>
                <w:color w:val="auto"/>
              </w:rPr>
            </w:pPr>
            <w:r>
              <w:rPr>
                <w:rFonts w:ascii="Arial" w:cs="Arial" w:eastAsia="Arial" w:hAnsi="Arial"/>
                <w:sz w:val="16"/>
                <w:szCs w:val="16"/>
                <w:b w:val="1"/>
                <w:bCs w:val="1"/>
                <w:color w:val="auto"/>
              </w:rPr>
              <w:t>Level 3 Assets and Liabilities</w:t>
            </w:r>
          </w:p>
        </w:tc>
        <w:tc>
          <w:tcPr>
            <w:tcW w:w="2040" w:type="dxa"/>
            <w:vAlign w:val="bottom"/>
            <w:vMerge w:val="restart"/>
          </w:tcPr>
          <w:p>
            <w:pPr>
              <w:ind w:left="380"/>
              <w:spacing w:after="0"/>
              <w:rPr>
                <w:sz w:val="20"/>
                <w:szCs w:val="20"/>
                <w:color w:val="auto"/>
              </w:rPr>
            </w:pPr>
            <w:r>
              <w:rPr>
                <w:rFonts w:ascii="Arial" w:cs="Arial" w:eastAsia="Arial" w:hAnsi="Arial"/>
                <w:sz w:val="16"/>
                <w:szCs w:val="16"/>
                <w:b w:val="1"/>
                <w:bCs w:val="1"/>
                <w:color w:val="auto"/>
              </w:rPr>
              <w:t>Valuation Technique</w:t>
            </w:r>
          </w:p>
        </w:tc>
        <w:tc>
          <w:tcPr>
            <w:tcW w:w="100" w:type="dxa"/>
            <w:vAlign w:val="bottom"/>
            <w:vMerge w:val="restart"/>
          </w:tcPr>
          <w:p>
            <w:pPr>
              <w:spacing w:after="0"/>
              <w:rPr>
                <w:sz w:val="24"/>
                <w:szCs w:val="24"/>
                <w:color w:val="auto"/>
              </w:rPr>
            </w:pPr>
          </w:p>
        </w:tc>
        <w:tc>
          <w:tcPr>
            <w:tcW w:w="3360" w:type="dxa"/>
            <w:vAlign w:val="bottom"/>
            <w:vMerge w:val="restart"/>
          </w:tcPr>
          <w:p>
            <w:pPr>
              <w:ind w:left="960"/>
              <w:spacing w:after="0"/>
              <w:rPr>
                <w:sz w:val="20"/>
                <w:szCs w:val="20"/>
                <w:color w:val="auto"/>
              </w:rPr>
            </w:pPr>
            <w:r>
              <w:rPr>
                <w:rFonts w:ascii="Arial" w:cs="Arial" w:eastAsia="Arial" w:hAnsi="Arial"/>
                <w:sz w:val="16"/>
                <w:szCs w:val="16"/>
                <w:b w:val="1"/>
                <w:bCs w:val="1"/>
                <w:color w:val="auto"/>
              </w:rPr>
              <w:t>Unobservable Inputs</w:t>
            </w:r>
          </w:p>
        </w:tc>
        <w:tc>
          <w:tcPr>
            <w:tcW w:w="120" w:type="dxa"/>
            <w:vAlign w:val="bottom"/>
          </w:tcPr>
          <w:p>
            <w:pPr>
              <w:spacing w:after="0"/>
              <w:rPr>
                <w:sz w:val="24"/>
                <w:szCs w:val="24"/>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September 30,</w:t>
            </w: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213"/>
        </w:trPr>
        <w:tc>
          <w:tcPr>
            <w:tcW w:w="27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Servicing rights for SBA/USDA loans</w:t>
            </w: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Discounted cash flow</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18.2 %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 mortgage servicing rights</w:t>
            </w: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Discounted cash flow</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3"/>
        </w:trPr>
        <w:tc>
          <w:tcPr>
            <w:tcW w:w="2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ind w:left="20"/>
              <w:spacing w:after="0"/>
              <w:rPr>
                <w:sz w:val="20"/>
                <w:szCs w:val="20"/>
                <w:color w:val="auto"/>
              </w:rPr>
            </w:pPr>
            <w:r>
              <w:rPr>
                <w:rFonts w:ascii="Arial" w:cs="Arial" w:eastAsia="Arial" w:hAnsi="Arial"/>
                <w:sz w:val="16"/>
                <w:szCs w:val="16"/>
                <w:color w:val="auto"/>
              </w:rPr>
              <w:t>Prepayment rate</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18.7 %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169"/>
        </w:trPr>
        <w:tc>
          <w:tcPr>
            <w:tcW w:w="2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6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Multiple factors, including but not limited to,</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3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current operations, financial condition, cash flows,</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5500" w:type="dxa"/>
            <w:vAlign w:val="bottom"/>
            <w:gridSpan w:val="3"/>
            <w:shd w:val="clear" w:color="auto" w:fill="CCEEFF"/>
          </w:tcPr>
          <w:p>
            <w:pPr>
              <w:ind w:left="160"/>
              <w:spacing w:after="0" w:line="162" w:lineRule="exact"/>
              <w:rPr>
                <w:sz w:val="20"/>
                <w:szCs w:val="20"/>
                <w:color w:val="auto"/>
              </w:rPr>
            </w:pPr>
            <w:r>
              <w:rPr>
                <w:rFonts w:ascii="Arial" w:cs="Arial" w:eastAsia="Arial" w:hAnsi="Arial"/>
                <w:sz w:val="16"/>
                <w:szCs w:val="16"/>
                <w:color w:val="auto"/>
                <w:w w:val="96"/>
              </w:rPr>
              <w:t>Indicative bid provided by a  and similar financing transactions executed in the</w:t>
            </w:r>
          </w:p>
        </w:tc>
        <w:tc>
          <w:tcPr>
            <w:tcW w:w="120" w:type="dxa"/>
            <w:vAlign w:val="bottom"/>
            <w:shd w:val="clear" w:color="auto" w:fill="CCEEFF"/>
          </w:tcPr>
          <w:p>
            <w:pPr>
              <w:spacing w:after="0"/>
              <w:rPr>
                <w:sz w:val="14"/>
                <w:szCs w:val="14"/>
                <w:color w:val="auto"/>
              </w:rPr>
            </w:pPr>
          </w:p>
        </w:tc>
        <w:tc>
          <w:tcPr>
            <w:tcW w:w="1500" w:type="dxa"/>
            <w:vAlign w:val="bottom"/>
            <w:gridSpan w:val="2"/>
            <w:vMerge w:val="restart"/>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2"/>
        </w:trPr>
        <w:tc>
          <w:tcPr>
            <w:tcW w:w="2720" w:type="dxa"/>
            <w:vAlign w:val="bottom"/>
            <w:vMerge w:val="continue"/>
            <w:shd w:val="clear" w:color="auto" w:fill="CCEEFF"/>
          </w:tcPr>
          <w:p>
            <w:pPr>
              <w:spacing w:after="0"/>
              <w:rPr>
                <w:sz w:val="18"/>
                <w:szCs w:val="18"/>
                <w:color w:val="auto"/>
              </w:rPr>
            </w:pP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broker</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w:t>
            </w:r>
          </w:p>
        </w:tc>
        <w:tc>
          <w:tcPr>
            <w:tcW w:w="120" w:type="dxa"/>
            <w:vAlign w:val="bottom"/>
            <w:shd w:val="clear" w:color="auto" w:fill="CCEEFF"/>
          </w:tcPr>
          <w:p>
            <w:pPr>
              <w:spacing w:after="0"/>
              <w:rPr>
                <w:sz w:val="18"/>
                <w:szCs w:val="18"/>
                <w:color w:val="auto"/>
              </w:rPr>
            </w:pPr>
          </w:p>
        </w:tc>
        <w:tc>
          <w:tcPr>
            <w:tcW w:w="150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w w:val="97"/>
              </w:rPr>
              <w:t>Derivative assets - customer derivative</w:t>
            </w: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60" w:type="dxa"/>
            <w:vAlign w:val="bottom"/>
            <w:vMerge w:val="restart"/>
          </w:tcPr>
          <w:p>
            <w:pPr>
              <w:ind w:left="20"/>
              <w:spacing w:after="0"/>
              <w:rPr>
                <w:sz w:val="20"/>
                <w:szCs w:val="20"/>
                <w:color w:val="auto"/>
              </w:rPr>
            </w:pPr>
            <w:r>
              <w:rPr>
                <w:rFonts w:ascii="Arial" w:cs="Arial" w:eastAsia="Arial" w:hAnsi="Arial"/>
                <w:sz w:val="16"/>
                <w:szCs w:val="16"/>
                <w:color w:val="auto"/>
              </w:rPr>
              <w:t>Probability of default rate</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720" w:type="dxa"/>
            <w:vAlign w:val="bottom"/>
            <w:vMerge w:val="restart"/>
          </w:tcPr>
          <w:p>
            <w:pPr>
              <w:ind w:left="20"/>
              <w:spacing w:after="0"/>
              <w:rPr>
                <w:sz w:val="20"/>
                <w:szCs w:val="20"/>
                <w:color w:val="auto"/>
              </w:rPr>
            </w:pPr>
            <w:r>
              <w:rPr>
                <w:rFonts w:ascii="Arial" w:cs="Arial" w:eastAsia="Arial" w:hAnsi="Arial"/>
                <w:sz w:val="16"/>
                <w:szCs w:val="16"/>
                <w:color w:val="auto"/>
              </w:rPr>
              <w:t>positions</w:t>
            </w:r>
          </w:p>
        </w:tc>
        <w:tc>
          <w:tcPr>
            <w:tcW w:w="2140" w:type="dxa"/>
            <w:vAlign w:val="bottom"/>
            <w:gridSpan w:val="2"/>
            <w:vMerge w:val="restart"/>
          </w:tcPr>
          <w:p>
            <w:pPr>
              <w:ind w:left="160"/>
              <w:spacing w:after="0"/>
              <w:rPr>
                <w:sz w:val="20"/>
                <w:szCs w:val="20"/>
                <w:color w:val="auto"/>
              </w:rPr>
            </w:pPr>
            <w:r>
              <w:rPr>
                <w:rFonts w:ascii="Arial" w:cs="Arial" w:eastAsia="Arial" w:hAnsi="Arial"/>
                <w:sz w:val="16"/>
                <w:szCs w:val="16"/>
                <w:color w:val="auto"/>
              </w:rPr>
              <w:t>Internal model</w:t>
            </w:r>
          </w:p>
        </w:tc>
        <w:tc>
          <w:tcPr>
            <w:tcW w:w="3360" w:type="dxa"/>
            <w:vAlign w:val="bottom"/>
            <w:vMerge w:val="continue"/>
          </w:tcPr>
          <w:p>
            <w:pPr>
              <w:spacing w:after="0"/>
              <w:rPr>
                <w:sz w:val="10"/>
                <w:szCs w:val="10"/>
                <w:color w:val="auto"/>
              </w:rPr>
            </w:pP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53.7 %</w:t>
            </w:r>
          </w:p>
        </w:tc>
        <w:tc>
          <w:tcPr>
            <w:tcW w:w="12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84"/>
        </w:trPr>
        <w:tc>
          <w:tcPr>
            <w:tcW w:w="2720" w:type="dxa"/>
            <w:vAlign w:val="bottom"/>
            <w:vMerge w:val="continue"/>
          </w:tcPr>
          <w:p>
            <w:pPr>
              <w:spacing w:after="0"/>
              <w:rPr>
                <w:sz w:val="7"/>
                <w:szCs w:val="7"/>
                <w:color w:val="auto"/>
              </w:rPr>
            </w:pPr>
          </w:p>
        </w:tc>
        <w:tc>
          <w:tcPr>
            <w:tcW w:w="2140" w:type="dxa"/>
            <w:vAlign w:val="bottom"/>
            <w:gridSpan w:val="2"/>
            <w:vMerge w:val="continue"/>
          </w:tcPr>
          <w:p>
            <w:pPr>
              <w:spacing w:after="0"/>
              <w:rPr>
                <w:sz w:val="7"/>
                <w:szCs w:val="7"/>
                <w:color w:val="auto"/>
              </w:rPr>
            </w:pPr>
          </w:p>
        </w:tc>
        <w:tc>
          <w:tcPr>
            <w:tcW w:w="336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given default rate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Derivative assets - mortgage</w:t>
            </w:r>
          </w:p>
        </w:tc>
        <w:tc>
          <w:tcPr>
            <w:tcW w:w="2140" w:type="dxa"/>
            <w:vAlign w:val="bottom"/>
            <w:gridSpan w:val="2"/>
          </w:tcPr>
          <w:p>
            <w:pPr>
              <w:ind w:left="160"/>
              <w:spacing w:after="0"/>
              <w:rPr>
                <w:sz w:val="20"/>
                <w:szCs w:val="20"/>
                <w:color w:val="auto"/>
              </w:rPr>
            </w:pPr>
            <w:r>
              <w:rPr>
                <w:rFonts w:ascii="Arial" w:cs="Arial" w:eastAsia="Arial" w:hAnsi="Arial"/>
                <w:sz w:val="16"/>
                <w:szCs w:val="16"/>
                <w:color w:val="auto"/>
              </w:rPr>
              <w:t>Internal model</w:t>
            </w:r>
          </w:p>
        </w:tc>
        <w:tc>
          <w:tcPr>
            <w:tcW w:w="3360" w:type="dxa"/>
            <w:vAlign w:val="bottom"/>
          </w:tcPr>
          <w:p>
            <w:pPr>
              <w:ind w:left="20"/>
              <w:spacing w:after="0"/>
              <w:rPr>
                <w:sz w:val="20"/>
                <w:szCs w:val="20"/>
                <w:color w:val="auto"/>
              </w:rPr>
            </w:pPr>
            <w:r>
              <w:rPr>
                <w:rFonts w:ascii="Arial" w:cs="Arial" w:eastAsia="Arial" w:hAnsi="Arial"/>
                <w:sz w:val="16"/>
                <w:szCs w:val="16"/>
                <w:color w:val="auto"/>
              </w:rPr>
              <w:t>Pull through rate</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83.2 %</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83.6 %</w:t>
            </w: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Derivative assets and liabilities - other</w:t>
            </w:r>
          </w:p>
        </w:tc>
        <w:tc>
          <w:tcPr>
            <w:tcW w:w="21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Dealer priced</w:t>
            </w: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Dealer priced</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100"/>
              <w:spacing w:after="0"/>
              <w:rPr>
                <w:sz w:val="20"/>
                <w:szCs w:val="20"/>
                <w:color w:val="auto"/>
              </w:rPr>
            </w:pPr>
            <w:r>
              <w:rPr>
                <w:rFonts w:ascii="Arial" w:cs="Arial" w:eastAsia="Arial" w:hAnsi="Arial"/>
                <w:sz w:val="16"/>
                <w:szCs w:val="16"/>
                <w:color w:val="auto"/>
              </w:rPr>
              <w:t>N/A</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66"/>
        </w:trPr>
        <w:tc>
          <w:tcPr>
            <w:tcW w:w="2720" w:type="dxa"/>
            <w:vAlign w:val="bottom"/>
          </w:tcPr>
          <w:p>
            <w:pPr>
              <w:ind w:left="20"/>
              <w:spacing w:after="0" w:line="166" w:lineRule="exact"/>
              <w:rPr>
                <w:sz w:val="20"/>
                <w:szCs w:val="20"/>
                <w:color w:val="auto"/>
              </w:rPr>
            </w:pPr>
            <w:r>
              <w:rPr>
                <w:rFonts w:ascii="Arial" w:cs="Arial" w:eastAsia="Arial" w:hAnsi="Arial"/>
                <w:sz w:val="16"/>
                <w:szCs w:val="16"/>
                <w:color w:val="auto"/>
              </w:rPr>
              <w:t>Derivative assets &amp; liabilities - risk</w:t>
            </w:r>
          </w:p>
        </w:tc>
        <w:tc>
          <w:tcPr>
            <w:tcW w:w="2140" w:type="dxa"/>
            <w:vAlign w:val="bottom"/>
            <w:gridSpan w:val="2"/>
            <w:vMerge w:val="restart"/>
          </w:tcPr>
          <w:p>
            <w:pPr>
              <w:ind w:left="160"/>
              <w:spacing w:after="0"/>
              <w:rPr>
                <w:sz w:val="20"/>
                <w:szCs w:val="20"/>
                <w:color w:val="auto"/>
              </w:rPr>
            </w:pPr>
            <w:r>
              <w:rPr>
                <w:rFonts w:ascii="Arial" w:cs="Arial" w:eastAsia="Arial" w:hAnsi="Arial"/>
                <w:sz w:val="16"/>
                <w:szCs w:val="16"/>
                <w:color w:val="auto"/>
              </w:rPr>
              <w:t>Internal model</w:t>
            </w:r>
          </w:p>
        </w:tc>
        <w:tc>
          <w:tcPr>
            <w:tcW w:w="3360" w:type="dxa"/>
            <w:vAlign w:val="bottom"/>
            <w:vMerge w:val="restart"/>
          </w:tcPr>
          <w:p>
            <w:pPr>
              <w:ind w:left="20"/>
              <w:spacing w:after="0"/>
              <w:rPr>
                <w:sz w:val="20"/>
                <w:szCs w:val="20"/>
                <w:color w:val="auto"/>
              </w:rPr>
            </w:pPr>
            <w:r>
              <w:rPr>
                <w:rFonts w:ascii="Arial" w:cs="Arial" w:eastAsia="Arial" w:hAnsi="Arial"/>
                <w:sz w:val="16"/>
                <w:szCs w:val="16"/>
                <w:color w:val="auto"/>
              </w:rPr>
              <w:t>Probable exposure rate</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1.05 %</w:t>
            </w:r>
          </w:p>
        </w:tc>
        <w:tc>
          <w:tcPr>
            <w:tcW w:w="1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0.36 %</w:t>
            </w:r>
          </w:p>
        </w:tc>
        <w:tc>
          <w:tcPr>
            <w:tcW w:w="0" w:type="dxa"/>
            <w:vAlign w:val="bottom"/>
          </w:tcPr>
          <w:p>
            <w:pPr>
              <w:spacing w:after="0"/>
              <w:rPr>
                <w:sz w:val="1"/>
                <w:szCs w:val="1"/>
                <w:color w:val="auto"/>
              </w:rPr>
            </w:pP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participations</w:t>
            </w:r>
          </w:p>
        </w:tc>
        <w:tc>
          <w:tcPr>
            <w:tcW w:w="2140" w:type="dxa"/>
            <w:vAlign w:val="bottom"/>
            <w:gridSpan w:val="2"/>
            <w:vMerge w:val="continue"/>
          </w:tcPr>
          <w:p>
            <w:pPr>
              <w:spacing w:after="0"/>
              <w:rPr>
                <w:sz w:val="18"/>
                <w:szCs w:val="18"/>
                <w:color w:val="auto"/>
              </w:rPr>
            </w:pPr>
          </w:p>
        </w:tc>
        <w:tc>
          <w:tcPr>
            <w:tcW w:w="3360" w:type="dxa"/>
            <w:vAlign w:val="bottom"/>
            <w:vMerge w:val="continue"/>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Probability of default rate</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1.88 %</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United records mortgage loans held for sale at fair value under the fair value option. Interest income on these loans is calculated based on the note rate of the loan and is recorded in interest revenue. The following tables present the fair value and outstanding principal balance of these loans, as well as the gain or loss recognized resulting from the change in fair value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8"/>
          </w:tcPr>
          <w:p>
            <w:pPr>
              <w:ind w:left="100"/>
              <w:spacing w:after="0"/>
              <w:rPr>
                <w:sz w:val="20"/>
                <w:szCs w:val="20"/>
                <w:color w:val="auto"/>
              </w:rPr>
            </w:pPr>
            <w:r>
              <w:rPr>
                <w:rFonts w:ascii="Arial" w:cs="Arial" w:eastAsia="Arial" w:hAnsi="Arial"/>
                <w:sz w:val="16"/>
                <w:szCs w:val="16"/>
                <w:b w:val="1"/>
                <w:bCs w:val="1"/>
                <w:color w:val="auto"/>
              </w:rPr>
              <w:t>Mortgage Loans Held for Sale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 2020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b w:val="1"/>
                <w:bCs w:val="1"/>
                <w:color w:val="auto"/>
                <w:w w:val="91"/>
              </w:rPr>
              <w:t>December 31, 2019</w:t>
            </w:r>
          </w:p>
        </w:tc>
        <w:tc>
          <w:tcPr>
            <w:tcW w:w="5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Outstanding principal balance</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121,687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56,613</w:t>
            </w:r>
          </w:p>
        </w:tc>
        <w:tc>
          <w:tcPr>
            <w:tcW w:w="5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Pr>
          <w:p>
            <w:pPr>
              <w:spacing w:after="0"/>
              <w:rPr>
                <w:sz w:val="18"/>
                <w:szCs w:val="18"/>
                <w:color w:val="auto"/>
              </w:rPr>
            </w:pPr>
          </w:p>
        </w:tc>
        <w:tc>
          <w:tcPr>
            <w:tcW w:w="3720" w:type="dxa"/>
            <w:vAlign w:val="bottom"/>
            <w:gridSpan w:val="2"/>
          </w:tcPr>
          <w:p>
            <w:pPr>
              <w:ind w:left="520"/>
              <w:spacing w:after="0"/>
              <w:rPr>
                <w:sz w:val="20"/>
                <w:szCs w:val="20"/>
                <w:color w:val="auto"/>
              </w:rPr>
            </w:pPr>
            <w:r>
              <w:rPr>
                <w:rFonts w:ascii="Arial" w:cs="Arial" w:eastAsia="Arial" w:hAnsi="Arial"/>
                <w:sz w:val="16"/>
                <w:szCs w:val="16"/>
                <w:color w:val="auto"/>
              </w:rPr>
              <w:t>Fair value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128,587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58,484</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12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8"/>
          </w:tcPr>
          <w:p>
            <w:pPr>
              <w:jc w:val="center"/>
              <w:ind w:right="40"/>
              <w:spacing w:after="0"/>
              <w:rPr>
                <w:sz w:val="20"/>
                <w:szCs w:val="20"/>
                <w:color w:val="auto"/>
              </w:rPr>
            </w:pPr>
            <w:r>
              <w:rPr>
                <w:rFonts w:ascii="Arial" w:cs="Arial" w:eastAsia="Arial" w:hAnsi="Arial"/>
                <w:sz w:val="16"/>
                <w:szCs w:val="16"/>
                <w:b w:val="1"/>
                <w:bCs w:val="1"/>
                <w:color w:val="auto"/>
                <w:w w:val="90"/>
              </w:rPr>
              <w:t>Amount of Gain (Loss) Recognized on</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6"/>
                <w:szCs w:val="16"/>
                <w:b w:val="1"/>
                <w:bCs w:val="1"/>
                <w:color w:val="auto"/>
                <w:w w:val="92"/>
              </w:rPr>
              <w:t>Mortgage Loans Held for Sale</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00" w:type="dxa"/>
            <w:vAlign w:val="bottom"/>
          </w:tcPr>
          <w:p>
            <w:pPr>
              <w:spacing w:after="0"/>
              <w:rPr>
                <w:sz w:val="13"/>
                <w:szCs w:val="13"/>
                <w:color w:val="auto"/>
              </w:rPr>
            </w:pPr>
          </w:p>
        </w:tc>
        <w:tc>
          <w:tcPr>
            <w:tcW w:w="3720" w:type="dxa"/>
            <w:vAlign w:val="bottom"/>
            <w:gridSpan w:val="2"/>
            <w:vMerge w:val="restart"/>
          </w:tcPr>
          <w:p>
            <w:pPr>
              <w:ind w:left="1540"/>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13"/>
                <w:szCs w:val="13"/>
                <w:color w:val="auto"/>
              </w:rPr>
            </w:pPr>
          </w:p>
        </w:tc>
        <w:tc>
          <w:tcPr>
            <w:tcW w:w="2000" w:type="dxa"/>
            <w:vAlign w:val="bottom"/>
            <w:gridSpan w:val="3"/>
          </w:tcPr>
          <w:p>
            <w:pPr>
              <w:jc w:val="right"/>
              <w:ind w:right="179"/>
              <w:spacing w:after="0" w:line="158" w:lineRule="exact"/>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tcPr>
          <w:p>
            <w:pPr>
              <w:ind w:left="400"/>
              <w:spacing w:after="0" w:line="158" w:lineRule="exact"/>
              <w:rPr>
                <w:sz w:val="20"/>
                <w:szCs w:val="20"/>
                <w:color w:val="auto"/>
              </w:rPr>
            </w:pPr>
            <w:r>
              <w:rPr>
                <w:rFonts w:ascii="Arial" w:cs="Arial" w:eastAsia="Arial" w:hAnsi="Arial"/>
                <w:sz w:val="16"/>
                <w:szCs w:val="16"/>
                <w:b w:val="1"/>
                <w:bCs w:val="1"/>
                <w:color w:val="auto"/>
              </w:rPr>
              <w:t>Nine Months Ended</w:t>
            </w: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3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3"/>
          </w:tcPr>
          <w:p>
            <w:pPr>
              <w:jc w:val="right"/>
              <w:ind w:right="419"/>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40" w:type="dxa"/>
            <w:vAlign w:val="bottom"/>
            <w:gridSpan w:val="6"/>
          </w:tcPr>
          <w:p>
            <w:pPr>
              <w:ind w:left="600"/>
              <w:spacing w:after="0"/>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CEEFF"/>
            </w:tcBorders>
          </w:tcPr>
          <w:p>
            <w:pPr>
              <w:spacing w:after="0"/>
              <w:rPr>
                <w:sz w:val="18"/>
                <w:szCs w:val="18"/>
                <w:color w:val="auto"/>
              </w:rPr>
            </w:pPr>
          </w:p>
        </w:tc>
        <w:tc>
          <w:tcPr>
            <w:tcW w:w="370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1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0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Mortgage loan gains and other related fees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10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ind w:left="620"/>
              <w:spacing w:after="0"/>
              <w:rPr>
                <w:sz w:val="20"/>
                <w:szCs w:val="20"/>
                <w:color w:val="auto"/>
              </w:rPr>
            </w:pPr>
            <w:r>
              <w:rPr>
                <w:rFonts w:ascii="Arial" w:cs="Arial" w:eastAsia="Arial" w:hAnsi="Arial"/>
                <w:sz w:val="16"/>
                <w:szCs w:val="16"/>
                <w:color w:val="auto"/>
                <w:w w:val="99"/>
              </w:rPr>
              <w:t>5,029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873</w:t>
            </w: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fair value were mostly offset by hedging activities. An immaterial portion of these amounts was attributable to changes in instrument-specific credit risk.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September 30, 2020 and December 31, 2019, for which a nonrecurring fair value adjustment was recorded during the year-to-date periods presented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1</w:t>
            </w: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Arial" w:cs="Arial" w:eastAsia="Arial" w:hAnsi="Arial"/>
                <w:sz w:val="16"/>
                <w:szCs w:val="16"/>
                <w:b w:val="1"/>
                <w:bCs w:val="1"/>
                <w:color w:val="auto"/>
              </w:rPr>
              <w:t>Level 3</w:t>
            </w:r>
          </w:p>
        </w:tc>
        <w:tc>
          <w:tcPr>
            <w:tcW w:w="20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12"/>
        </w:trPr>
        <w:tc>
          <w:tcPr>
            <w:tcW w:w="170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r>
      <w:tr>
        <w:trPr>
          <w:trHeight w:val="206"/>
        </w:trPr>
        <w:tc>
          <w:tcPr>
            <w:tcW w:w="1700" w:type="dxa"/>
            <w:vAlign w:val="bottom"/>
          </w:tcPr>
          <w:p>
            <w:pPr>
              <w:spacing w:after="0"/>
              <w:rPr>
                <w:sz w:val="17"/>
                <w:szCs w:val="17"/>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16,350</w:t>
            </w:r>
          </w:p>
        </w:tc>
        <w:tc>
          <w:tcPr>
            <w:tcW w:w="10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16,350</w:t>
            </w:r>
          </w:p>
        </w:tc>
        <w:tc>
          <w:tcPr>
            <w:tcW w:w="1720" w:type="dxa"/>
            <w:vAlign w:val="bottom"/>
          </w:tcPr>
          <w:p>
            <w:pPr>
              <w:spacing w:after="0"/>
              <w:rPr>
                <w:sz w:val="17"/>
                <w:szCs w:val="17"/>
                <w:color w:val="auto"/>
              </w:rPr>
            </w:pPr>
          </w:p>
        </w:tc>
      </w:tr>
      <w:tr>
        <w:trPr>
          <w:trHeight w:val="219"/>
        </w:trPr>
        <w:tc>
          <w:tcPr>
            <w:tcW w:w="170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13"/>
        </w:trPr>
        <w:tc>
          <w:tcPr>
            <w:tcW w:w="1700" w:type="dxa"/>
            <w:vAlign w:val="bottom"/>
            <w:tcBorders>
              <w:bottom w:val="single" w:sz="8" w:color="CCEEFF"/>
            </w:tcBorders>
          </w:tcPr>
          <w:p>
            <w:pPr>
              <w:spacing w:after="0"/>
              <w:rPr>
                <w:sz w:val="18"/>
                <w:szCs w:val="18"/>
                <w:color w:val="auto"/>
              </w:rPr>
            </w:pP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tcPr>
          <w:p>
            <w:pPr>
              <w:spacing w:after="0"/>
              <w:rPr>
                <w:sz w:val="18"/>
                <w:szCs w:val="18"/>
                <w:color w:val="auto"/>
              </w:rPr>
            </w:pPr>
          </w:p>
        </w:tc>
      </w:tr>
      <w:tr>
        <w:trPr>
          <w:trHeight w:val="212"/>
        </w:trPr>
        <w:tc>
          <w:tcPr>
            <w:tcW w:w="1700" w:type="dxa"/>
            <w:vAlign w:val="bottom"/>
            <w:shd w:val="clear" w:color="auto" w:fill="CCEEFF"/>
          </w:tcPr>
          <w:p>
            <w:pPr>
              <w:spacing w:after="0"/>
              <w:rPr>
                <w:sz w:val="18"/>
                <w:szCs w:val="18"/>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20,977</w:t>
            </w:r>
          </w:p>
        </w:tc>
        <w:tc>
          <w:tcPr>
            <w:tcW w:w="1720" w:type="dxa"/>
            <w:vAlign w:val="bottom"/>
            <w:shd w:val="clear" w:color="auto" w:fill="CCEEFF"/>
          </w:tcPr>
          <w:p>
            <w:pPr>
              <w:spacing w:after="0"/>
              <w:rPr>
                <w:sz w:val="18"/>
                <w:szCs w:val="18"/>
                <w:color w:val="auto"/>
              </w:rPr>
            </w:pP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Loans that are reported above as being measured at fair value on a nonrecurring basis are generally impaired loans that have either been partially charged off or have specific reserves assigned to them. Nonaccrual loans that are collateral dependent are generally written down to 80% of appraised value, which considers the estimated costs to sell. Specific reserves that are established based on appraised value of collateral are considered nonrecurring fair value adjustments as well.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Fair Value Level</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8"/>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78"/>
        </w:trPr>
        <w:tc>
          <w:tcPr>
            <w:tcW w:w="384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85"/>
        </w:trPr>
        <w:tc>
          <w:tcPr>
            <w:tcW w:w="3840" w:type="dxa"/>
            <w:vAlign w:val="bottom"/>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Securities held-to-maturity</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398,373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413,820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413,820</w:t>
            </w: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Loans and leases, net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11,664,654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11,651,643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11,651,643</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14,603,376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14,604,902</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14,604,902</w:t>
            </w: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326,703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332,869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332,869</w:t>
            </w:r>
          </w:p>
        </w:tc>
      </w:tr>
      <w:tr>
        <w:trPr>
          <w:trHeight w:val="219"/>
        </w:trPr>
        <w:tc>
          <w:tcPr>
            <w:tcW w:w="3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188"/>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r>
      <w:tr>
        <w:trPr>
          <w:trHeight w:val="184"/>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Securities held-to-maturity</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283,533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287,904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287,904</w:t>
            </w:r>
          </w:p>
        </w:tc>
      </w:tr>
      <w:tr>
        <w:trPr>
          <w:trHeight w:val="192"/>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Loans and leases, net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8,750,464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8,714,592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8,714,592</w:t>
            </w:r>
          </w:p>
        </w:tc>
      </w:tr>
      <w:tr>
        <w:trPr>
          <w:trHeight w:val="216"/>
        </w:trPr>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89"/>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86"/>
        </w:trPr>
        <w:tc>
          <w:tcPr>
            <w:tcW w:w="3840" w:type="dxa"/>
            <w:vAlign w:val="bottom"/>
          </w:tcPr>
          <w:p>
            <w:pPr>
              <w:ind w:left="120"/>
              <w:spacing w:after="0"/>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10,897,244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10,897,465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10,897,465</w:t>
            </w:r>
          </w:p>
        </w:tc>
      </w:tr>
      <w:tr>
        <w:trPr>
          <w:trHeight w:val="192"/>
        </w:trPr>
        <w:tc>
          <w:tcPr>
            <w:tcW w:w="3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Long-term debt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212,664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217,665</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of 2019, United’s Board of Directors authorized an expansion of the existing common stock repurchase plan to authorize the repurchase of its common stock up to $50 million. The program is scheduled to expire on the earlier of United’s repurchase of its common stock having an aggregate purchase price of $50 million or December 31, 2020. Under the program, shares may be repurchased in the open market or in privately negotiated transactions, from time to time, subject to market conditions. No shares were repurchased during the three months ended September 30, 2020. During the three months ended September 30, 2019, 195,443 shares were repurchased under the program. During the nine months ended September 30, 2020 and 2019, 826,482 and 500,495 shares, respectively, were repurchased. As of September 30, 2020, United had remaining authorization to repurchase up to $29.2 million of outstanding common stock under the program.</w:t>
      </w:r>
    </w:p>
    <w:p>
      <w:pPr>
        <w:spacing w:after="0" w:line="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2020, United issued $100 million, or 4,000 shares, of Series I perpetual non-cumulative preferred stock (“Preferred Stock”) with a dividend rate of 6.875% per annum for net proceeds of $96.4 million and corresponding depositary shares each representing a 1/1,000th interest in one share of Preferred Stock. If declared, dividends are payable quarterly in arrears. The Preferred Stock has no stated maturity and redemption is solely at the option of United in whole, but not in part, upon the occurrence of a regulatory capital treatment event, as defined. In addition, the Preferred Stock may be redeemed on or after September 15, 2025 at a cash redemption price equal to $25,000 per share (equivalent to $25 per depositary share) plus any declared and unpaid dividends. As of September 30, 2020, the Preferred Stock had a carrying amount of $96.4 million.</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United has an equity compensation plan that allows for grants of various share-based compensation. Options granted under the plan have an exercise price no less than the fair market value of the underlying stock at the date of grant. The general terms of the plan include a vesting period (usually four years) with an exercisable period not to exceed ten years. Certain options and restricted stock</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 awards provide for accelerated vesting if there is a change in control (as defined in the plan document). As of September 30, 2020, 921,000 additional awards could be granted under the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nine months of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Weighted-</w:t>
            </w: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4"/>
                <w:szCs w:val="14"/>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ind w:left="2220"/>
              <w:spacing w:after="0"/>
              <w:rPr>
                <w:sz w:val="20"/>
                <w:szCs w:val="20"/>
                <w:color w:val="auto"/>
              </w:rPr>
            </w:pPr>
            <w:r>
              <w:rPr>
                <w:rFonts w:ascii="Arial" w:cs="Arial" w:eastAsia="Arial" w:hAnsi="Arial"/>
                <w:sz w:val="16"/>
                <w:szCs w:val="16"/>
                <w:b w:val="1"/>
                <w:bCs w:val="1"/>
                <w:color w:val="auto"/>
              </w:rPr>
              <w:t>Options</w:t>
            </w:r>
          </w:p>
        </w:tc>
        <w:tc>
          <w:tcPr>
            <w:tcW w:w="120" w:type="dxa"/>
            <w:vAlign w:val="bottom"/>
            <w:vMerge w:val="restart"/>
          </w:tcPr>
          <w:p>
            <w:pPr>
              <w:spacing w:after="0"/>
              <w:rPr>
                <w:sz w:val="14"/>
                <w:szCs w:val="14"/>
                <w:color w:val="auto"/>
              </w:rPr>
            </w:pPr>
          </w:p>
        </w:tc>
        <w:tc>
          <w:tcPr>
            <w:tcW w:w="14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Average</w:t>
            </w: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Exercise Price</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Term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Value ($000)</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Expired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27.95</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Exercisable at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nine months ended September 30, 2020 and 2019. United recognized no compensation expense related to stock options during the nine months ended September 30, 2020 and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 activity for the first nine months of September 30,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176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Average</w:t>
            </w:r>
          </w:p>
        </w:tc>
        <w:tc>
          <w:tcPr>
            <w:tcW w:w="12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76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vMerge w:val="restart"/>
          </w:tcPr>
          <w:p>
            <w:pPr>
              <w:ind w:left="1460"/>
              <w:spacing w:after="0"/>
              <w:rPr>
                <w:sz w:val="20"/>
                <w:szCs w:val="20"/>
                <w:color w:val="auto"/>
              </w:rPr>
            </w:pPr>
            <w:r>
              <w:rPr>
                <w:rFonts w:ascii="Arial" w:cs="Arial" w:eastAsia="Arial" w:hAnsi="Arial"/>
                <w:sz w:val="16"/>
                <w:szCs w:val="16"/>
                <w:b w:val="1"/>
                <w:bCs w:val="1"/>
                <w:color w:val="auto"/>
              </w:rPr>
              <w:t>Restricted Stock Unit Awards</w:t>
            </w:r>
          </w:p>
        </w:tc>
        <w:tc>
          <w:tcPr>
            <w:tcW w:w="120" w:type="dxa"/>
            <w:vAlign w:val="bottom"/>
            <w:vMerge w:val="restart"/>
          </w:tcPr>
          <w:p>
            <w:pPr>
              <w:spacing w:after="0"/>
              <w:rPr>
                <w:sz w:val="14"/>
                <w:szCs w:val="14"/>
                <w:color w:val="auto"/>
              </w:rPr>
            </w:pPr>
          </w:p>
        </w:tc>
        <w:tc>
          <w:tcPr>
            <w:tcW w:w="144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Average Grant-</w:t>
            </w:r>
          </w:p>
        </w:tc>
        <w:tc>
          <w:tcPr>
            <w:tcW w:w="1760" w:type="dxa"/>
            <w:vAlign w:val="bottom"/>
            <w:gridSpan w:val="3"/>
          </w:tcPr>
          <w:p>
            <w:pPr>
              <w:jc w:val="center"/>
              <w:ind w:right="32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4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Date Fair Value</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Term (Years)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2"/>
              </w:rPr>
              <w:t>Value ($000)</w:t>
            </w:r>
          </w:p>
        </w:tc>
        <w:tc>
          <w:tcPr>
            <w:tcW w:w="0" w:type="dxa"/>
            <w:vAlign w:val="bottom"/>
          </w:tcPr>
          <w:p>
            <w:pPr>
              <w:spacing w:after="0"/>
              <w:rPr>
                <w:sz w:val="1"/>
                <w:szCs w:val="1"/>
                <w:color w:val="auto"/>
              </w:rPr>
            </w:pPr>
          </w:p>
        </w:tc>
      </w:tr>
      <w:tr>
        <w:trPr>
          <w:trHeight w:val="212"/>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2019</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808,424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8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spacing w:after="0"/>
              <w:rPr>
                <w:sz w:val="20"/>
                <w:szCs w:val="20"/>
                <w:color w:val="auto"/>
              </w:rPr>
            </w:pPr>
            <w:r>
              <w:rPr>
                <w:rFonts w:ascii="Arial" w:cs="Arial" w:eastAsia="Arial" w:hAnsi="Arial"/>
                <w:sz w:val="16"/>
                <w:szCs w:val="16"/>
                <w:color w:val="auto"/>
              </w:rPr>
              <w:t>426,107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12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5,379</w:t>
            </w:r>
          </w:p>
        </w:tc>
        <w:tc>
          <w:tcPr>
            <w:tcW w:w="0" w:type="dxa"/>
            <w:vAlign w:val="bottom"/>
          </w:tcPr>
          <w:p>
            <w:pPr>
              <w:spacing w:after="0"/>
              <w:rPr>
                <w:sz w:val="1"/>
                <w:szCs w:val="1"/>
                <w:color w:val="auto"/>
              </w:rPr>
            </w:pPr>
          </w:p>
        </w:tc>
      </w:tr>
      <w:tr>
        <w:trPr>
          <w:trHeight w:val="213"/>
        </w:trPr>
        <w:tc>
          <w:tcPr>
            <w:tcW w:w="5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Cancelled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26.08</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BFE4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September 30, 2020</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955,904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24.11</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16,183</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Compensation expense for restricted stock units and performance stock units without market conditions is based on the market value of United’s common stock on the date of grant. Compensation expense for performance stock units with market conditions is based on the grant date per share fair market value, which was estimated using the Monte Carlo Simulation valuation model. United recognizes the impact of forfeitures as they occur. The value of restricted stock unit and performance stock unit awards is amortized into expense over the service period. For the nine months ended September 30, 2020 and 2019, expense of $5.57 million and $7.40 million, respectively, was recognized related to restricted stock unit and performance stock unit awards granted to United employees. Of the expense related to restricted stock unit awards during the nine months ended September 30,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expense of $5.28 million for the nine months ended September 30, 2019 was recognized in salaries and employee benefits expense, as was the entire amount for the nine months ended September 30, 2020. In addition, for the nine months ended September 30, 2020 and 2019, $367,000 and $283,000, respectively, was recognized in other operating expense for restricted stock unit awards granted to members of United’s Board of Directors.</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deferred income tax benefit related to stock-based compensation expense of $1.52 million and $1.96 million was included in the determination of income tax expense for the nine months ended September 30, 2020 and 2019, respectively. As of September 30, 2020, there was $16.1 million of unrecognized expense related to non-vested restricted stock unit and performance stock unit awards granted under the plan. That cost is expected to be recognized over a weighted-average period of 2.7 years. As of September 30, 2020, there was no unrecognized expense related to non-vested stock options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Reclassifications Out of Accumulated Other Comprehensive Income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 Amounts shown in parentheses reduce earnings.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240" w:type="dxa"/>
            <w:vAlign w:val="bottom"/>
          </w:tcPr>
          <w:p>
            <w:pPr>
              <w:spacing w:after="0"/>
              <w:rPr>
                <w:sz w:val="16"/>
                <w:szCs w:val="16"/>
                <w:color w:val="auto"/>
              </w:rPr>
            </w:pPr>
          </w:p>
        </w:tc>
        <w:tc>
          <w:tcPr>
            <w:tcW w:w="20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Nine Months Ended</w:t>
            </w:r>
          </w:p>
        </w:tc>
        <w:tc>
          <w:tcPr>
            <w:tcW w:w="3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6"/>
                <w:szCs w:val="16"/>
                <w:b w:val="1"/>
                <w:bCs w:val="1"/>
                <w:color w:val="auto"/>
              </w:rPr>
              <w:t>Details about Accumulated Other</w:t>
            </w:r>
          </w:p>
        </w:tc>
        <w:tc>
          <w:tcPr>
            <w:tcW w:w="340" w:type="dxa"/>
            <w:vAlign w:val="bottom"/>
          </w:tcPr>
          <w:p>
            <w:pPr>
              <w:spacing w:after="0"/>
              <w:rPr>
                <w:sz w:val="18"/>
                <w:szCs w:val="18"/>
                <w:color w:val="auto"/>
              </w:rPr>
            </w:pPr>
          </w:p>
        </w:tc>
        <w:tc>
          <w:tcPr>
            <w:tcW w:w="20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89"/>
              </w:rPr>
              <w:t>September 30,</w:t>
            </w:r>
          </w:p>
        </w:tc>
        <w:tc>
          <w:tcPr>
            <w:tcW w:w="240" w:type="dxa"/>
            <w:vAlign w:val="bottom"/>
          </w:tcPr>
          <w:p>
            <w:pPr>
              <w:spacing w:after="0"/>
              <w:rPr>
                <w:sz w:val="18"/>
                <w:szCs w:val="18"/>
                <w:color w:val="auto"/>
              </w:rPr>
            </w:pPr>
          </w:p>
        </w:tc>
        <w:tc>
          <w:tcPr>
            <w:tcW w:w="208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September 30,</w:t>
            </w:r>
          </w:p>
        </w:tc>
        <w:tc>
          <w:tcPr>
            <w:tcW w:w="3220" w:type="dxa"/>
            <w:vAlign w:val="bottom"/>
          </w:tcPr>
          <w:p>
            <w:pPr>
              <w:ind w:left="160"/>
              <w:spacing w:after="0"/>
              <w:rPr>
                <w:sz w:val="20"/>
                <w:szCs w:val="20"/>
                <w:color w:val="auto"/>
              </w:rPr>
            </w:pPr>
            <w:r>
              <w:rPr>
                <w:rFonts w:ascii="Arial" w:cs="Arial" w:eastAsia="Arial" w:hAnsi="Arial"/>
                <w:sz w:val="16"/>
                <w:szCs w:val="16"/>
                <w:b w:val="1"/>
                <w:bCs w:val="1"/>
                <w:color w:val="auto"/>
                <w:w w:val="94"/>
              </w:rPr>
              <w:t>Affected Line Item in the Statement Where</w:t>
            </w:r>
          </w:p>
        </w:tc>
        <w:tc>
          <w:tcPr>
            <w:tcW w:w="0" w:type="dxa"/>
            <w:vAlign w:val="bottom"/>
          </w:tcPr>
          <w:p>
            <w:pPr>
              <w:spacing w:after="0"/>
              <w:rPr>
                <w:sz w:val="1"/>
                <w:szCs w:val="1"/>
                <w:color w:val="auto"/>
              </w:rPr>
            </w:pPr>
          </w:p>
        </w:tc>
      </w:tr>
      <w:tr>
        <w:trPr>
          <w:trHeight w:val="207"/>
        </w:trPr>
        <w:tc>
          <w:tcPr>
            <w:tcW w:w="330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Comprehensive Income Components</w:t>
            </w: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322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Net Income is Presented</w:t>
            </w:r>
          </w:p>
        </w:tc>
        <w:tc>
          <w:tcPr>
            <w:tcW w:w="0" w:type="dxa"/>
            <w:vAlign w:val="bottom"/>
          </w:tcPr>
          <w:p>
            <w:pPr>
              <w:spacing w:after="0"/>
              <w:rPr>
                <w:sz w:val="1"/>
                <w:szCs w:val="1"/>
                <w:color w:val="auto"/>
              </w:rPr>
            </w:pPr>
          </w:p>
        </w:tc>
      </w:tr>
      <w:tr>
        <w:trPr>
          <w:trHeight w:val="212"/>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2"/>
              </w:rPr>
              <w:t>Realized gains (losses) on available-for-sale securities:</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746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(118)</w:t>
            </w:r>
          </w:p>
        </w:tc>
        <w:tc>
          <w:tcPr>
            <w:tcW w:w="3220" w:type="dxa"/>
            <w:vAlign w:val="bottom"/>
          </w:tcPr>
          <w:p>
            <w:pPr>
              <w:ind w:left="120"/>
              <w:spacing w:after="0"/>
              <w:rPr>
                <w:sz w:val="20"/>
                <w:szCs w:val="20"/>
                <w:color w:val="auto"/>
              </w:rPr>
            </w:pPr>
            <w:r>
              <w:rPr>
                <w:rFonts w:ascii="Arial" w:cs="Arial" w:eastAsia="Arial" w:hAnsi="Arial"/>
                <w:sz w:val="16"/>
                <w:szCs w:val="16"/>
                <w:color w:val="auto"/>
              </w:rPr>
              <w:t>Securities gains (losses), net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212"/>
        </w:trPr>
        <w:tc>
          <w:tcPr>
            <w:tcW w:w="33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(88)</w:t>
            </w:r>
          </w:p>
        </w:tc>
        <w:tc>
          <w:tcPr>
            <w:tcW w:w="3220" w:type="dxa"/>
            <w:vAlign w:val="bottom"/>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200" w:type="dxa"/>
            <w:vAlign w:val="bottom"/>
            <w:gridSpan w:val="11"/>
          </w:tcPr>
          <w:p>
            <w:pPr>
              <w:ind w:left="20"/>
              <w:spacing w:after="0"/>
              <w:rPr>
                <w:sz w:val="20"/>
                <w:szCs w:val="20"/>
                <w:color w:val="auto"/>
              </w:rPr>
            </w:pPr>
            <w:r>
              <w:rPr>
                <w:rFonts w:ascii="Arial" w:cs="Arial" w:eastAsia="Arial" w:hAnsi="Arial"/>
                <w:sz w:val="16"/>
                <w:szCs w:val="16"/>
                <w:color w:val="auto"/>
                <w:w w:val="94"/>
              </w:rPr>
              <w:t>Amortization of losses included in net income on available-for-sale securities transferred to held-to-maturity:</w:t>
            </w:r>
          </w:p>
        </w:tc>
        <w:tc>
          <w:tcPr>
            <w:tcW w:w="8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2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900" w:type="dxa"/>
            <w:vAlign w:val="bottom"/>
            <w:gridSpan w:val="10"/>
            <w:shd w:val="clear" w:color="auto" w:fill="CCEEFF"/>
          </w:tcPr>
          <w:p>
            <w:pPr>
              <w:ind w:left="20"/>
              <w:spacing w:after="0"/>
              <w:rPr>
                <w:sz w:val="20"/>
                <w:szCs w:val="20"/>
                <w:color w:val="auto"/>
              </w:rPr>
            </w:pPr>
            <w:r>
              <w:rPr>
                <w:rFonts w:ascii="Arial" w:cs="Arial" w:eastAsia="Arial" w:hAnsi="Arial"/>
                <w:sz w:val="16"/>
                <w:szCs w:val="16"/>
                <w:color w:val="auto"/>
              </w:rPr>
              <w:t>Reclassifications related to derivative financial instruments accounted for as cash flow hedges:</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Arial" w:cs="Arial" w:eastAsia="Arial" w:hAnsi="Arial"/>
                <w:sz w:val="16"/>
                <w:szCs w:val="16"/>
                <w:color w:val="auto"/>
              </w:rPr>
              <w:t>Interest rate contracts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3220" w:type="dxa"/>
            <w:vAlign w:val="bottom"/>
          </w:tcPr>
          <w:p>
            <w:pPr>
              <w:ind w:left="120"/>
              <w:spacing w:after="0"/>
              <w:rPr>
                <w:sz w:val="20"/>
                <w:szCs w:val="20"/>
                <w:color w:val="auto"/>
              </w:rPr>
            </w:pPr>
            <w:r>
              <w:rPr>
                <w:rFonts w:ascii="Arial" w:cs="Arial" w:eastAsia="Arial" w:hAnsi="Arial"/>
                <w:sz w:val="16"/>
                <w:szCs w:val="16"/>
                <w:color w:val="auto"/>
              </w:rPr>
              <w:t>Long-term debt interest expense</w:t>
            </w:r>
          </w:p>
        </w:tc>
        <w:tc>
          <w:tcPr>
            <w:tcW w:w="0" w:type="dxa"/>
            <w:vAlign w:val="bottom"/>
          </w:tcPr>
          <w:p>
            <w:pPr>
              <w:spacing w:after="0"/>
              <w:rPr>
                <w:sz w:val="1"/>
                <w:szCs w:val="1"/>
                <w:color w:val="auto"/>
              </w:rPr>
            </w:pPr>
          </w:p>
        </w:tc>
      </w:tr>
      <w:tr>
        <w:trPr>
          <w:trHeight w:val="169"/>
        </w:trPr>
        <w:tc>
          <w:tcPr>
            <w:tcW w:w="33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Amortization of losses on</w:t>
            </w:r>
          </w:p>
        </w:tc>
        <w:tc>
          <w:tcPr>
            <w:tcW w:w="3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3220" w:type="dxa"/>
            <w:vAlign w:val="bottom"/>
            <w:vMerge w:val="restart"/>
            <w:shd w:val="clear" w:color="auto" w:fill="CCEEFF"/>
          </w:tcPr>
          <w:p>
            <w:pPr>
              <w:ind w:left="120"/>
              <w:spacing w:after="0"/>
              <w:rPr>
                <w:sz w:val="20"/>
                <w:szCs w:val="20"/>
                <w:color w:val="auto"/>
              </w:rPr>
            </w:pPr>
            <w:r>
              <w:rPr>
                <w:rFonts w:ascii="Arial" w:cs="Arial" w:eastAsia="Arial" w:hAnsi="Arial"/>
                <w:sz w:val="16"/>
                <w:szCs w:val="16"/>
                <w:color w:val="auto"/>
              </w:rPr>
              <w:t>Deposit interest expense</w:t>
            </w:r>
          </w:p>
        </w:tc>
        <w:tc>
          <w:tcPr>
            <w:tcW w:w="0" w:type="dxa"/>
            <w:vAlign w:val="bottom"/>
          </w:tcPr>
          <w:p>
            <w:pPr>
              <w:spacing w:after="0"/>
              <w:rPr>
                <w:sz w:val="1"/>
                <w:szCs w:val="1"/>
                <w:color w:val="auto"/>
              </w:rPr>
            </w:pPr>
          </w:p>
        </w:tc>
      </w:tr>
      <w:tr>
        <w:trPr>
          <w:trHeight w:val="212"/>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de-designated positions</w:t>
            </w:r>
          </w:p>
        </w:tc>
        <w:tc>
          <w:tcPr>
            <w:tcW w:w="3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3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00" w:type="dxa"/>
            <w:vAlign w:val="bottom"/>
          </w:tcPr>
          <w:p>
            <w:pPr>
              <w:ind w:left="220"/>
              <w:spacing w:after="0" w:line="166" w:lineRule="exact"/>
              <w:rPr>
                <w:sz w:val="20"/>
                <w:szCs w:val="20"/>
                <w:color w:val="auto"/>
              </w:rPr>
            </w:pPr>
            <w:r>
              <w:rPr>
                <w:rFonts w:ascii="Arial" w:cs="Arial" w:eastAsia="Arial" w:hAnsi="Arial"/>
                <w:sz w:val="16"/>
                <w:szCs w:val="16"/>
                <w:color w:val="auto"/>
              </w:rPr>
              <w:t>Amortization of losses on</w:t>
            </w: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3220" w:type="dxa"/>
            <w:vAlign w:val="bottom"/>
            <w:vMerge w:val="restart"/>
          </w:tcPr>
          <w:p>
            <w:pPr>
              <w:ind w:left="1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09"/>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de-designated positions</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33"/>
        </w:trPr>
        <w:tc>
          <w:tcPr>
            <w:tcW w:w="3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4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w w:val="98"/>
              </w:rPr>
              <w:t>Reclassifications related to defined benefit pension plan activity:</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Arial" w:cs="Arial" w:eastAsia="Arial" w:hAnsi="Arial"/>
                <w:sz w:val="16"/>
                <w:szCs w:val="16"/>
                <w:color w:val="auto"/>
              </w:rPr>
              <w:t>Prior service cost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(476)</w:t>
            </w:r>
          </w:p>
        </w:tc>
        <w:tc>
          <w:tcPr>
            <w:tcW w:w="3220" w:type="dxa"/>
            <w:vAlign w:val="bottom"/>
          </w:tcPr>
          <w:p>
            <w:pPr>
              <w:ind w:left="12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219"/>
        </w:trPr>
        <w:tc>
          <w:tcPr>
            <w:tcW w:w="3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Actuarial losses</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expense</w:t>
            </w:r>
          </w:p>
        </w:tc>
        <w:tc>
          <w:tcPr>
            <w:tcW w:w="0" w:type="dxa"/>
            <w:vAlign w:val="bottom"/>
          </w:tcPr>
          <w:p>
            <w:pPr>
              <w:spacing w:after="0"/>
              <w:rPr>
                <w:sz w:val="1"/>
                <w:szCs w:val="1"/>
                <w:color w:val="auto"/>
              </w:rPr>
            </w:pPr>
          </w:p>
        </w:tc>
      </w:tr>
      <w:tr>
        <w:trPr>
          <w:trHeight w:val="213"/>
        </w:trPr>
        <w:tc>
          <w:tcPr>
            <w:tcW w:w="3300" w:type="dxa"/>
            <w:vAlign w:val="bottom"/>
          </w:tcPr>
          <w:p>
            <w:pPr>
              <w:ind w:left="220"/>
              <w:spacing w:after="0"/>
              <w:rPr>
                <w:sz w:val="20"/>
                <w:szCs w:val="20"/>
                <w:color w:val="auto"/>
              </w:rPr>
            </w:pPr>
            <w:r>
              <w:rPr>
                <w:rFonts w:ascii="Arial" w:cs="Arial" w:eastAsia="Arial" w:hAnsi="Arial"/>
                <w:sz w:val="16"/>
                <w:szCs w:val="16"/>
                <w:color w:val="auto"/>
                <w:w w:val="99"/>
              </w:rPr>
              <w:t>Termination of defined benefit pension plan</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(1,558)</w:t>
            </w:r>
          </w:p>
        </w:tc>
        <w:tc>
          <w:tcPr>
            <w:tcW w:w="3220" w:type="dxa"/>
            <w:vAlign w:val="bottom"/>
          </w:tcPr>
          <w:p>
            <w:pPr>
              <w:ind w:left="120"/>
              <w:spacing w:after="0"/>
              <w:rPr>
                <w:sz w:val="20"/>
                <w:szCs w:val="20"/>
                <w:color w:val="auto"/>
              </w:rPr>
            </w:pPr>
            <w:r>
              <w:rPr>
                <w:rFonts w:ascii="Arial" w:cs="Arial" w:eastAsia="Arial" w:hAnsi="Arial"/>
                <w:sz w:val="16"/>
                <w:szCs w:val="16"/>
                <w:color w:val="auto"/>
              </w:rPr>
              <w:t>Merger-related and other charges</w:t>
            </w:r>
          </w:p>
        </w:tc>
        <w:tc>
          <w:tcPr>
            <w:tcW w:w="0" w:type="dxa"/>
            <w:vAlign w:val="bottom"/>
          </w:tcPr>
          <w:p>
            <w:pPr>
              <w:spacing w:after="0"/>
              <w:rPr>
                <w:sz w:val="1"/>
                <w:szCs w:val="1"/>
                <w:color w:val="auto"/>
              </w:rPr>
            </w:pPr>
          </w:p>
        </w:tc>
      </w:tr>
      <w:tr>
        <w:trPr>
          <w:trHeight w:val="213"/>
        </w:trPr>
        <w:tc>
          <w:tcPr>
            <w:tcW w:w="3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w:t>
            </w:r>
          </w:p>
        </w:tc>
        <w:tc>
          <w:tcPr>
            <w:tcW w:w="3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13"/>
        </w:trPr>
        <w:tc>
          <w:tcPr>
            <w:tcW w:w="3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32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38"/>
        </w:trPr>
        <w:tc>
          <w:tcPr>
            <w:tcW w:w="33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reclassifications for the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(2,102)</w:t>
            </w:r>
          </w:p>
        </w:tc>
        <w:tc>
          <w:tcPr>
            <w:tcW w:w="3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236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9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28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w w:val="96"/>
              </w:rPr>
              <w:t>September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r>
      <w:tr>
        <w:trPr>
          <w:trHeight w:val="212"/>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47,607</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48,362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136,709</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Dividends on preferred stock</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4"/>
              </w:rPr>
              <w:t>(1,814)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color w:val="auto"/>
              </w:rPr>
              <w:t>Net income available to common shareholders</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45,437</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48,011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101,994</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135,727</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5280" w:type="dxa"/>
            <w:vAlign w:val="bottom"/>
          </w:tcPr>
          <w:p>
            <w:pPr>
              <w:ind w:left="20"/>
              <w:spacing w:after="0"/>
              <w:rPr>
                <w:sz w:val="20"/>
                <w:szCs w:val="20"/>
                <w:color w:val="auto"/>
              </w:rPr>
            </w:pPr>
            <w:r>
              <w:rPr>
                <w:rFonts w:ascii="Arial" w:cs="Arial" w:eastAsia="Arial" w:hAnsi="Arial"/>
                <w:sz w:val="16"/>
                <w:szCs w:val="16"/>
                <w:b w:val="1"/>
                <w:bCs w:val="1"/>
                <w:color w:val="auto"/>
              </w:rPr>
              <w:t>Weighted average shares outstanding:</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87,129</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79,663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79,714</w:t>
            </w:r>
          </w:p>
        </w:tc>
      </w:tr>
      <w:tr>
        <w:trPr>
          <w:trHeight w:val="213"/>
        </w:trPr>
        <w:tc>
          <w:tcPr>
            <w:tcW w:w="528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5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options</w:t>
            </w:r>
          </w:p>
        </w:tc>
        <w:tc>
          <w:tcPr>
            <w:tcW w:w="8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5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Restricted stock units</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38"/>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87,205</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79,667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81,876</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79,718</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6"/>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common share: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280" w:type="dxa"/>
            <w:vAlign w:val="bottom"/>
          </w:tcPr>
          <w:p>
            <w:pPr>
              <w:ind w:left="120"/>
              <w:spacing w:after="0"/>
              <w:rPr>
                <w:sz w:val="20"/>
                <w:szCs w:val="20"/>
                <w:color w:val="auto"/>
              </w:rPr>
            </w:pPr>
            <w:r>
              <w:rPr>
                <w:rFonts w:ascii="Arial" w:cs="Arial" w:eastAsia="Arial" w:hAnsi="Arial"/>
                <w:sz w:val="16"/>
                <w:szCs w:val="16"/>
                <w:color w:val="auto"/>
              </w:rPr>
              <w:t>Basic</w:t>
            </w: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35"/>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2019, United excluded 1,000 potentially dilutive shares of common stock issuable upon exercise of stock options with a weighted average exercise price of $30.45 from the computation of diluted earnings per share because of their antidilutive effect.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Regulatory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2020, United and the Bank were categorized as well-capitalized under the regulatory framework for prompt corrective action in effect at such time. To be categorized as well-capitalized at September 30, 2020, United and the Bank must have exceeded the well-capitalized guideline ratios in effect at such time, as set forth in the table below, and have met certain other requirements. Management believes that United and the Bank exceeded all well-capitalized requirements at September 30, 2020, and there have been no conditions or events since quarter-end that would change the status of well-capitalized.</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the CARES Act, United has adopted relief provided by federal banking regulatory agencies for the delay of the adverse capital impact of CECL at adoption and during the subsequent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 after adoption.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Regulatory capital ratios at September 30, 2020 and December 31, 2019,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United Community Banks, Inc.</w:t>
            </w:r>
          </w:p>
        </w:tc>
        <w:tc>
          <w:tcPr>
            <w:tcW w:w="140" w:type="dxa"/>
            <w:vAlign w:val="bottom"/>
          </w:tcPr>
          <w:p>
            <w:pPr>
              <w:spacing w:after="0"/>
              <w:rPr>
                <w:sz w:val="16"/>
                <w:szCs w:val="16"/>
                <w:color w:val="auto"/>
              </w:rPr>
            </w:pPr>
          </w:p>
        </w:tc>
        <w:tc>
          <w:tcPr>
            <w:tcW w:w="278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United Community Bank</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719"/>
              <w:spacing w:after="0"/>
              <w:rPr>
                <w:sz w:val="20"/>
                <w:szCs w:val="20"/>
                <w:color w:val="auto"/>
              </w:rPr>
            </w:pPr>
            <w:r>
              <w:rPr>
                <w:rFonts w:ascii="Arial" w:cs="Arial" w:eastAsia="Arial" w:hAnsi="Arial"/>
                <w:sz w:val="16"/>
                <w:szCs w:val="16"/>
                <w:b w:val="1"/>
                <w:bCs w:val="1"/>
                <w:color w:val="auto"/>
                <w:w w:val="91"/>
              </w:rPr>
              <w:t>(Consolidated)</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4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 xml:space="preserve">Minimum </w:t>
            </w:r>
            <w:r>
              <w:rPr>
                <w:rFonts w:ascii="Arial" w:cs="Arial" w:eastAsia="Arial" w:hAnsi="Arial"/>
                <w:sz w:val="21"/>
                <w:szCs w:val="21"/>
                <w:b w:val="1"/>
                <w:bCs w:val="1"/>
                <w:color w:val="auto"/>
                <w:vertAlign w:val="superscript"/>
              </w:rPr>
              <w:t>(1)</w:t>
            </w:r>
          </w:p>
        </w:tc>
        <w:tc>
          <w:tcPr>
            <w:tcW w:w="13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7"/>
              </w:rPr>
              <w:t>Well</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5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December 31, 2019</w:t>
            </w:r>
          </w:p>
        </w:tc>
        <w:tc>
          <w:tcPr>
            <w:tcW w:w="140" w:type="dxa"/>
            <w:vAlign w:val="bottom"/>
          </w:tcPr>
          <w:p>
            <w:pPr>
              <w:spacing w:after="0"/>
              <w:rPr>
                <w:sz w:val="13"/>
                <w:szCs w:val="13"/>
                <w:color w:val="auto"/>
              </w:rPr>
            </w:pPr>
          </w:p>
        </w:tc>
        <w:tc>
          <w:tcPr>
            <w:tcW w:w="136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September 30,</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4"/>
              </w:rPr>
              <w:t>December 31, 2019</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Capitalized</w:t>
            </w:r>
          </w:p>
        </w:tc>
        <w:tc>
          <w:tcPr>
            <w:tcW w:w="140" w:type="dxa"/>
            <w:vAlign w:val="bottom"/>
          </w:tcPr>
          <w:p>
            <w:pPr>
              <w:spacing w:after="0"/>
              <w:rPr>
                <w:sz w:val="18"/>
                <w:szCs w:val="18"/>
                <w:color w:val="auto"/>
              </w:rPr>
            </w:pPr>
          </w:p>
        </w:tc>
        <w:tc>
          <w:tcPr>
            <w:tcW w:w="124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Risk-based ratios:</w:t>
            </w: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Common equity tier 1 capital</w:t>
            </w:r>
          </w:p>
        </w:tc>
        <w:tc>
          <w:tcPr>
            <w:tcW w:w="1300" w:type="dxa"/>
            <w:vAlign w:val="bottom"/>
          </w:tcPr>
          <w:p>
            <w:pPr>
              <w:ind w:left="900"/>
              <w:spacing w:after="0"/>
              <w:rPr>
                <w:sz w:val="20"/>
                <w:szCs w:val="20"/>
                <w:color w:val="auto"/>
              </w:rPr>
            </w:pPr>
            <w:r>
              <w:rPr>
                <w:rFonts w:ascii="Arial" w:cs="Arial" w:eastAsia="Arial" w:hAnsi="Arial"/>
                <w:sz w:val="16"/>
                <w:szCs w:val="16"/>
                <w:color w:val="auto"/>
                <w:w w:val="92"/>
              </w:rPr>
              <w:t>4.5 %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6.5 %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12.31 %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12.97 %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13.20 %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14.87 %</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Tier 1 capital</w:t>
            </w:r>
          </w:p>
        </w:tc>
        <w:tc>
          <w:tcPr>
            <w:tcW w:w="1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14.87</w:t>
            </w:r>
          </w:p>
        </w:tc>
        <w:tc>
          <w:tcPr>
            <w:tcW w:w="0" w:type="dxa"/>
            <w:vAlign w:val="bottom"/>
          </w:tcPr>
          <w:p>
            <w:pPr>
              <w:spacing w:after="0"/>
              <w:rPr>
                <w:sz w:val="1"/>
                <w:szCs w:val="1"/>
                <w:color w:val="auto"/>
              </w:rPr>
            </w:pPr>
          </w:p>
        </w:tc>
      </w:tr>
      <w:tr>
        <w:trPr>
          <w:trHeight w:val="213"/>
        </w:trPr>
        <w:tc>
          <w:tcPr>
            <w:tcW w:w="2380" w:type="dxa"/>
            <w:vAlign w:val="bottom"/>
          </w:tcPr>
          <w:p>
            <w:pPr>
              <w:ind w:left="120"/>
              <w:spacing w:after="0"/>
              <w:rPr>
                <w:sz w:val="20"/>
                <w:szCs w:val="20"/>
                <w:color w:val="auto"/>
              </w:rPr>
            </w:pPr>
            <w:r>
              <w:rPr>
                <w:rFonts w:ascii="Arial" w:cs="Arial" w:eastAsia="Arial" w:hAnsi="Arial"/>
                <w:sz w:val="16"/>
                <w:szCs w:val="16"/>
                <w:color w:val="auto"/>
              </w:rPr>
              <w:t>Total capital</w:t>
            </w:r>
          </w:p>
        </w:tc>
        <w:tc>
          <w:tcPr>
            <w:tcW w:w="1300" w:type="dxa"/>
            <w:vAlign w:val="bottom"/>
          </w:tcPr>
          <w:p>
            <w:pPr>
              <w:ind w:left="90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15.01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14.21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15.54</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300" w:type="dxa"/>
            <w:vAlign w:val="bottom"/>
            <w:shd w:val="clear" w:color="auto" w:fill="CCEEFF"/>
          </w:tcPr>
          <w:p>
            <w:pPr>
              <w:ind w:left="900"/>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Common equity tier 1 capital</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1,459,152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1,275,148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1,559,356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1,458,720</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Tier 1 capital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1,555,574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1,299,398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1,559,356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1,458,720</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capital</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1,810,503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1,476,302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1,678,689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1,524,267</w:t>
            </w: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color w:val="auto"/>
              </w:rPr>
              <w:t>Risk-weighted assets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11,857,146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9,834,051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11,815,993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9,810,477</w:t>
            </w:r>
          </w:p>
        </w:tc>
        <w:tc>
          <w:tcPr>
            <w:tcW w:w="0" w:type="dxa"/>
            <w:vAlign w:val="bottom"/>
          </w:tcPr>
          <w:p>
            <w:pPr>
              <w:spacing w:after="0"/>
              <w:rPr>
                <w:sz w:val="1"/>
                <w:szCs w:val="1"/>
                <w:color w:val="auto"/>
              </w:rPr>
            </w:pPr>
          </w:p>
        </w:tc>
      </w:tr>
      <w:tr>
        <w:trPr>
          <w:trHeight w:val="169"/>
        </w:trPr>
        <w:tc>
          <w:tcPr>
            <w:tcW w:w="23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Average total assets for the</w:t>
            </w: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16,583,232</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12,568,563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16,554,227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12,545,254</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leverage ratio</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As of September 30, 2020 and December 31, 2019 the additional capital conservation buffer in effect was 2.50%</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2020</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r>
      <w:tr>
        <w:trPr>
          <w:trHeight w:val="212"/>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3"/>
        </w:trPr>
        <w:tc>
          <w:tcPr>
            <w:tcW w:w="7380" w:type="dxa"/>
            <w:vAlign w:val="bottom"/>
          </w:tcPr>
          <w:p>
            <w:pPr>
              <w:ind w:left="120"/>
              <w:spacing w:after="0"/>
              <w:rPr>
                <w:sz w:val="20"/>
                <w:szCs w:val="20"/>
                <w:color w:val="auto"/>
              </w:rPr>
            </w:pPr>
            <w:r>
              <w:rPr>
                <w:rFonts w:ascii="Arial" w:cs="Arial" w:eastAsia="Arial" w:hAnsi="Arial"/>
                <w:sz w:val="16"/>
                <w:szCs w:val="16"/>
                <w:color w:val="auto"/>
              </w:rPr>
              <w:t>Commitments to extend credit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2,993,692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2,126,275</w:t>
            </w:r>
          </w:p>
        </w:tc>
      </w:tr>
      <w:tr>
        <w:trPr>
          <w:trHeight w:val="219"/>
        </w:trPr>
        <w:tc>
          <w:tcPr>
            <w:tcW w:w="73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Letters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22,533</w:t>
            </w:r>
          </w:p>
        </w:tc>
      </w:tr>
    </w:tbl>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holds minor investments in certain limited partnerships for Community Reinvestment Act purposes. As of September 30, 2020, United had committed to fund an additional $9.81 million related to future capital calls that are not reflected in the consolidated balance sheet.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5, 2020, United’s Board of Directors approved a regular quarterly cash dividend of $0.18 per common share and a preferred stock dividend of $429.6875 per preferred share (equivalent to $0.4296875 per depositary share, or 1/1000 interest per share). The common stock dividend is payable January 5, 2021, to shareholders of record on December 15, 2020. The preferred stock dividend is payable December 15, 2020, to shareholders of record on November 30, 2020.</w:t>
      </w:r>
    </w:p>
    <w:p>
      <w:pPr>
        <w:spacing w:after="0" w:line="2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the Board of Directors authorized an increase in the Company’s share repurchase program to $50 million of its outstanding common shares and extended the expiration of the authorization to December 31, 2021.</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discussion of our financial condition at September 30, 2020 and December 31, 2019 and our results of operations for the three and nine months ended September 30, 2020 and September 30, 2019.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Unless the context otherwise requires, the terms “we,” “our,” “us” or “United” refer to United Community Banks, Inc. and its direct and indirect subsidiaries, including United Community Bank, which we sometimes refer to as “the Bank,” “our bank subsidiary” or “our bank.” References to the “Holding Company” refer to United Community Banks, Inc. on an unconsolidated basis. The following discussion and analysis should be read along with our consolidated financial statements and related notes included in Part I - Item 1 of this Quarterly Report on Form 10-Q, “Cautionary Note Regarding Forward-Looking Statements” and the risk factors discussed in our Annual Report on Form 10-K for the fiscal year ended December 31, 2019 (the “2019 10-K”), as supplemented by those incorporated by reference in Part II, Item 1A of this Quarterly Report on Form 10-Q, and the other reports we have filed with the SEC after we filed the 2019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offer a wide array of commercial and consumer banking services and investment advisory services through a 163-banking office network throughout Florida, Georgia, South Carolina, North Carolina and Tennessee. We have grown organically as well as through strategic acquisitions. On July 1, 2020, we acquired Three Shores Bancorporation, Inc. (“Three Shores”) including its wholly-owned banking subsidiary, Seaside National Bank &amp; Trust (“Seaside”), headquartered in Orlando, Florida. Seaside was a premier commercial lender with a strong wealth management platform and operated a 14-branch network located in key Florida metropolitan markets. We acquired $2.13 billion of assets and assumed $1.99 billion of liabilities in the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nine months of 2020, global financial markets experienced significant volatility resulting from the spread of a novel coronavirus known as COVID-19. In March of 2020, the World Health Organization declared COVID-19 a global pandemic and the United States declared a National Public Health Emergency. The COVID-19 pandemic has materially restricted the level of economic activity in our markets. In response to the pandemic, the governments of the states in which we have branches and of most other states have taken preventative or protective actions, such as imposing restrictions on travel and business operations, advising or requiring individuals to limit or forego time outside of their homes, and ordering temporary closures of businesses that have been deemed to be non-essential. These measures have dramatically increased unemployment in the United States and have negatively impacted many businesses, and thereby threatened the repayment ability of some of our borrowers.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address the economic impact in the United States, the Coronavirus Aid, Relief, and Economic Security Act (“CARES Act”) was signed into law on March 27, 2020. The CARES Act includes a number of provisions that affect us, including accounting relief for troubled debt restructurings (“TDRs”) and relief for the effect of current expected credit losses accounting standard (“CECL”) implementation on regulatory capital. The CARES Act also establishes the Paycheck Protection Program (“PPP”) through the Small Business Administration (“SBA”), which allows us to lend money to small businesses to maintain employee payrolls and pay other qualified expenses during the crisis with guarantees from the SBA. Under this program, loan amounts may be forgiven if the proceeds are used for payroll and other permitted expenses in accordance with the requirements of the PPP, and the borrower meets certain other requirements.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Federal Reserve also took additional steps to bolster the economy by, among other things, reducing the federal funds rate and the discount-window borrowing rate to near zero.</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response to the pandemic, we have implemented protocols and processes to help protect our employees, customers and communities. These measures have included:</w:t>
      </w:r>
    </w:p>
    <w:p>
      <w:pPr>
        <w:spacing w:after="0" w:line="197" w:lineRule="exact"/>
        <w:rPr>
          <w:sz w:val="20"/>
          <w:szCs w:val="20"/>
          <w:color w:val="auto"/>
        </w:rPr>
      </w:pPr>
    </w:p>
    <w:p>
      <w:pPr>
        <w:jc w:val="both"/>
        <w:ind w:left="660" w:hanging="328"/>
        <w:spacing w:after="0" w:line="255"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Temporarily operating our branches under a drive-through model with appointment-only lobby service, leveraging our business continuity plans and capabilities that include critical operations teams being divided and dispersed to separate locations and, when possible, having employees work from home;</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assistance to our customers affected by the COVID-19 pandemic, including payment deferrals, waiving certain fees, suspending property foreclosures, and participating in the CARES Act and lending programs for businesses, including the SBA PPP;</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Temporarily suspending common stock repurchases to maximize capital and liquidity resources; and</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Issuing $100 million of non-cumulative perpetual preferred stock and $100 million of senior debentures to ensure our capital ratios and liquidity remain strong throughout the rapidly changing economic conditions.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jc w:val="both"/>
        <w:spacing w:after="0" w:line="259" w:lineRule="auto"/>
        <w:rPr>
          <w:sz w:val="20"/>
          <w:szCs w:val="20"/>
          <w:color w:val="auto"/>
        </w:rPr>
      </w:pPr>
      <w:r>
        <w:rPr>
          <w:rFonts w:ascii="Arial" w:cs="Arial" w:eastAsia="Arial" w:hAnsi="Arial"/>
          <w:sz w:val="18"/>
          <w:szCs w:val="18"/>
          <w:color w:val="auto"/>
        </w:rPr>
        <w:t xml:space="preserve">In connection with reviewing our financial condition in light of the pandemic, we evaluated certain assets, including goodwill and other intangibles, for potential impairment. Based upon our most recent review as of September 30, 2020, no impairments have occurred. We have also elected to delay for two years the phase-in of the capital impact from our adoption of CECL, the new accounting standard on credit losses. For more information, see </w:t>
      </w:r>
      <w:r>
        <w:rPr>
          <w:rFonts w:ascii="Arial" w:cs="Arial" w:eastAsia="Arial" w:hAnsi="Arial"/>
          <w:sz w:val="18"/>
          <w:szCs w:val="18"/>
          <w:i w:val="1"/>
          <w:iCs w:val="1"/>
          <w:color w:val="auto"/>
        </w:rPr>
        <w:t>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Resources and Dividends</w:t>
      </w:r>
      <w:r>
        <w:rPr>
          <w:rFonts w:ascii="Arial" w:cs="Arial" w:eastAsia="Arial" w:hAnsi="Arial"/>
          <w:sz w:val="18"/>
          <w:szCs w:val="18"/>
          <w:color w:val="auto"/>
        </w:rPr>
        <w:t>.</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have implemented various consumer and commercial loan modification programs to provide our borrowers relief from the economic impacts of COVID-19. Based on guidance in the CARES Act, COVID-19 related modifications to loans that were current as of December 31, 2019 are exempt from TDR classification under accounting principles generally accepted in the United States of America (“GAAP”). In addition, the bank regulatory agencies issued interagency guidance stating that COVID-19 related short-term modifications (i.e., payment deferrals of six months or less) granted to loans that were current as of the loan modification program implementation date are not new TDRs. For more information, see </w:t>
      </w:r>
      <w:r>
        <w:rPr>
          <w:rFonts w:ascii="Arial" w:cs="Arial" w:eastAsia="Arial" w:hAnsi="Arial"/>
          <w:sz w:val="16"/>
          <w:szCs w:val="16"/>
          <w:i w:val="1"/>
          <w:iCs w:val="1"/>
          <w:color w:val="auto"/>
        </w:rPr>
        <w:t>Table 10 - COVID-19 Deferrals</w:t>
      </w:r>
      <w:r>
        <w:rPr>
          <w:rFonts w:ascii="Arial" w:cs="Arial" w:eastAsia="Arial" w:hAnsi="Arial"/>
          <w:sz w:val="16"/>
          <w:szCs w:val="16"/>
          <w:color w:val="auto"/>
        </w:rPr>
        <w:t>.</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Given the unprecedented uncertainty and rapidly evolving economic effects and social impacts of the COVID-19 pandemic, the future direct and indirect impact on our business, results of operations and financial condition are highly uncertain. Should current economic conditions persist or continue to deteriorate, we expect that this macroeconomic environment will have a continued adverse effect on our business and results of operations, which could include, but not be limited to: decreased demand for our products and services, protracted periods of lower interest rates, increased noninterest expenses, operational losses, and increased credit losses due to deterioration in the financial condition of our consumer and commercial borrowers, including declining asset and collateral values, which may continue to increase our provision for credit losses and net charge-offs.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LIBOR and Other Benchmark Rates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previously disclosed, to facilitate an orderly transition from Interbank Offered Rates (“IBORs”) and other benchmark rates to alternative reference rates (“ARRs”), we have established an enterprise-wide program to identify, assess and monitor risks associated with the expected discontinuation or unavailability of benchmarks, including the London InterBank Offered Rate (“LIBOR”). As part of this program, we continue to identify, assess and monitor risks associated with the expected discontinuation or unavailability of LIBOR and other benchmarks, and evaluate and address documentation and contractual mechanics of outstanding IBOR-based products and contracts that mature after 2021 and new and potential future ARR-based products and contracts to achieve operational readiness. This program includes active involvement of senior management and regular reports to the Enterprise Risk Committee. The program is structured to address the industry and regulatory engagement, client and financial contract changes, internal and external communications, technology and operations modifications, introduction of new products, migration of existing clients, and program strategy and governance. As the markets for ARRs continue to grow, we continue to monitor the development and usage of ARRs, including the Secured Overnight Financing Rate (“SOFR”). Additionally, any prolonged economic and market disruptions resulting from COVID-19 may have an adverse impact on the market and industry transition to ARRs, including the readiness of other market participants and third-party vendors, and our engagement with impacted clients and their operational readiness to transition to ARRs. For more information on the expected replacement of LIBOR and other benchmark rates, see </w:t>
      </w:r>
      <w:r>
        <w:rPr>
          <w:rFonts w:ascii="Arial" w:cs="Arial" w:eastAsia="Arial" w:hAnsi="Arial"/>
          <w:sz w:val="17"/>
          <w:szCs w:val="17"/>
          <w:i w:val="1"/>
          <w:iCs w:val="1"/>
          <w:color w:val="auto"/>
        </w:rPr>
        <w:t xml:space="preserve">Item 1A. Risk Factors – Market Risks </w:t>
      </w:r>
      <w:r>
        <w:rPr>
          <w:rFonts w:ascii="Arial" w:cs="Arial" w:eastAsia="Arial" w:hAnsi="Arial"/>
          <w:sz w:val="17"/>
          <w:szCs w:val="17"/>
          <w:color w:val="auto"/>
        </w:rPr>
        <w:t>of the 2019 10-K.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 September 30, 2020, we had total consolidated assets of $17.2 billion, total loans of $11.8 billion, total deposits of $14.6 billion, and shareholders’ equity of $1.97 billion. We reported net income of $47.6 million, or $0.52 per diluted share, for the third quarter of 2020, compared to net income of $48.4 million, or $0.60 per diluted share, for the third quarter of 2019. For the nine months ended September 30, 2020, we reported net income of $105 million, or $1.25 per diluted share, compared to $137 million, or $1.70 per diluted share, for the first nine months of 2019. The decreases in net income and earnings per share from 2019 reflect the economic impact of the COVID-19 pandemic.</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increased to $128 million for the third quarter of 2020, compared to $119 million for the third quarter of 2019. The net interest margin decreased to 3.27% for the three months ended September 30, 2020 from 4.12% for the same period in 2019. For the nine months ended September 30, 2020, net interest revenue was $356 million and the net interest margin was 3.55% compared to net interest revenue of $353 million and net interest margin of 4.11% for the same period in 2019. The decreases in net interest margin were primarily due to the effect of falling interest rates on our asset sensitive balance sheet, which more than offset the positive impact of continued growth of our loan portfolio and the reduction of borrowed funds since September 30, 2019.</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was $21.8 million for the third quarter of 2020, compared to $3.10 million for the third quarter of 2019. For the nine months ended September 30, 2020, the provision for credit losses was $77.5 million, compared to $9.65 million for the same period in 2019. The increase in provision expense for the third quarter and first nine months of 2020 reflected higher expected losses resulting primarily from the adoption of CECL and the macroeconomic effects of the COVID-19 pandemic on our CECL calculation, as well as the establishment of the initial allowance for credit losses (“ACL”) on non-purchased credit deteriorated loans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t>and unfunded commitments acquired from Three Shores. As a result, as of September 30, 2020, our ACL on loans was $134 million, or 1.14% of loans, compared to $62.1 million, or 0.70% of loans, at December 31, 2019. Net charge-offs for the third quarter of 2020 were $2.54 million compared to $2.72 million for the same period in 2019. At September 30, 2020 and December 31, 2019, nonperforming assets of $50.0 million and $35.8 million, respectively, were 0.29% and 0.28% of total assets, respectively.</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Noninterest income of $48.7 million for the third quarter of 2020 was up $19.7 million, or 68%, from the third quarter of 2019. The increase was primarily attributable to an increase in mortgage origination activity that resulted in a $16.5 million increase in mortgage fees. We closed $569 million in mortgage loans in the third quarter of 2020 compared with $330 million a year ago. Continued demand for customer derivative products in the low interest rate environment and the addition of Three Shores’ wealth management business also contributed to the increase in noninterest income for the third quarter of 2020. These increases were partially offset by decreases in service charges and fees driven mostly by a reduction in overdraft transaction volume. For the first nine months of 2020, total noninterest income was up $40.2 million compared to the same period of 2019, mostly driven by the same factors affecting the quarter.</w:t>
      </w:r>
    </w:p>
    <w:p>
      <w:pPr>
        <w:spacing w:after="0" w:line="22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the third quarter and first nine months of 2020, noninterest expenses of $96.0 million and $261 million, respectively, increased $13.1 million and $20.7 million, respectively, from the same periods of 2019. Much of the increase reflects the inclusion of Three Shores’ operating expenses. However, we also had increases in mortgage commissions and merit-based salary increases (awarded during the second quarter of 2020), which increased our salaries and employee benefit expense. We also made $1.50 million in charitable contributions to our newly formed United Community Bank Foundation, which elevated our advertising and public relations expense. In addition, FDIC assessments and other regulatory charges for the third quarter and nine months ended September 30, 2019, reflected a one-time $1.38 million credit, decreasing our expense for 2019.</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accounting and reporting policies are in accordance with accounting principles generally accepted in the United States (“GAAP”) and conform to general practices within the banking industry. Except as described below, there have been no significant changes to the Critical Accounting Policies as described in our 2019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Since the adoption of CECL on January 1, 2020, the ACL represents management’s estimate of credit losses for the remaining estimated life of financial instruments, with particular applicability on our balance sheet to loans and unfunded loan commitments. Estimating the amount of the ACL requires significant judgment and the use of estimates related to historical experience, current conditions, reasonable and supportable forecasts, and the value of collateral on collateral-dependent loans. The loan portfolio also represents the largest asset type on our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are many factors affecting the ACL; some are quantitative while others require qualitative judgment. Although management believes its process for determining the allowance adequately considers all the potential factors that could potentially result in credit losses, the process includes subjective elements and is susceptible to significant change. To the extent actual outcomes differ from management estimates, additional provision for credit losses could be required that could adversely affect our earnings or financial position in future periods.</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 information on the loan portfolio and ACL can be found in the sections of Management’s Discussion and Analysis titled “Asset Quality and Risk Elements” and “Nonperforming Assets.” Note 1 to the consolidated financial statements includes additional information on accounting policies related to the ACL.</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Non-GAAP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and “tangible common equity to tangible assets.” In addition, management presents non-GAAP operating performance measures, which exclude merger-related and other items that are not part of our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our Board of Directors each quarter. Management uses these non-GAAP measures because it believes they provide useful supplemental information for evaluating our operations and performance over periods of time, as well as in managing and evaluating our business and in discussions about our operations and performance. Management believes these non-GAAP measures may also provide users of our financial information with a meaningful measure for assessing our financial results and credit trends, as well as a comparison to financial results for prior periods. Nevertheless, non-GAAP measures have inherent limitations, are not required to be uniformly applied and are not audited. These non-GAAP measures should be viewed in addition to, and not as an alternative to or substitute for, measures determined in accordance with GAAP. In addition, because non-GAAP measures are not standardized, it may not be possible to compare our non-GAAP measures to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reported net income and diluted earnings per common share of $47.6 million and $0.52, respectively, for the third quarter of 2020. This compared to net income and diluted earnings per common share of $48.4 million and $0.60, respectively, for the same period in 2019. For the nine months ended September 30, 2020, we reported net income and diluted earnings per share of $105 million and $1.25, respectively, compared to net income and diluted earnings per share of $137 million and $1.70, respectively, for the same period in 2019.</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reported net income - operating (non-GAAP) of $50.4 million and $108 million for the third quarter and first nine months of 2020, compared to $50.4 million and $142 million for the same periods in 2019. For the third quarter and first nine months of 2020, net income - operating (non-GAAP) excludes merger-related and other charges, which net of tax, totaled $2.84 million and $3.78 million, respectively. For the third quarter of 2019, net income - operating (non-GAAP) excludes merger-related, pension termination and branch closure charges, which net of tax, totaled $2.01 million. For the first nine months of 2019, net income - operating (non-GAAP) excludes executive retirement charges as well as the items mentioned in the previous sentence, which net of tax, totaled $5.72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2"/>
          <w:szCs w:val="12"/>
          <w:b w:val="1"/>
          <w:bCs w:val="1"/>
          <w:color w:val="auto"/>
        </w:rPr>
        <w:t>UNITED COMMUNITY BANKS, INC.</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Table 1 - Financial Highlights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15240</wp:posOffset>
            </wp:positionV>
            <wp:extent cx="52889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88915" cy="8255"/>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ind w:right="60"/>
              <w:spacing w:after="0"/>
              <w:rPr>
                <w:sz w:val="20"/>
                <w:szCs w:val="20"/>
                <w:color w:val="auto"/>
              </w:rPr>
            </w:pPr>
            <w:r>
              <w:rPr>
                <w:rFonts w:ascii="Arial" w:cs="Arial" w:eastAsia="Arial" w:hAnsi="Arial"/>
                <w:sz w:val="12"/>
                <w:szCs w:val="12"/>
                <w:b w:val="1"/>
                <w:bCs w:val="1"/>
                <w:color w:val="auto"/>
                <w:w w:val="89"/>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restart"/>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w w:val="96"/>
              </w:rPr>
              <w:t>For the Nine Months Ended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vMerge w:val="continue"/>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Third Quarter</w:t>
            </w:r>
          </w:p>
        </w:tc>
        <w:tc>
          <w:tcPr>
            <w:tcW w:w="1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87"/>
              </w:rPr>
              <w:t>Second</w:t>
            </w:r>
          </w:p>
        </w:tc>
        <w:tc>
          <w:tcPr>
            <w:tcW w:w="1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Fourth</w:t>
            </w: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YTD 2020 -</w:t>
            </w:r>
          </w:p>
        </w:tc>
        <w:tc>
          <w:tcPr>
            <w:tcW w:w="0" w:type="dxa"/>
            <w:vAlign w:val="bottom"/>
          </w:tcPr>
          <w:p>
            <w:pPr>
              <w:spacing w:after="0"/>
              <w:rPr>
                <w:sz w:val="1"/>
                <w:szCs w:val="1"/>
                <w:color w:val="auto"/>
              </w:rPr>
            </w:pPr>
          </w:p>
        </w:tc>
      </w:tr>
      <w:tr>
        <w:trPr>
          <w:trHeight w:val="108"/>
        </w:trPr>
        <w:tc>
          <w:tcPr>
            <w:tcW w:w="280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20" w:type="dxa"/>
            <w:vAlign w:val="bottom"/>
            <w:vMerge w:val="restart"/>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6"/>
              </w:rPr>
              <w:t>Third Quarter</w:t>
            </w:r>
          </w:p>
        </w:tc>
        <w:tc>
          <w:tcPr>
            <w:tcW w:w="12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8"/>
              </w:rPr>
              <w:t>First Quarter</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6"/>
              </w:rPr>
              <w:t>Third Quarter</w:t>
            </w:r>
          </w:p>
        </w:tc>
        <w:tc>
          <w:tcPr>
            <w:tcW w:w="102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auto"/>
              </w:rPr>
              <w:t>2020 - 2019</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vMerge w:val="restart"/>
          </w:tcPr>
          <w:p>
            <w:pPr>
              <w:jc w:val="right"/>
              <w:ind w:right="280"/>
              <w:spacing w:after="0"/>
              <w:rPr>
                <w:sz w:val="20"/>
                <w:szCs w:val="20"/>
                <w:color w:val="auto"/>
              </w:rPr>
            </w:pPr>
            <w:r>
              <w:rPr>
                <w:rFonts w:ascii="Arial" w:cs="Arial" w:eastAsia="Arial" w:hAnsi="Arial"/>
                <w:sz w:val="12"/>
                <w:szCs w:val="12"/>
                <w:b w:val="1"/>
                <w:bCs w:val="1"/>
                <w:color w:val="auto"/>
                <w:w w:val="89"/>
              </w:rPr>
              <w:t>2019</w:t>
            </w:r>
          </w:p>
        </w:tc>
        <w:tc>
          <w:tcPr>
            <w:tcW w:w="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w w:val="96"/>
              </w:rPr>
              <w:t>Quarter</w:t>
            </w:r>
          </w:p>
        </w:tc>
        <w:tc>
          <w:tcPr>
            <w:tcW w:w="100" w:type="dxa"/>
            <w:vAlign w:val="bottom"/>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Quarter</w:t>
            </w:r>
          </w:p>
        </w:tc>
        <w:tc>
          <w:tcPr>
            <w:tcW w:w="100" w:type="dxa"/>
            <w:vAlign w:val="bottom"/>
          </w:tcPr>
          <w:p>
            <w:pPr>
              <w:spacing w:after="0"/>
              <w:rPr>
                <w:sz w:val="12"/>
                <w:szCs w:val="12"/>
                <w:color w:val="auto"/>
              </w:rPr>
            </w:pPr>
          </w:p>
        </w:tc>
        <w:tc>
          <w:tcPr>
            <w:tcW w:w="800" w:type="dxa"/>
            <w:vAlign w:val="bottom"/>
            <w:tcBorders>
              <w:bottom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Change</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2019 Change</w:t>
            </w:r>
          </w:p>
        </w:tc>
        <w:tc>
          <w:tcPr>
            <w:tcW w:w="0" w:type="dxa"/>
            <w:vAlign w:val="bottom"/>
          </w:tcPr>
          <w:p>
            <w:pPr>
              <w:spacing w:after="0"/>
              <w:rPr>
                <w:sz w:val="1"/>
                <w:szCs w:val="1"/>
                <w:color w:val="auto"/>
              </w:rPr>
            </w:pPr>
          </w:p>
        </w:tc>
      </w:tr>
      <w:tr>
        <w:trPr>
          <w:trHeight w:val="153"/>
        </w:trPr>
        <w:tc>
          <w:tcPr>
            <w:tcW w:w="2920" w:type="dxa"/>
            <w:vAlign w:val="bottom"/>
            <w:gridSpan w:val="2"/>
          </w:tcPr>
          <w:p>
            <w:pPr>
              <w:ind w:left="20"/>
              <w:spacing w:after="0"/>
              <w:rPr>
                <w:sz w:val="20"/>
                <w:szCs w:val="20"/>
                <w:color w:val="auto"/>
              </w:rPr>
            </w:pPr>
            <w:r>
              <w:rPr>
                <w:rFonts w:ascii="Arial" w:cs="Arial" w:eastAsia="Arial" w:hAnsi="Arial"/>
                <w:sz w:val="12"/>
                <w:szCs w:val="12"/>
                <w:b w:val="1"/>
                <w:bCs w:val="1"/>
                <w:color w:val="auto"/>
              </w:rPr>
              <w:t>INCOME SUMMARY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Interest revenue</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141,773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123,605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136,547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136,419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140,615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401,925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416,287</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rPr>
              <w:t>Interest expense</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13,319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14,301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17,941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19,781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21,277</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45,561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63,531</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interest revenue</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128,454</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109,304</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118,606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116,638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119,338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356,364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352,756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0" w:type="dxa"/>
            <w:vAlign w:val="bottom"/>
          </w:tcPr>
          <w:p>
            <w:pPr>
              <w:spacing w:after="0"/>
              <w:rPr>
                <w:sz w:val="1"/>
                <w:szCs w:val="1"/>
                <w:color w:val="auto"/>
              </w:rPr>
            </w:pPr>
          </w:p>
        </w:tc>
      </w:tr>
      <w:tr>
        <w:trPr>
          <w:trHeight w:val="160"/>
        </w:trPr>
        <w:tc>
          <w:tcPr>
            <w:tcW w:w="2920" w:type="dxa"/>
            <w:vAlign w:val="bottom"/>
            <w:gridSpan w:val="2"/>
          </w:tcPr>
          <w:p>
            <w:pPr>
              <w:ind w:left="20"/>
              <w:spacing w:after="0"/>
              <w:rPr>
                <w:sz w:val="20"/>
                <w:szCs w:val="20"/>
                <w:color w:val="auto"/>
              </w:rPr>
            </w:pPr>
            <w:r>
              <w:rPr>
                <w:rFonts w:ascii="Arial" w:cs="Arial" w:eastAsia="Arial" w:hAnsi="Arial"/>
                <w:sz w:val="12"/>
                <w:szCs w:val="12"/>
                <w:color w:val="auto"/>
              </w:rPr>
              <w:t>Provision for credit losses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21,793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33,543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22,191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3,500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3,100</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77,527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9,650</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Noninterest income</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48,682</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40,238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25,814</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30,183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29,031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114,734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74,530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54</w:t>
            </w: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2"/>
                <w:szCs w:val="12"/>
                <w:b w:val="1"/>
                <w:bCs w:val="1"/>
                <w:color w:val="auto"/>
              </w:rPr>
              <w:t>Total revenue</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155,343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115,999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122,229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143,321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145,269</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393,571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417,636</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Expenses</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95,981</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83,980</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81,538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81,424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82,924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261,499</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240,821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Income before income tax expense</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59,362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32,019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40,691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61,897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62,345</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132,072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176,815</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Income tax expense</w:t>
            </w: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11,755</w:t>
            </w: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6,923</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8,807</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12,885</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13,983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(16)</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27,485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40,106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153"/>
        </w:trPr>
        <w:tc>
          <w:tcPr>
            <w:tcW w:w="2920" w:type="dxa"/>
            <w:vAlign w:val="bottom"/>
            <w:gridSpan w:val="2"/>
          </w:tcPr>
          <w:p>
            <w:pPr>
              <w:ind w:left="120"/>
              <w:spacing w:after="0"/>
              <w:rPr>
                <w:sz w:val="20"/>
                <w:szCs w:val="20"/>
                <w:color w:val="auto"/>
              </w:rPr>
            </w:pPr>
            <w:r>
              <w:rPr>
                <w:rFonts w:ascii="Arial" w:cs="Arial" w:eastAsia="Arial" w:hAnsi="Arial"/>
                <w:sz w:val="12"/>
                <w:szCs w:val="12"/>
                <w:b w:val="1"/>
                <w:bCs w:val="1"/>
                <w:color w:val="auto"/>
              </w:rPr>
              <w:t>Net income</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47,607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25,096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31,884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49,012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48,362</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104,587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136,709</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Merger-related and other charges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3,361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397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2,605</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4,566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7,431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tcBorders>
              <w:bottom w:val="single" w:sz="8" w:color="CCEEFF"/>
            </w:tcBorders>
            <w:gridSpan w:val="2"/>
          </w:tcPr>
          <w:p>
            <w:pPr>
              <w:ind w:left="20"/>
              <w:spacing w:after="0"/>
              <w:rPr>
                <w:sz w:val="20"/>
                <w:szCs w:val="20"/>
                <w:color w:val="auto"/>
              </w:rPr>
            </w:pPr>
            <w:r>
              <w:rPr>
                <w:rFonts w:ascii="Arial" w:cs="Arial" w:eastAsia="Arial" w:hAnsi="Arial"/>
                <w:sz w:val="12"/>
                <w:szCs w:val="12"/>
                <w:color w:val="auto"/>
                <w:w w:val="98"/>
              </w:rPr>
              <w:t>Income tax benefit of merger-related and other charges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(519)</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(600)</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(788)</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(1,712)</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20" w:type="dxa"/>
            <w:vAlign w:val="bottom"/>
            <w:tcBorders>
              <w:bottom w:val="single" w:sz="8" w:color="CCEEFF"/>
            </w:tcBorders>
            <w:gridSpan w:val="2"/>
            <w:shd w:val="clear" w:color="auto" w:fill="CCEEFF"/>
          </w:tcPr>
          <w:p>
            <w:pPr>
              <w:ind w:left="140"/>
              <w:spacing w:after="0" w:line="158" w:lineRule="exact"/>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15"/>
                <w:szCs w:val="15"/>
                <w:b w:val="1"/>
                <w:bCs w:val="1"/>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50,449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25,406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32,510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48,955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50,367</w:t>
            </w: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108,365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142,428</w:t>
            </w: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(24)</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2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PERFORMANCE MEASURES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Per common share: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Diluted net income - GAAP</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0.61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0.60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15"/>
                <w:szCs w:val="15"/>
                <w:color w:val="auto"/>
                <w:vertAlign w:val="superscript"/>
              </w:rPr>
              <w:t>(1)</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0.55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0.32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0.61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0.63</w:t>
            </w: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1.29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1.77</w:t>
            </w:r>
          </w:p>
        </w:tc>
        <w:tc>
          <w:tcPr>
            <w:tcW w:w="840" w:type="dxa"/>
            <w:vAlign w:val="bottom"/>
            <w:gridSpan w:val="2"/>
          </w:tcPr>
          <w:p>
            <w:pPr>
              <w:jc w:val="right"/>
              <w:ind w:right="6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Cash dividends declared</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60"/>
        </w:trPr>
        <w:tc>
          <w:tcPr>
            <w:tcW w:w="2920" w:type="dxa"/>
            <w:vAlign w:val="bottom"/>
            <w:gridSpan w:val="2"/>
          </w:tcPr>
          <w:p>
            <w:pPr>
              <w:ind w:left="220"/>
              <w:spacing w:after="0"/>
              <w:rPr>
                <w:sz w:val="20"/>
                <w:szCs w:val="20"/>
                <w:color w:val="auto"/>
              </w:rPr>
            </w:pPr>
            <w:r>
              <w:rPr>
                <w:rFonts w:ascii="Arial" w:cs="Arial" w:eastAsia="Arial" w:hAnsi="Arial"/>
                <w:sz w:val="12"/>
                <w:szCs w:val="12"/>
                <w:color w:val="auto"/>
              </w:rPr>
              <w:t>Book value</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21.45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21.22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20.80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20.53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20.16</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21.45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20.16</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15"/>
                <w:szCs w:val="15"/>
                <w:color w:val="auto"/>
                <w:vertAlign w:val="superscript"/>
              </w:rPr>
              <w:t>(3)</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16.95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15.90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17.09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15.90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Key performance ratios: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15"/>
                <w:szCs w:val="15"/>
                <w:color w:val="auto"/>
                <w:vertAlign w:val="superscript"/>
              </w:rPr>
              <w:t>(2)(4)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6.17 %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12.16 %</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11.83 %</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15"/>
                <w:szCs w:val="15"/>
                <w:color w:val="auto"/>
                <w:vertAlign w:val="superscript"/>
              </w:rPr>
              <w:t>(1)(2)(4)</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10.69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6.25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8.01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12.06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12.67</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8.40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12.32</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5"/>
                <w:szCs w:val="15"/>
                <w:color w:val="auto"/>
                <w:w w:val="90"/>
                <w:vertAlign w:val="subscript"/>
              </w:rPr>
              <w:t>(4)</w:t>
            </w:r>
            <w:r>
              <w:rPr>
                <w:rFonts w:ascii="Arial" w:cs="Arial" w:eastAsia="Arial" w:hAnsi="Arial"/>
                <w:sz w:val="12"/>
                <w:szCs w:val="12"/>
                <w:color w:val="auto"/>
                <w:w w:val="90"/>
              </w:rPr>
              <w:t xml:space="preserve">Return on tangible common equity - operating </w:t>
            </w:r>
            <w:r>
              <w:rPr>
                <w:rFonts w:ascii="Arial" w:cs="Arial" w:eastAsia="Arial" w:hAnsi="Arial"/>
                <w:sz w:val="15"/>
                <w:szCs w:val="15"/>
                <w:color w:val="auto"/>
                <w:w w:val="90"/>
                <w:vertAlign w:val="superscript"/>
              </w:rPr>
              <w:t>(1)(2)(3)</w:t>
            </w:r>
          </w:p>
        </w:tc>
        <w:tc>
          <w:tcPr>
            <w:tcW w:w="1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13.52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8.09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10.57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15.49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16.38</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2"/>
                <w:szCs w:val="12"/>
                <w:color w:val="auto"/>
              </w:rPr>
              <w:t>10.76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2"/>
                <w:szCs w:val="12"/>
                <w:color w:val="auto"/>
              </w:rPr>
              <w:t>15.92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15"/>
                <w:szCs w:val="15"/>
                <w:color w:val="auto"/>
                <w:vertAlign w:val="superscript"/>
              </w:rPr>
              <w:t>(4)</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0.71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0.99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1.50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1.51</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0.93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1.45</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15"/>
                <w:szCs w:val="15"/>
                <w:color w:val="auto"/>
                <w:vertAlign w:val="superscript"/>
              </w:rPr>
              <w:t>(1)(4)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0.72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0.97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1.51</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220"/>
              <w:spacing w:after="0"/>
              <w:rPr>
                <w:sz w:val="20"/>
                <w:szCs w:val="20"/>
                <w:color w:val="auto"/>
              </w:rPr>
            </w:pPr>
            <w:r>
              <w:rPr>
                <w:rFonts w:ascii="Arial" w:cs="Arial" w:eastAsia="Arial" w:hAnsi="Arial"/>
                <w:sz w:val="12"/>
                <w:szCs w:val="12"/>
                <w:color w:val="auto"/>
              </w:rPr>
              <w:t>Dividend payout ratio - GAAP</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34.62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56.25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45.00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29.51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28.33</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43.20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29.41</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220"/>
              <w:spacing w:after="0" w:line="164" w:lineRule="exact"/>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32.73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43.90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29.51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26.98</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41.86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28.25</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15"/>
                <w:szCs w:val="15"/>
                <w:color w:val="auto"/>
                <w:vertAlign w:val="superscript"/>
              </w:rPr>
              <w:t>(4)</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3.27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3.42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4.07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3.93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3.55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4.11</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Efficiency ratio - GAAP</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54.14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56.15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54.87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55.64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55.30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56.09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15"/>
                <w:szCs w:val="15"/>
                <w:color w:val="auto"/>
                <w:vertAlign w:val="superscript"/>
              </w:rPr>
              <w:t>(1)</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52.24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55.59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55.59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54.92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53.90</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54.34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54.36</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Equity to total assets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11.81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12.54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12.66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12.53</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20"/>
              <w:spacing w:after="0" w:line="162" w:lineRule="exact"/>
              <w:rPr>
                <w:sz w:val="20"/>
                <w:szCs w:val="20"/>
                <w:color w:val="auto"/>
              </w:rPr>
            </w:pPr>
            <w:r>
              <w:rPr>
                <w:rFonts w:ascii="Arial" w:cs="Arial" w:eastAsia="Arial" w:hAnsi="Arial"/>
                <w:sz w:val="12"/>
                <w:szCs w:val="12"/>
                <w:color w:val="auto"/>
              </w:rPr>
              <w:t xml:space="preserve">Tangible common equity to tangible assets </w:t>
            </w:r>
            <w:r>
              <w:rPr>
                <w:rFonts w:ascii="Arial" w:cs="Arial" w:eastAsia="Arial" w:hAnsi="Arial"/>
                <w:sz w:val="15"/>
                <w:szCs w:val="15"/>
                <w:color w:val="auto"/>
                <w:vertAlign w:val="superscript"/>
              </w:rPr>
              <w:t>(3)</w:t>
            </w:r>
          </w:p>
        </w:tc>
        <w:tc>
          <w:tcPr>
            <w:tcW w:w="16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8.89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9.12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10.32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10.16</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8.89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10.16</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20"/>
              <w:spacing w:after="0"/>
              <w:rPr>
                <w:sz w:val="20"/>
                <w:szCs w:val="20"/>
                <w:color w:val="auto"/>
              </w:rPr>
            </w:pPr>
            <w:r>
              <w:rPr>
                <w:rFonts w:ascii="Arial" w:cs="Arial" w:eastAsia="Arial" w:hAnsi="Arial"/>
                <w:sz w:val="12"/>
                <w:szCs w:val="12"/>
                <w:b w:val="1"/>
                <w:bCs w:val="1"/>
                <w:color w:val="auto"/>
              </w:rPr>
              <w:t>ASSET QUALITY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Nonperforming loans</w:t>
            </w:r>
          </w:p>
        </w:tc>
        <w:tc>
          <w:tcPr>
            <w:tcW w:w="1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49,084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48,021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36,208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35,341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30,832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49,084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30,832</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59</w:t>
            </w:r>
          </w:p>
        </w:tc>
        <w:tc>
          <w:tcPr>
            <w:tcW w:w="0" w:type="dxa"/>
            <w:vAlign w:val="bottom"/>
          </w:tcPr>
          <w:p>
            <w:pPr>
              <w:spacing w:after="0"/>
              <w:rPr>
                <w:sz w:val="1"/>
                <w:szCs w:val="1"/>
                <w:color w:val="auto"/>
              </w:rPr>
            </w:pPr>
          </w:p>
        </w:tc>
      </w:tr>
      <w:tr>
        <w:trPr>
          <w:trHeight w:val="160"/>
        </w:trPr>
        <w:tc>
          <w:tcPr>
            <w:tcW w:w="2920" w:type="dxa"/>
            <w:vAlign w:val="bottom"/>
            <w:tcBorders>
              <w:bottom w:val="single" w:sz="8" w:color="CCEEFF"/>
            </w:tcBorders>
            <w:gridSpan w:val="2"/>
          </w:tcPr>
          <w:p>
            <w:pPr>
              <w:ind w:left="120"/>
              <w:spacing w:after="0"/>
              <w:rPr>
                <w:sz w:val="20"/>
                <w:szCs w:val="20"/>
                <w:color w:val="auto"/>
              </w:rPr>
            </w:pPr>
            <w:r>
              <w:rPr>
                <w:rFonts w:ascii="Arial" w:cs="Arial" w:eastAsia="Arial" w:hAnsi="Arial"/>
                <w:sz w:val="12"/>
                <w:szCs w:val="12"/>
                <w:color w:val="auto"/>
              </w:rPr>
              <w:t>Foreclosed properties</w:t>
            </w: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953</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477</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476</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w:t>
            </w:r>
          </w:p>
        </w:tc>
        <w:tc>
          <w:tcPr>
            <w:tcW w:w="12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953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102</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92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Total nonperforming assets ("NPAs")</w:t>
            </w: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50,037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48,498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36,683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35,817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30,934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50,037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30,934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Allowance for credit losses - loans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134,256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103,669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81,905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62,089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62,514</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134,256</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62,514</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115</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charge-offs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2,538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6,149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8,114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3,925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2,723</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16,801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8,291</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103</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Allowance for credit losses - loans to loans</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1.14 %</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1.02 %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0.92 %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0.70 %</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0.70 %</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1.14 %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0.70 %</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40"/>
              <w:spacing w:after="0" w:line="164" w:lineRule="exact"/>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15"/>
                <w:szCs w:val="15"/>
                <w:color w:val="auto"/>
                <w:vertAlign w:val="superscript"/>
              </w:rPr>
              <w:t>(4)</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0.09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0.18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0.12</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0.13</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NPAs to loans and foreclosed properties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0.42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0.48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0.41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0.35</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0.42</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0.35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NPAs to total assets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0.24</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0.29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0.24</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i w:val="1"/>
                <w:iCs w:val="1"/>
                <w:color w:val="auto"/>
              </w:rPr>
              <w:t>($ in millions)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Loans</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11,644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9,773</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8,829</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8,890</w:t>
            </w:r>
          </w:p>
        </w:tc>
        <w:tc>
          <w:tcPr>
            <w:tcW w:w="1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8,836</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10,088</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8,647</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Investment securities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2,750</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2,408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2,520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2,486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2,701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Earning assets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15,715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12,958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11,798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11,832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11,568</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13,498</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11,534</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 assets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17,013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14,173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12,944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12,946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12,681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14,718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12,600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Deposits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14,460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12,071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10,915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10,924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10,531</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12,490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10,462</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19</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Shareholders’ equity</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1,686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1,653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1,623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1,763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1,533</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Common shares - basic (thousands)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87,129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78,920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79,340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79,659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79,663</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81,815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79,714</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Common shares - diluted (thousands)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87,205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78,924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79,446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79,669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79,667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81,876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79,718</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95"/>
        </w:trPr>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9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i w:val="1"/>
                <w:iCs w:val="1"/>
                <w:color w:val="auto"/>
              </w:rPr>
              <w:t>($ in millions)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Loans</w:t>
            </w:r>
          </w:p>
        </w:tc>
        <w:tc>
          <w:tcPr>
            <w:tcW w:w="160" w:type="dxa"/>
            <w:vAlign w:val="bottom"/>
          </w:tcPr>
          <w:p>
            <w:pPr>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11,799</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10,133</w:t>
            </w:r>
          </w:p>
        </w:tc>
        <w:tc>
          <w:tcPr>
            <w:tcW w:w="100" w:type="dxa"/>
            <w:vAlign w:val="bottom"/>
          </w:tcPr>
          <w:p>
            <w:pPr>
              <w:spacing w:after="0"/>
              <w:rPr>
                <w:sz w:val="13"/>
                <w:szCs w:val="13"/>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8,935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8,813</w:t>
            </w:r>
          </w:p>
        </w:tc>
        <w:tc>
          <w:tcPr>
            <w:tcW w:w="100" w:type="dxa"/>
            <w:vAlign w:val="bottom"/>
          </w:tcPr>
          <w:p>
            <w:pPr>
              <w:spacing w:after="0"/>
              <w:rPr>
                <w:sz w:val="13"/>
                <w:szCs w:val="13"/>
                <w:color w:val="auto"/>
              </w:rPr>
            </w:pPr>
          </w:p>
        </w:tc>
        <w:tc>
          <w:tcPr>
            <w:tcW w:w="180" w:type="dxa"/>
            <w:vAlign w:val="bottom"/>
          </w:tcPr>
          <w:p>
            <w:pPr>
              <w:ind w:left="20"/>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8,903</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100" w:type="dxa"/>
            <w:vAlign w:val="bottom"/>
          </w:tcPr>
          <w:p>
            <w:pPr>
              <w:spacing w:after="0"/>
              <w:rPr>
                <w:sz w:val="13"/>
                <w:szCs w:val="13"/>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11,799</w:t>
            </w:r>
          </w:p>
        </w:tc>
        <w:tc>
          <w:tcPr>
            <w:tcW w:w="10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8,903</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33</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Investment securities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3,089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2,432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2,559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3,089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2,515</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Total assets</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17,153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15,005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13,086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12,916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12,809</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34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17,153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12,809</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Deposits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14,603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12,702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11,035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10,897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10,757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14,603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10,757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36</w:t>
            </w:r>
          </w:p>
        </w:tc>
        <w:tc>
          <w:tcPr>
            <w:tcW w:w="0" w:type="dxa"/>
            <w:vAlign w:val="bottom"/>
          </w:tcPr>
          <w:p>
            <w:pPr>
              <w:spacing w:after="0"/>
              <w:rPr>
                <w:sz w:val="1"/>
                <w:szCs w:val="1"/>
                <w:color w:val="auto"/>
              </w:rPr>
            </w:pPr>
          </w:p>
        </w:tc>
      </w:tr>
      <w:tr>
        <w:trPr>
          <w:trHeight w:val="160"/>
        </w:trPr>
        <w:tc>
          <w:tcPr>
            <w:tcW w:w="2920" w:type="dxa"/>
            <w:vAlign w:val="bottom"/>
            <w:gridSpan w:val="2"/>
          </w:tcPr>
          <w:p>
            <w:pPr>
              <w:ind w:left="120"/>
              <w:spacing w:after="0"/>
              <w:rPr>
                <w:sz w:val="20"/>
                <w:szCs w:val="20"/>
                <w:color w:val="auto"/>
              </w:rPr>
            </w:pPr>
            <w:r>
              <w:rPr>
                <w:rFonts w:ascii="Arial" w:cs="Arial" w:eastAsia="Arial" w:hAnsi="Arial"/>
                <w:sz w:val="12"/>
                <w:szCs w:val="12"/>
                <w:color w:val="auto"/>
              </w:rPr>
              <w:t>Shareholders’ equity</w:t>
            </w:r>
          </w:p>
        </w:tc>
        <w:tc>
          <w:tcPr>
            <w:tcW w:w="16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1,967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1,772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00"/>
              <w:spacing w:after="0"/>
              <w:rPr>
                <w:sz w:val="20"/>
                <w:szCs w:val="20"/>
                <w:color w:val="auto"/>
              </w:rPr>
            </w:pPr>
            <w:r>
              <w:rPr>
                <w:rFonts w:ascii="Arial" w:cs="Arial" w:eastAsia="Arial" w:hAnsi="Arial"/>
                <w:sz w:val="12"/>
                <w:szCs w:val="12"/>
                <w:color w:val="auto"/>
              </w:rPr>
              <w:t>1,641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1,636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1,605</w:t>
            </w:r>
          </w:p>
        </w:tc>
        <w:tc>
          <w:tcPr>
            <w:tcW w:w="102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100"/>
              <w:spacing w:after="0"/>
              <w:rPr>
                <w:sz w:val="20"/>
                <w:szCs w:val="20"/>
                <w:color w:val="auto"/>
              </w:rPr>
            </w:pPr>
            <w:r>
              <w:rPr>
                <w:rFonts w:ascii="Arial" w:cs="Arial" w:eastAsia="Arial" w:hAnsi="Arial"/>
                <w:sz w:val="12"/>
                <w:szCs w:val="12"/>
                <w:color w:val="auto"/>
              </w:rPr>
              <w:t>1,967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1,605</w:t>
            </w:r>
          </w:p>
        </w:tc>
        <w:tc>
          <w:tcPr>
            <w:tcW w:w="840" w:type="dxa"/>
            <w:vAlign w:val="bottom"/>
            <w:gridSpan w:val="2"/>
          </w:tcPr>
          <w:p>
            <w:pPr>
              <w:jc w:val="right"/>
              <w:ind w:right="100"/>
              <w:spacing w:after="0"/>
              <w:rPr>
                <w:sz w:val="20"/>
                <w:szCs w:val="20"/>
                <w:color w:val="auto"/>
              </w:rPr>
            </w:pPr>
            <w:r>
              <w:rPr>
                <w:rFonts w:ascii="Arial" w:cs="Arial" w:eastAsia="Arial" w:hAnsi="Arial"/>
                <w:sz w:val="12"/>
                <w:szCs w:val="12"/>
                <w:color w:val="auto"/>
              </w:rPr>
              <w:t>23</w:t>
            </w:r>
          </w:p>
        </w:tc>
        <w:tc>
          <w:tcPr>
            <w:tcW w:w="0" w:type="dxa"/>
            <w:vAlign w:val="bottom"/>
          </w:tcPr>
          <w:p>
            <w:pPr>
              <w:spacing w:after="0"/>
              <w:rPr>
                <w:sz w:val="1"/>
                <w:szCs w:val="1"/>
                <w:color w:val="auto"/>
              </w:rPr>
            </w:pPr>
          </w:p>
        </w:tc>
      </w:tr>
      <w:tr>
        <w:trPr>
          <w:trHeight w:val="164"/>
        </w:trPr>
        <w:tc>
          <w:tcPr>
            <w:tcW w:w="292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Common shares outstanding (thousands)</w:t>
            </w: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86,611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78,335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78,284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79,014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78,974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86,611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78,974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firstLine="8"/>
        <w:spacing w:after="0" w:line="222" w:lineRule="auto"/>
        <w:tabs>
          <w:tab w:leader="none" w:pos="142"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 xml:space="preserve">Excludes merger-related and other charges that includes termination of our funded pension plan in the third quarter of 2019, executive retirement charges in the second quarter of 2019 and amortization of certain executive change of control benefits. </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Net income divided by average realized common equity, which excludes accumulated other comprehensive income (loss). </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16"/>
          <w:szCs w:val="16"/>
          <w:color w:val="auto"/>
          <w:vertAlign w:val="superscript"/>
        </w:rPr>
        <w:t>(4)</w:t>
      </w:r>
      <w:r>
        <w:rPr>
          <w:rFonts w:ascii="Arial" w:cs="Arial" w:eastAsia="Arial" w:hAnsi="Arial"/>
          <w:sz w:val="13"/>
          <w:szCs w:val="13"/>
          <w:color w:val="auto"/>
        </w:rPr>
        <w:t xml:space="preserve"> Annualized.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UNITED COMMUNITY BANKS, INC.</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00" w:type="dxa"/>
            <w:vAlign w:val="bottom"/>
            <w:gridSpan w:val="5"/>
          </w:tcPr>
          <w:p>
            <w:pPr>
              <w:ind w:left="20"/>
              <w:spacing w:after="0"/>
              <w:rPr>
                <w:sz w:val="20"/>
                <w:szCs w:val="20"/>
                <w:color w:val="auto"/>
              </w:rPr>
            </w:pPr>
            <w:r>
              <w:rPr>
                <w:rFonts w:ascii="Arial" w:cs="Arial" w:eastAsia="Arial" w:hAnsi="Arial"/>
                <w:sz w:val="14"/>
                <w:szCs w:val="14"/>
                <w:b w:val="1"/>
                <w:bCs w:val="1"/>
                <w:color w:val="auto"/>
              </w:rPr>
              <w:t>Table 1 (Continued) - Non-GAAP Performance Measures Reconciliation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Selected Financial Information</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4"/>
          </w:tcPr>
          <w:p>
            <w:pPr>
              <w:jc w:val="right"/>
              <w:ind w:right="128"/>
              <w:spacing w:after="0" w:line="135" w:lineRule="exact"/>
              <w:rPr>
                <w:sz w:val="20"/>
                <w:szCs w:val="20"/>
                <w:color w:val="auto"/>
              </w:rPr>
            </w:pPr>
            <w:r>
              <w:rPr>
                <w:rFonts w:ascii="Arial" w:cs="Arial" w:eastAsia="Arial" w:hAnsi="Arial"/>
                <w:sz w:val="14"/>
                <w:szCs w:val="14"/>
                <w:b w:val="1"/>
                <w:bCs w:val="1"/>
                <w:color w:val="auto"/>
                <w:w w:val="96"/>
              </w:rPr>
              <w:t>For the Nine Months Ended</w:t>
            </w:r>
          </w:p>
        </w:tc>
        <w:tc>
          <w:tcPr>
            <w:tcW w:w="0" w:type="dxa"/>
            <w:vAlign w:val="bottom"/>
          </w:tcPr>
          <w:p>
            <w:pPr>
              <w:spacing w:after="0"/>
              <w:rPr>
                <w:sz w:val="1"/>
                <w:szCs w:val="1"/>
                <w:color w:val="auto"/>
              </w:rPr>
            </w:pPr>
          </w:p>
        </w:tc>
      </w:tr>
      <w:tr>
        <w:trPr>
          <w:trHeight w:val="188"/>
        </w:trPr>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0"/>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Second</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Fourth</w:t>
            </w: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4"/>
                <w:szCs w:val="14"/>
                <w:color w:val="auto"/>
              </w:rPr>
            </w:pPr>
          </w:p>
        </w:tc>
        <w:tc>
          <w:tcPr>
            <w:tcW w:w="8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8"/>
        </w:trPr>
        <w:tc>
          <w:tcPr>
            <w:tcW w:w="394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Quarter</w:t>
            </w:r>
          </w:p>
        </w:tc>
        <w:tc>
          <w:tcPr>
            <w:tcW w:w="10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Expense reconciliation</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Expenses (GAAP)</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95,981</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83,980</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81,538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81,424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82,924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261,499</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240,821</w:t>
            </w: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(3,361)</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(2,605)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Expenses - operating</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92,620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83,583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80,730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81,498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80,319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256,933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233,390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reconciliation</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(GAAP)</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25,096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31,884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49,012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48,362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104,587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136,709</w:t>
            </w:r>
          </w:p>
        </w:tc>
        <w:tc>
          <w:tcPr>
            <w:tcW w:w="0" w:type="dxa"/>
            <w:vAlign w:val="bottom"/>
          </w:tcPr>
          <w:p>
            <w:pPr>
              <w:spacing w:after="0"/>
              <w:rPr>
                <w:sz w:val="1"/>
                <w:szCs w:val="1"/>
                <w:color w:val="auto"/>
              </w:rPr>
            </w:pPr>
          </w:p>
        </w:tc>
      </w:t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3,361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2,605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7,431</w:t>
            </w: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benefit of merger-related and other charges</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Net income - operating</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50,449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25,406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32,510</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48,955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50,367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108,365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142,428</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income per common share (GAAP)</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0.32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0.61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0.60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tcPr>
          <w:p>
            <w:pPr>
              <w:spacing w:after="0"/>
              <w:rPr>
                <w:sz w:val="16"/>
                <w:szCs w:val="16"/>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11"/>
        </w:trPr>
        <w:tc>
          <w:tcPr>
            <w:tcW w:w="394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Diluted income per common share - operating</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Book value per common share reconciliation</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Book value per common share (GAAP)</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21.22</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20.80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20.53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(4.28)</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(4.36)</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86"/>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Tangible book value per common share</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16.52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16.28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15.90</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gridSpan w:val="2"/>
          </w:tcPr>
          <w:p>
            <w:pPr>
              <w:ind w:left="2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Return on common equity (GAAP)</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6.17 %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7.85 %</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12.07 %</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8.11 %</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11.83 %</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0.49</w:t>
            </w:r>
          </w:p>
        </w:tc>
        <w:tc>
          <w:tcPr>
            <w:tcW w:w="0" w:type="dxa"/>
            <w:vAlign w:val="bottom"/>
          </w:tcPr>
          <w:p>
            <w:pPr>
              <w:spacing w:after="0"/>
              <w:rPr>
                <w:sz w:val="1"/>
                <w:szCs w:val="1"/>
                <w:color w:val="auto"/>
              </w:rPr>
            </w:pPr>
          </w:p>
        </w:tc>
      </w:tr>
      <w:tr>
        <w:trPr>
          <w:trHeight w:val="186"/>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Return on common equity - operating</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12.06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186"/>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211"/>
        </w:trPr>
        <w:tc>
          <w:tcPr>
            <w:tcW w:w="39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Return on tangible common equity - operating</w:t>
            </w:r>
          </w:p>
        </w:tc>
        <w:tc>
          <w:tcPr>
            <w:tcW w:w="2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8.09 %</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10.57 %</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15.49 %</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16.38 %</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10.76 %</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15.92 %</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Return on assets reconciliation</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Return on assets (GAAP)</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1.07 %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0.71 %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0.99 %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0.93 %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r>
        <w:trPr>
          <w:trHeight w:val="19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Merger-related and other charges, net of tax</w:t>
            </w: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3"/>
        </w:trPr>
        <w:tc>
          <w:tcPr>
            <w:tcW w:w="3940" w:type="dxa"/>
            <w:vAlign w:val="bottom"/>
            <w:gridSpan w:val="2"/>
          </w:tcPr>
          <w:p>
            <w:pPr>
              <w:ind w:left="120"/>
              <w:spacing w:after="0"/>
              <w:rPr>
                <w:sz w:val="20"/>
                <w:szCs w:val="20"/>
                <w:color w:val="auto"/>
              </w:rPr>
            </w:pPr>
            <w:r>
              <w:rPr>
                <w:rFonts w:ascii="Arial" w:cs="Arial" w:eastAsia="Arial" w:hAnsi="Arial"/>
                <w:sz w:val="14"/>
                <w:szCs w:val="14"/>
                <w:color w:val="auto"/>
              </w:rPr>
              <w:t>Return on assets - operating</w:t>
            </w: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0.72 %</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1.01 %</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1.58 %</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0.97 %</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1.51 %</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Dividend payout ratio reconciliation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payout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 net of tax</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Dividend payout ratio - operating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ind w:left="440"/>
              <w:spacing w:after="0"/>
              <w:rPr>
                <w:sz w:val="20"/>
                <w:szCs w:val="20"/>
                <w:color w:val="auto"/>
              </w:rPr>
            </w:pPr>
            <w:r>
              <w:rPr>
                <w:rFonts w:ascii="Arial" w:cs="Arial" w:eastAsia="Arial" w:hAnsi="Arial"/>
                <w:sz w:val="14"/>
                <w:szCs w:val="14"/>
                <w:color w:val="auto"/>
                <w:w w:val="97"/>
              </w:rPr>
              <w:t>34.62 %</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56.25 %</w:t>
            </w:r>
          </w:p>
        </w:tc>
        <w:tc>
          <w:tcPr>
            <w:tcW w:w="1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w w:val="93"/>
              </w:rPr>
              <w:t>45.00 %</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29.51 %</w:t>
            </w:r>
          </w:p>
        </w:tc>
        <w:tc>
          <w:tcPr>
            <w:tcW w:w="1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w w:val="93"/>
              </w:rPr>
              <w:t>28.33 %</w:t>
            </w: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w w:val="93"/>
              </w:rPr>
              <w:t>43.20 %</w:t>
            </w: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w w:val="93"/>
              </w:rPr>
              <w:t>29.41 %</w:t>
            </w:r>
          </w:p>
        </w:tc>
      </w:tr>
      <w:tr>
        <w:trPr>
          <w:trHeight w:val="195"/>
        </w:trPr>
        <w:tc>
          <w:tcPr>
            <w:tcW w:w="960" w:type="dxa"/>
            <w:vAlign w:val="bottom"/>
          </w:tcPr>
          <w:p>
            <w:pPr>
              <w:ind w:left="46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ind w:left="440"/>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6"/>
                <w:szCs w:val="16"/>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rPr>
              <w:t>(1.16)</w:t>
            </w:r>
          </w:p>
        </w:tc>
      </w:tr>
      <w:tr>
        <w:trPr>
          <w:trHeight w:val="185"/>
        </w:trPr>
        <w:tc>
          <w:tcPr>
            <w:tcW w:w="9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4"/>
                <w:szCs w:val="14"/>
                <w:color w:val="auto"/>
                <w:w w:val="97"/>
              </w:rPr>
              <w:t>32.73 %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56.25 %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3"/>
              </w:rPr>
              <w:t>43.90 %</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29.51 %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w w:val="93"/>
              </w:rPr>
              <w:t>26.98 %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w w:val="93"/>
              </w:rPr>
              <w:t>41.86 %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w w:val="93"/>
              </w:rPr>
              <w:t>28.25 %</w:t>
            </w:r>
          </w:p>
        </w:tc>
      </w:tr>
      <w:tr>
        <w:trPr>
          <w:trHeight w:val="24"/>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-402590</wp:posOffset>
            </wp:positionV>
            <wp:extent cx="713232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-162560</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3220" w:space="720"/>
            <w:col w:w="7300"/>
          </w:cols>
          <w:pgMar w:left="320" w:top="819" w:right="3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Efficiency ratio reconciliation</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Efficiency ratio (GAAP)</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2"/>
          <w:szCs w:val="12"/>
          <w:color w:val="auto"/>
        </w:rPr>
        <w:t>Merger-related and other charges</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Efficiency ratio - operating</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ind w:left="440"/>
              <w:spacing w:after="0"/>
              <w:rPr>
                <w:sz w:val="20"/>
                <w:szCs w:val="20"/>
                <w:color w:val="auto"/>
              </w:rPr>
            </w:pPr>
            <w:r>
              <w:rPr>
                <w:rFonts w:ascii="Arial" w:cs="Arial" w:eastAsia="Arial" w:hAnsi="Arial"/>
                <w:sz w:val="14"/>
                <w:szCs w:val="14"/>
                <w:color w:val="auto"/>
                <w:w w:val="97"/>
              </w:rPr>
              <w:t>54.14 %</w:t>
            </w:r>
          </w:p>
        </w:tc>
        <w:tc>
          <w:tcPr>
            <w:tcW w:w="1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w w:val="93"/>
              </w:rPr>
              <w:t>55.86 %</w:t>
            </w:r>
          </w:p>
        </w:tc>
        <w:tc>
          <w:tcPr>
            <w:tcW w:w="1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w w:val="93"/>
              </w:rPr>
              <w:t>56.15 %</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54.87 %</w:t>
            </w:r>
          </w:p>
        </w:tc>
        <w:tc>
          <w:tcPr>
            <w:tcW w:w="100" w:type="dxa"/>
            <w:vAlign w:val="bottom"/>
          </w:tcPr>
          <w:p>
            <w:pPr>
              <w:spacing w:after="0"/>
              <w:rPr>
                <w:sz w:val="15"/>
                <w:szCs w:val="15"/>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w w:val="93"/>
              </w:rPr>
              <w:t>55.64 %</w:t>
            </w: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w w:val="93"/>
              </w:rPr>
              <w:t>55.30 %</w:t>
            </w:r>
          </w:p>
        </w:tc>
        <w:tc>
          <w:tcPr>
            <w:tcW w:w="100" w:type="dxa"/>
            <w:vAlign w:val="bottom"/>
          </w:tcPr>
          <w:p>
            <w:pPr>
              <w:spacing w:after="0"/>
              <w:rPr>
                <w:sz w:val="15"/>
                <w:szCs w:val="15"/>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w w:val="93"/>
              </w:rPr>
              <w:t>56.09 %</w:t>
            </w:r>
          </w:p>
        </w:tc>
      </w:tr>
      <w:tr>
        <w:trPr>
          <w:trHeight w:val="195"/>
        </w:trPr>
        <w:tc>
          <w:tcPr>
            <w:tcW w:w="96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(0.27)</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rPr>
              <w:t>(1.73)</w:t>
            </w:r>
          </w:p>
        </w:tc>
      </w:tr>
      <w:tr>
        <w:trPr>
          <w:trHeight w:val="185"/>
        </w:trPr>
        <w:tc>
          <w:tcPr>
            <w:tcW w:w="96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w w:val="97"/>
              </w:rPr>
              <w:t>52.24 %</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3"/>
              </w:rPr>
              <w:t>55.59 %</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3"/>
              </w:rPr>
              <w:t>55.59 %</w:t>
            </w: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54.92 %</w:t>
            </w:r>
          </w:p>
        </w:tc>
        <w:tc>
          <w:tcPr>
            <w:tcW w:w="100" w:type="dxa"/>
            <w:vAlign w:val="bottom"/>
          </w:tcPr>
          <w:p>
            <w:pPr>
              <w:spacing w:after="0"/>
              <w:rPr>
                <w:sz w:val="16"/>
                <w:szCs w:val="16"/>
                <w:color w:val="auto"/>
              </w:rPr>
            </w:pPr>
          </w:p>
        </w:tc>
        <w:tc>
          <w:tcPr>
            <w:tcW w:w="92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w w:val="93"/>
              </w:rPr>
              <w:t>53.90 %</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3"/>
              </w:rPr>
              <w:t>54.34 %</w:t>
            </w:r>
          </w:p>
        </w:tc>
        <w:tc>
          <w:tcPr>
            <w:tcW w:w="100" w:type="dxa"/>
            <w:vAlign w:val="bottom"/>
          </w:tcPr>
          <w:p>
            <w:pPr>
              <w:spacing w:after="0"/>
              <w:rPr>
                <w:sz w:val="16"/>
                <w:szCs w:val="16"/>
                <w:color w:val="auto"/>
              </w:rPr>
            </w:pPr>
          </w:p>
        </w:tc>
        <w:tc>
          <w:tcPr>
            <w:tcW w:w="102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3"/>
              </w:rPr>
              <w:t>54.36 %</w:t>
            </w:r>
          </w:p>
        </w:tc>
      </w:tr>
      <w:tr>
        <w:trPr>
          <w:trHeight w:val="24"/>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-521970</wp:posOffset>
            </wp:positionV>
            <wp:extent cx="713232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-281940</wp:posOffset>
            </wp:positionV>
            <wp:extent cx="713232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220" w:space="720"/>
            <w:col w:w="7300"/>
          </w:cols>
          <w:pgMar w:left="320" w:top="819"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39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8"/>
        </w:trPr>
        <w:tc>
          <w:tcPr>
            <w:tcW w:w="3940" w:type="dxa"/>
            <w:vAlign w:val="bottom"/>
          </w:tcPr>
          <w:p>
            <w:pPr>
              <w:ind w:left="20"/>
              <w:spacing w:after="0"/>
              <w:rPr>
                <w:sz w:val="20"/>
                <w:szCs w:val="20"/>
                <w:color w:val="auto"/>
              </w:rPr>
            </w:pPr>
            <w:r>
              <w:rPr>
                <w:rFonts w:ascii="Arial" w:cs="Arial" w:eastAsia="Arial" w:hAnsi="Arial"/>
                <w:sz w:val="14"/>
                <w:szCs w:val="14"/>
                <w:b w:val="1"/>
                <w:bCs w:val="1"/>
                <w:color w:val="auto"/>
              </w:rPr>
              <w:t>Tangible common equity to tangible assets reconciliation</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0"/>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to total assets (GAAP)</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w w:val="93"/>
              </w:rPr>
              <w:t>11.47 %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w w:val="93"/>
              </w:rPr>
              <w:t>11.81 %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12.54 %</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12.66 %</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12.53 %</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3"/>
              </w:rPr>
              <w:t>11.47 %</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12.53 %</w:t>
            </w:r>
          </w:p>
        </w:tc>
      </w:tr>
      <w:tr>
        <w:trPr>
          <w:trHeight w:val="186"/>
        </w:trPr>
        <w:tc>
          <w:tcPr>
            <w:tcW w:w="3940" w:type="dxa"/>
            <w:vAlign w:val="bottom"/>
          </w:tcPr>
          <w:p>
            <w:pPr>
              <w:ind w:left="20"/>
              <w:spacing w:after="0"/>
              <w:rPr>
                <w:sz w:val="20"/>
                <w:szCs w:val="20"/>
                <w:color w:val="auto"/>
              </w:rPr>
            </w:pPr>
            <w:r>
              <w:rPr>
                <w:rFonts w:ascii="Arial" w:cs="Arial" w:eastAsia="Arial" w:hAnsi="Arial"/>
                <w:sz w:val="14"/>
                <w:szCs w:val="14"/>
                <w:color w:val="auto"/>
              </w:rPr>
              <w:t>Effect of goodwill and other intangibles</w:t>
            </w:r>
          </w:p>
        </w:tc>
        <w:tc>
          <w:tcPr>
            <w:tcW w:w="960" w:type="dxa"/>
            <w:vAlign w:val="bottom"/>
          </w:tcPr>
          <w:p>
            <w:pPr>
              <w:ind w:left="46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920" w:type="dxa"/>
            <w:vAlign w:val="bottom"/>
          </w:tcPr>
          <w:p>
            <w:pPr>
              <w:ind w:left="420"/>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6"/>
                <w:szCs w:val="16"/>
                <w:color w:val="auto"/>
              </w:rPr>
            </w:pPr>
          </w:p>
        </w:tc>
        <w:tc>
          <w:tcPr>
            <w:tcW w:w="1020" w:type="dxa"/>
            <w:vAlign w:val="bottom"/>
          </w:tcPr>
          <w:p>
            <w:pPr>
              <w:ind w:left="520"/>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(2.37)</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preferred equity</w:t>
            </w:r>
          </w:p>
        </w:tc>
        <w:tc>
          <w:tcPr>
            <w:tcW w:w="9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(0.64)</w:t>
            </w: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r>
      <w:tr>
        <w:trPr>
          <w:trHeight w:val="186"/>
        </w:trPr>
        <w:tc>
          <w:tcPr>
            <w:tcW w:w="3940" w:type="dxa"/>
            <w:vAlign w:val="bottom"/>
          </w:tcPr>
          <w:p>
            <w:pPr>
              <w:ind w:left="120"/>
              <w:spacing w:after="0"/>
              <w:rPr>
                <w:sz w:val="20"/>
                <w:szCs w:val="20"/>
                <w:color w:val="auto"/>
              </w:rPr>
            </w:pPr>
            <w:r>
              <w:rPr>
                <w:rFonts w:ascii="Arial" w:cs="Arial" w:eastAsia="Arial" w:hAnsi="Arial"/>
                <w:sz w:val="14"/>
                <w:szCs w:val="14"/>
                <w:color w:val="auto"/>
              </w:rPr>
              <w:t>Tangible common equity to tangible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9.12 %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10.22 %</w:t>
            </w:r>
          </w:p>
        </w:tc>
        <w:tc>
          <w:tcPr>
            <w:tcW w:w="1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10.32 %</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8.89 %</w:t>
            </w:r>
          </w:p>
        </w:tc>
        <w:tc>
          <w:tcPr>
            <w:tcW w:w="10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10.16 %</w:t>
            </w:r>
          </w:p>
        </w:tc>
      </w:tr>
      <w:tr>
        <w:trPr>
          <w:trHeight w:val="20"/>
        </w:trPr>
        <w:tc>
          <w:tcPr>
            <w:tcW w:w="3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Net Interest Revenue</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for the third quarters of 2020 and 2019 was $128 million and $119 million, respectively. As set forth in the following tables, fully taxable equivalent net interest revenue for the third quarter of 2020 was $129 million, representing an increase of $9.37 million, or 8%, from the same period in 2019. The net interest spread and net interest margin for the third quarter of 2020 of 3.06% and 3.27%, respectively, decreased 66 basis points and 85 basis points, respectively, from the third quarter of 2019. For the first nine months of 2020 and 2019, net interest revenue was $356 million and $353 million, respectively. Fully taxable equivalent net interest revenue for the first nine months of 2020 was $359 million, an increase of $4.14 million, or 1%, from the first nine months of 2019.</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also indicate the relationship between interest revenue and expense and the average amounts of assets and liabilities for the periods indicated. As shown in the tables, both average assets and average liabilities for the three and nine months ended September 30, 2020 increased compared to the same periods of 2019. For the third quarter of 2020, the increase in average assets was primarily driven by the increase in average loans of $2.81 billion, or 32%, from the third quarter of 2019, which reflects the PPP loans originated during the second quarter of 2020, the acquisition of Seaside, and organic growth, the combination of which more than offset the impact of the sale of the indirect auto portfolio on December 31, 2019. The increase in average assets for the three months ended September 30, 2020 from the same period of 2019 was funded primarily through an increase in average interest-bearing and noninterest-bearing customer deposits, including deposits received through the acquisition of Seaside.</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decrease in the net interest margin during the three and nine months ended September 30, 2020, was primarily attributable to the impact of falling interest rates on our asset sensitive balance sheet as loan yields fell faster than we could lower deposit rates. In March of 2020, the Federal Reserve’s Federal Open Market Committee (“FOMC”) lowered interest rates twice for a total reduction of 150 basis points in response to the COVID-19 pandemic, which was the most aggressive action taken by the FOMC since the financial crisis in 2008. This followed three other federal funds rate reductions since second quarter 2019 of 25 basis points each on July 31, September 18 and October 30. Although the earning asset mix generally improved as growth in the loan portfolio exceeded growth in the lower-yielding investment portfolio, lower-yielding PPP loans and cash balances exerted downward pressure on the margin. The negative impact of falling interest rates and the introduction of lower-yielding PPP loans and higher cash balances was partially mitigated by a more favorable funding mix. In the third quarter and first nine months of 2020, noninterest-bearing deposits funded 33% and 32%, respectively, of our interest-earning assets compared with 30% and 29%, respectively, for the same periods of 2019. Since the first quarter of 2019, we have reduced our use of wholesale funding sources, with the majority of our balance sheet funded with customer deposits as of September 30, 2020.</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11,644,202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126,342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4.32 %</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8,835,585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122,526</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5.50 %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2.03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2,379,927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16,626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249,959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2,544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170,027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1,321,445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182,935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15,715,255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142,681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3.61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11,568,474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141,270</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credit losses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135,949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116,922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Premises and equipment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216,326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1,074,529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836,951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17,013,478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12,680,803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2,890,735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0.22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2,123,910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0.60</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3,501,781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2,277,162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0.89</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864,849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695,297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1,933,764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1,879,801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8,053</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96,198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102,078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9,287,327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0.39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7,078,248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17,113</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6"/>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73,733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88,261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327,017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4,292</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5.22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334,240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405,929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9,621,567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7,484,177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21,277</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99"/>
        </w:trPr>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Noninterest-bearing deposits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3,453,174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270,451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155,107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15,065,017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11,092,458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1,948,461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1,588,345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17,013,478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12,680,803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129,362</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119,993</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3.06 %</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3.72 %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3.27 %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4.12 %</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100" w:hanging="332"/>
        <w:spacing w:after="0" w:line="212" w:lineRule="auto"/>
        <w:tabs>
          <w:tab w:leader="none" w:pos="32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20" w:hanging="312"/>
        <w:spacing w:after="0" w:line="187" w:lineRule="auto"/>
        <w:tabs>
          <w:tab w:leader="none" w:pos="3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ind w:left="340" w:right="320" w:hanging="332"/>
        <w:spacing w:after="0" w:line="204" w:lineRule="auto"/>
        <w:tabs>
          <w:tab w:leader="none" w:pos="32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Securities available-for-sale are shown at amortized cost. Pretax unrealized gains of $77.0 million in 2020 and unrealized gains of $35.1 million in 2019 are included in other assets for purposes of this presentation.</w:t>
      </w:r>
    </w:p>
    <w:p>
      <w:pPr>
        <w:spacing w:after="0" w:line="1" w:lineRule="exact"/>
        <w:rPr>
          <w:rFonts w:ascii="Arial" w:cs="Arial" w:eastAsia="Arial" w:hAnsi="Arial"/>
          <w:sz w:val="19"/>
          <w:szCs w:val="19"/>
          <w:color w:val="auto"/>
          <w:vertAlign w:val="superscript"/>
        </w:rPr>
      </w:pPr>
    </w:p>
    <w:p>
      <w:pPr>
        <w:ind w:left="320" w:hanging="312"/>
        <w:spacing w:after="0" w:line="186" w:lineRule="auto"/>
        <w:tabs>
          <w:tab w:leader="none" w:pos="32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200"/>
          </w:cols>
          <w:pgMar w:left="320" w:top="106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54" w:name="page55"/>
    <w:bookmarkEnd w:id="54"/>
    <w:p>
      <w:pPr>
        <w:ind w:left="12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28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00" w:type="dxa"/>
            <w:vAlign w:val="bottom"/>
            <w:vMerge w:val="restart"/>
          </w:tcPr>
          <w:p>
            <w:pPr>
              <w:ind w:left="40"/>
              <w:spacing w:after="0"/>
              <w:rPr>
                <w:sz w:val="20"/>
                <w:szCs w:val="20"/>
                <w:color w:val="auto"/>
              </w:rPr>
            </w:pPr>
            <w:r>
              <w:rPr>
                <w:rFonts w:ascii="Arial" w:cs="Arial" w:eastAsia="Arial" w:hAnsi="Arial"/>
                <w:sz w:val="16"/>
                <w:szCs w:val="16"/>
                <w:b w:val="1"/>
                <w:bCs w:val="1"/>
                <w:color w:val="auto"/>
                <w:w w:val="91"/>
              </w:rPr>
              <w:t>Average Rate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3"/>
                <w:szCs w:val="13"/>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Interest</w:t>
            </w:r>
          </w:p>
        </w:tc>
        <w:tc>
          <w:tcPr>
            <w:tcW w:w="106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5"/>
              </w:rPr>
              <w:t>Average Rate</w:t>
            </w:r>
          </w:p>
        </w:tc>
        <w:tc>
          <w:tcPr>
            <w:tcW w:w="0" w:type="dxa"/>
            <w:vAlign w:val="bottom"/>
          </w:tcPr>
          <w:p>
            <w:pPr>
              <w:spacing w:after="0"/>
              <w:rPr>
                <w:sz w:val="1"/>
                <w:szCs w:val="1"/>
                <w:color w:val="auto"/>
              </w:rPr>
            </w:pPr>
          </w:p>
        </w:tc>
      </w:tr>
      <w:tr>
        <w:trPr>
          <w:trHeight w:val="213"/>
        </w:trPr>
        <w:tc>
          <w:tcPr>
            <w:tcW w:w="42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10,087,630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351,536</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w w:val="92"/>
              </w:rPr>
              <w:t>4.65 %</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8,646,622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357,541</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w w:val="96"/>
              </w:rPr>
              <w:t>5.53 %</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2,362,674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42,579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2,532,070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54,229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6"/>
        </w:trPr>
        <w:tc>
          <w:tcPr>
            <w:tcW w:w="428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197,231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6,699</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168,787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4,579</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850,722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0.57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186,402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07"/>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13,498,257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404,435</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11,533,881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418,262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Allowance for loan losses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134,354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121,889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Premises and equipment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gridSpan w:val="2"/>
          </w:tcPr>
          <w:p>
            <w:pPr>
              <w:ind w:left="140"/>
              <w:spacing w:after="0" w:line="216" w:lineRule="exact"/>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964,511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785,862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14,718,438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12,599,840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2,583,911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0.32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2,199,607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0.63</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Money market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2,797,350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2,187,822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0.86</w:t>
            </w:r>
          </w:p>
        </w:tc>
        <w:tc>
          <w:tcPr>
            <w:tcW w:w="0" w:type="dxa"/>
            <w:vAlign w:val="bottom"/>
          </w:tcPr>
          <w:p>
            <w:pPr>
              <w:spacing w:after="0"/>
              <w:rPr>
                <w:sz w:val="1"/>
                <w:szCs w:val="1"/>
                <w:color w:val="auto"/>
              </w:rPr>
            </w:pPr>
          </w:p>
        </w:tc>
      </w:tr>
      <w:tr>
        <w:trPr>
          <w:trHeight w:val="213"/>
        </w:trPr>
        <w:tc>
          <w:tcPr>
            <w:tcW w:w="4280" w:type="dxa"/>
            <w:vAlign w:val="bottom"/>
            <w:gridSpan w:val="2"/>
          </w:tcPr>
          <w:p>
            <w:pPr>
              <w:ind w:left="22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788,681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685,167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Time</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1,860,597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1,761,374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20,338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Brokered time deposits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102,502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0.75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292,835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5,349</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8,133,041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35,344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7,126,805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50,185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06"/>
        </w:trPr>
        <w:tc>
          <w:tcPr>
            <w:tcW w:w="4280" w:type="dxa"/>
            <w:vAlign w:val="bottom"/>
            <w:gridSpan w:val="2"/>
          </w:tcPr>
          <w:p>
            <w:pPr>
              <w:ind w:left="12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000" w:type="dxa"/>
            <w:vAlign w:val="bottom"/>
          </w:tcPr>
          <w:p>
            <w:pPr>
              <w:ind w:left="520"/>
              <w:spacing w:after="0"/>
              <w:rPr>
                <w:sz w:val="20"/>
                <w:szCs w:val="20"/>
                <w:color w:val="auto"/>
              </w:rPr>
            </w:pPr>
            <w:r>
              <w:rPr>
                <w:rFonts w:ascii="Arial" w:cs="Arial" w:eastAsia="Arial" w:hAnsi="Arial"/>
                <w:sz w:val="16"/>
                <w:szCs w:val="16"/>
                <w:color w:val="auto"/>
              </w:rPr>
              <w:t>0.25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44,898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7"/>
                <w:szCs w:val="17"/>
                <w:color w:val="auto"/>
              </w:rPr>
            </w:pPr>
          </w:p>
        </w:tc>
        <w:tc>
          <w:tcPr>
            <w:tcW w:w="1060" w:type="dxa"/>
            <w:vAlign w:val="bottom"/>
          </w:tcPr>
          <w:p>
            <w:pPr>
              <w:ind w:left="5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256,218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10,186</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252,686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9,813</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258,830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520"/>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440,460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13,346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06"/>
        </w:trPr>
        <w:tc>
          <w:tcPr>
            <w:tcW w:w="42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8,391,871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45,561</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0.73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7,567,265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63,531</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9"/>
        </w:trPr>
        <w:tc>
          <w:tcPr>
            <w:tcW w:w="4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80" w:type="dxa"/>
            <w:vAlign w:val="bottom"/>
            <w:gridSpan w:val="2"/>
          </w:tcPr>
          <w:p>
            <w:pPr>
              <w:ind w:left="2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Noninterest-bearing deposits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4,356,484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3,335,450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206,904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12,955,259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11,067,065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1,763,179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1,532,775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2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14,718,438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12,599,840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358,874</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354,731</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6"/>
                <w:szCs w:val="16"/>
                <w:color w:val="auto"/>
              </w:rPr>
              <w:t>Net interest-rate spread (FTE)</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CCEEFF"/>
            </w:tcBorders>
            <w:vMerge w:val="restart"/>
          </w:tcPr>
          <w:p>
            <w:pPr>
              <w:ind w:left="520"/>
              <w:spacing w:after="0"/>
              <w:rPr>
                <w:sz w:val="20"/>
                <w:szCs w:val="20"/>
                <w:color w:val="auto"/>
              </w:rPr>
            </w:pPr>
            <w:r>
              <w:rPr>
                <w:rFonts w:ascii="Arial" w:cs="Arial" w:eastAsia="Arial" w:hAnsi="Arial"/>
                <w:sz w:val="16"/>
                <w:szCs w:val="16"/>
                <w:color w:val="auto"/>
                <w:w w:val="92"/>
              </w:rPr>
              <w:t>3.27 %</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ind w:left="560"/>
              <w:spacing w:after="0"/>
              <w:rPr>
                <w:sz w:val="20"/>
                <w:szCs w:val="20"/>
                <w:color w:val="auto"/>
              </w:rPr>
            </w:pPr>
            <w:r>
              <w:rPr>
                <w:rFonts w:ascii="Arial" w:cs="Arial" w:eastAsia="Arial" w:hAnsi="Arial"/>
                <w:sz w:val="16"/>
                <w:szCs w:val="16"/>
                <w:color w:val="auto"/>
                <w:w w:val="96"/>
              </w:rPr>
              <w:t>3.73 %</w:t>
            </w:r>
          </w:p>
        </w:tc>
        <w:tc>
          <w:tcPr>
            <w:tcW w:w="0" w:type="dxa"/>
            <w:vAlign w:val="bottom"/>
          </w:tcPr>
          <w:p>
            <w:pPr>
              <w:spacing w:after="0" w:line="20" w:lineRule="exact"/>
              <w:rPr>
                <w:sz w:val="1"/>
                <w:szCs w:val="1"/>
                <w:color w:val="auto"/>
              </w:rPr>
            </w:pPr>
          </w:p>
        </w:tc>
      </w:tr>
      <w:tr>
        <w:trPr>
          <w:trHeight w:val="163"/>
        </w:trPr>
        <w:tc>
          <w:tcPr>
            <w:tcW w:w="4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2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3.55 %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92"/>
              </w:rPr>
              <w:t>4.11 %</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80" w:right="280" w:hanging="280"/>
        <w:spacing w:after="0" w:line="212" w:lineRule="auto"/>
        <w:tabs>
          <w:tab w:leader="none" w:pos="26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260" w:hanging="260"/>
        <w:spacing w:after="0" w:line="187"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ind w:left="280" w:right="500" w:hanging="280"/>
        <w:spacing w:after="0" w:line="204" w:lineRule="auto"/>
        <w:tabs>
          <w:tab w:leader="none" w:pos="26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Securities available-for-sale are shown at amortized cost. Pretax unrealized gains of $65.5 million in 2020 and unrealized gains of $4.94 million in 2019 are included in other assets for purposes of this presentation.</w:t>
      </w:r>
    </w:p>
    <w:p>
      <w:pPr>
        <w:spacing w:after="0" w:line="1" w:lineRule="exact"/>
        <w:rPr>
          <w:rFonts w:ascii="Arial" w:cs="Arial" w:eastAsia="Arial" w:hAnsi="Arial"/>
          <w:sz w:val="19"/>
          <w:szCs w:val="19"/>
          <w:color w:val="auto"/>
          <w:vertAlign w:val="superscript"/>
        </w:rPr>
      </w:pPr>
    </w:p>
    <w:p>
      <w:pPr>
        <w:ind w:left="260" w:hanging="260"/>
        <w:spacing w:after="0" w:line="186" w:lineRule="auto"/>
        <w:tabs>
          <w:tab w:leader="none" w:pos="26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320"/>
          </w:cols>
          <w:pgMar w:left="220" w:top="106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220" w:top="1066" w:right="359" w:bottom="1440" w:gutter="0" w:footer="0" w:header="0"/>
          <w:type w:val="continuous"/>
        </w:sectPr>
      </w:pPr>
    </w:p>
    <w:bookmarkStart w:id="55" w:name="page56"/>
    <w:bookmarkEnd w:id="55"/>
    <w:p>
      <w:pPr>
        <w:jc w:val="both"/>
        <w:spacing w:after="0" w:line="263"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15" w:lineRule="exact"/>
        <w:rPr>
          <w:sz w:val="20"/>
          <w:szCs w:val="20"/>
          <w:color w:val="auto"/>
        </w:rPr>
      </w:pPr>
    </w:p>
    <w:p>
      <w:pPr>
        <w:ind w:left="20" w:right="5000"/>
        <w:spacing w:after="0" w:line="297"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6"/>
                <w:szCs w:val="16"/>
                <w:b w:val="1"/>
                <w:bCs w:val="1"/>
                <w:color w:val="auto"/>
                <w:w w:val="91"/>
              </w:rPr>
              <w:t>Three Months Ended September 30, 2020</w:t>
            </w:r>
          </w:p>
        </w:tc>
        <w:tc>
          <w:tcPr>
            <w:tcW w:w="20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right"/>
              <w:ind w:right="279"/>
              <w:spacing w:after="0"/>
              <w:rPr>
                <w:sz w:val="20"/>
                <w:szCs w:val="20"/>
                <w:color w:val="auto"/>
              </w:rPr>
            </w:pPr>
            <w:r>
              <w:rPr>
                <w:rFonts w:ascii="Arial" w:cs="Arial" w:eastAsia="Arial" w:hAnsi="Arial"/>
                <w:sz w:val="16"/>
                <w:szCs w:val="16"/>
                <w:b w:val="1"/>
                <w:bCs w:val="1"/>
                <w:color w:val="auto"/>
                <w:w w:val="96"/>
              </w:rPr>
              <w:t>Nine Months Ended September 30, 2020</w:t>
            </w:r>
          </w:p>
        </w:tc>
      </w:tr>
      <w:tr>
        <w:trPr>
          <w:trHeight w:val="158"/>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180" w:type="dxa"/>
            <w:vAlign w:val="bottom"/>
            <w:gridSpan w:val="5"/>
          </w:tcPr>
          <w:p>
            <w:pPr>
              <w:jc w:val="center"/>
              <w:ind w:right="400"/>
              <w:spacing w:after="0" w:line="158" w:lineRule="exact"/>
              <w:rPr>
                <w:sz w:val="20"/>
                <w:szCs w:val="20"/>
                <w:color w:val="auto"/>
              </w:rPr>
            </w:pPr>
            <w:r>
              <w:rPr>
                <w:rFonts w:ascii="Arial" w:cs="Arial" w:eastAsia="Arial" w:hAnsi="Arial"/>
                <w:sz w:val="16"/>
                <w:szCs w:val="16"/>
                <w:b w:val="1"/>
                <w:bCs w:val="1"/>
                <w:color w:val="auto"/>
                <w:w w:val="90"/>
              </w:rPr>
              <w:t>Compared to 2019</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3"/>
        </w:trPr>
        <w:tc>
          <w:tcPr>
            <w:tcW w:w="4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9"/>
          </w:tcPr>
          <w:p>
            <w:pPr>
              <w:jc w:val="center"/>
              <w:ind w:left="519"/>
              <w:spacing w:after="0"/>
              <w:rPr>
                <w:sz w:val="20"/>
                <w:szCs w:val="20"/>
                <w:color w:val="auto"/>
              </w:rPr>
            </w:pPr>
            <w:r>
              <w:rPr>
                <w:rFonts w:ascii="Arial" w:cs="Arial" w:eastAsia="Arial" w:hAnsi="Arial"/>
                <w:sz w:val="16"/>
                <w:szCs w:val="16"/>
                <w:b w:val="1"/>
                <w:bCs w:val="1"/>
                <w:color w:val="auto"/>
                <w:w w:val="89"/>
              </w:rPr>
              <w:t>Increase (Decrease) Due to Changes in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07"/>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Rate</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7"/>
                <w:szCs w:val="17"/>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Volume</w:t>
            </w:r>
          </w:p>
        </w:tc>
        <w:tc>
          <w:tcPr>
            <w:tcW w:w="240" w:type="dxa"/>
            <w:vAlign w:val="bottom"/>
          </w:tcPr>
          <w:p>
            <w:pPr>
              <w:spacing w:after="0"/>
              <w:rPr>
                <w:sz w:val="17"/>
                <w:szCs w:val="17"/>
                <w:color w:val="auto"/>
              </w:rPr>
            </w:pPr>
          </w:p>
        </w:tc>
        <w:tc>
          <w:tcPr>
            <w:tcW w:w="960" w:type="dxa"/>
            <w:vAlign w:val="bottom"/>
            <w:gridSpan w:val="2"/>
          </w:tcPr>
          <w:p>
            <w:pPr>
              <w:ind w:left="140"/>
              <w:spacing w:after="0"/>
              <w:rPr>
                <w:sz w:val="20"/>
                <w:szCs w:val="20"/>
                <w:color w:val="auto"/>
              </w:rPr>
            </w:pPr>
            <w:r>
              <w:rPr>
                <w:rFonts w:ascii="Arial" w:cs="Arial" w:eastAsia="Arial" w:hAnsi="Arial"/>
                <w:sz w:val="16"/>
                <w:szCs w:val="16"/>
                <w:b w:val="1"/>
                <w:bCs w:val="1"/>
                <w:color w:val="auto"/>
              </w:rPr>
              <w:t>Rate</w:t>
            </w:r>
          </w:p>
        </w:tc>
        <w:tc>
          <w:tcPr>
            <w:tcW w:w="240" w:type="dxa"/>
            <w:vAlign w:val="bottom"/>
          </w:tcPr>
          <w:p>
            <w:pPr>
              <w:spacing w:after="0"/>
              <w:rPr>
                <w:sz w:val="17"/>
                <w:szCs w:val="17"/>
                <w:color w:val="auto"/>
              </w:rPr>
            </w:pPr>
          </w:p>
        </w:tc>
        <w:tc>
          <w:tcPr>
            <w:tcW w:w="840" w:type="dxa"/>
            <w:vAlign w:val="bottom"/>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9"/>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 (FTE)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(6,005)</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Taxable securities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(11,650)</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Tax-exempt securities (FTE)</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1,708</w:t>
            </w:r>
          </w:p>
        </w:tc>
      </w:tr>
      <w:tr>
        <w:trPr>
          <w:trHeight w:val="209"/>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55,548</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(69,375)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(13,827)</w:t>
            </w:r>
          </w:p>
        </w:tc>
      </w:tr>
      <w:tr>
        <w:trPr>
          <w:trHeight w:val="199"/>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NOW and interest-bearing demand accounts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(4,043)</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accounts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color w:val="auto"/>
              </w:rPr>
              <w:t>Savings deposits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Time deposits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Brokered deposits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(2,312)</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(4,770)</w:t>
            </w:r>
          </w:p>
        </w:tc>
      </w:tr>
      <w:tr>
        <w:trPr>
          <w:trHeight w:val="213"/>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(11,171)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(14,841)</w:t>
            </w:r>
          </w:p>
        </w:tc>
      </w:tr>
      <w:tr>
        <w:trPr>
          <w:trHeight w:val="206"/>
        </w:trPr>
        <w:tc>
          <w:tcPr>
            <w:tcW w:w="4120" w:type="dxa"/>
            <w:vAlign w:val="bottom"/>
          </w:tcPr>
          <w:p>
            <w:pPr>
              <w:ind w:left="20"/>
              <w:spacing w:after="0"/>
              <w:rPr>
                <w:sz w:val="20"/>
                <w:szCs w:val="20"/>
                <w:color w:val="auto"/>
              </w:rPr>
            </w:pPr>
            <w:r>
              <w:rPr>
                <w:rFonts w:ascii="Arial" w:cs="Arial" w:eastAsia="Arial" w:hAnsi="Arial"/>
                <w:sz w:val="16"/>
                <w:szCs w:val="16"/>
                <w:color w:val="auto"/>
              </w:rPr>
              <w:t>Federal funds purchased &amp; other borrowings</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Home Loan Bank advances</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w:t>
            </w:r>
          </w:p>
        </w:tc>
      </w:tr>
      <w:tr>
        <w:trPr>
          <w:trHeight w:val="213"/>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r>
      <w:tr>
        <w:trPr>
          <w:trHeight w:val="213"/>
        </w:trPr>
        <w:tc>
          <w:tcPr>
            <w:tcW w:w="41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(3,129)</w:t>
            </w:r>
          </w:p>
        </w:tc>
      </w:tr>
      <w:tr>
        <w:trPr>
          <w:trHeight w:val="207"/>
        </w:trPr>
        <w:tc>
          <w:tcPr>
            <w:tcW w:w="4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(11,192)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(17,785)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(17,970)</w:t>
            </w:r>
          </w:p>
        </w:tc>
      </w:tr>
      <w:tr>
        <w:trPr>
          <w:trHeight w:val="199"/>
        </w:trPr>
        <w:tc>
          <w:tcPr>
            <w:tcW w:w="4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16"/>
        </w:trPr>
        <w:tc>
          <w:tcPr>
            <w:tcW w:w="4120" w:type="dxa"/>
            <w:vAlign w:val="bottom"/>
          </w:tcPr>
          <w:p>
            <w:pPr>
              <w:ind w:left="340"/>
              <w:spacing w:after="0"/>
              <w:rPr>
                <w:sz w:val="20"/>
                <w:szCs w:val="20"/>
                <w:color w:val="auto"/>
              </w:rPr>
            </w:pPr>
            <w:r>
              <w:rPr>
                <w:rFonts w:ascii="Arial" w:cs="Arial" w:eastAsia="Arial" w:hAnsi="Arial"/>
                <w:sz w:val="16"/>
                <w:szCs w:val="16"/>
                <w:b w:val="1"/>
                <w:bCs w:val="1"/>
                <w:color w:val="auto"/>
              </w:rPr>
              <w:t>Increase in net interest revenue (FTE)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55,733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(51,590)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w:t>
            </w:r>
          </w:p>
        </w:tc>
      </w:tr>
      <w:tr>
        <w:trPr>
          <w:trHeight w:val="20"/>
        </w:trPr>
        <w:tc>
          <w:tcPr>
            <w:tcW w:w="4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January 1, 2020, the provision for credit losses was based on the then-applicable incurred loss model and represented an estimate of probable incurred losses in the loan portfolio and unfunded commitments at the end of each reporting period. Since the adoption of CECL on January 1, 2020, the provision for credit losses represents management’s estimate of life of loan credit losses in the loan portfolio and unfunded loan commitments. The allowance for unfunded commitments, which is included in other liabilities in the consolidated balance sheets, represents expected losses on unfunded loan commitments that are expected to result in outstanding loan balances. Management’s estimate of credit losses under CECL is determined using a complex model that relies on reasonable and supportable forecasts and historical loss information to determine the balance of the ACL and resulting provision for credit losses.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provision for credit losses was $21.8 million and $77.5 million, respectively, for the three and nine months ended September 30, 2020, compared to $3.10 million and $9.65 million, respectively, for the same periods in 2019. The amount of provision recorded in each period was the amount required such that the total ACL reflected the appropriate balance as determined under the applicable accounting standards in effect at each balance sheet date. The increase in provision expense for the three and nine months ended September 30, 2020 compared to the same periods of 2019 was primarily a result of higher expected credit losses mostly resulting from the adoption of CECL, the initial ACL recorded on Three Shores’ non-PCD loans and unfunded commitments of $9.78 million and $913,000, respectively, and the macroeconomic effects of the COVID-19 pandemic on our CECL calculation. Loan growth also contributed to the higher provision for credit losses.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2020, net loan charge-offs as an annualized percentage of average outstanding loans were 0.22% compared to 0.13% for the same period in 2019. The increase in charge-offs during the first nine months of 2020 was mostly attributable to a few large credits that had been deteriorating over the previous several quarters.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6" w:name="page57"/>
    <w:bookmarkEnd w:id="56"/>
    <w:p>
      <w:pPr>
        <w:jc w:val="both"/>
        <w:spacing w:after="0" w:line="277" w:lineRule="auto"/>
        <w:rPr>
          <w:sz w:val="20"/>
          <w:szCs w:val="20"/>
          <w:color w:val="auto"/>
        </w:rPr>
      </w:pPr>
      <w:r>
        <w:rPr>
          <w:rFonts w:ascii="Arial" w:cs="Arial" w:eastAsia="Arial" w:hAnsi="Arial"/>
          <w:sz w:val="18"/>
          <w:szCs w:val="18"/>
          <w:color w:val="auto"/>
        </w:rPr>
        <w:t>Additional discussion on credit quality and the ACL is included in the “Asset Quality and Risk Elements” section of Management’s Discussion and Analysis of Financial Condition and Results of Operations in this Quarterly Report on Form 10-Q.</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5 - Noninterest Income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Pr>
          <w:p>
            <w:pPr>
              <w:spacing w:after="0"/>
              <w:rPr>
                <w:sz w:val="16"/>
                <w:szCs w:val="16"/>
                <w:color w:val="auto"/>
              </w:rPr>
            </w:pPr>
          </w:p>
        </w:tc>
        <w:tc>
          <w:tcPr>
            <w:tcW w:w="110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85"/>
              </w:rPr>
              <w:t>Change</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2"/>
              </w:rPr>
              <w:t>Nine Months Ended</w:t>
            </w:r>
          </w:p>
        </w:tc>
        <w:tc>
          <w:tcPr>
            <w:tcW w:w="160" w:type="dxa"/>
            <w:vAlign w:val="bottom"/>
          </w:tcPr>
          <w:p>
            <w:pPr>
              <w:spacing w:after="0"/>
              <w:rPr>
                <w:sz w:val="16"/>
                <w:szCs w:val="16"/>
                <w:color w:val="auto"/>
              </w:rPr>
            </w:pPr>
          </w:p>
        </w:tc>
        <w:tc>
          <w:tcPr>
            <w:tcW w:w="1120" w:type="dxa"/>
            <w:vAlign w:val="bottom"/>
            <w:gridSpan w:val="3"/>
            <w:vMerge w:val="restart"/>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112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Percent</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7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5"/>
              </w:rPr>
              <w:t>Percent</w:t>
            </w:r>
          </w:p>
        </w:tc>
        <w:tc>
          <w:tcPr>
            <w:tcW w:w="0" w:type="dxa"/>
            <w:vAlign w:val="bottom"/>
          </w:tcPr>
          <w:p>
            <w:pPr>
              <w:spacing w:after="0"/>
              <w:rPr>
                <w:sz w:val="1"/>
                <w:szCs w:val="1"/>
                <w:color w:val="auto"/>
              </w:rPr>
            </w:pPr>
          </w:p>
        </w:tc>
      </w:tr>
      <w:tr>
        <w:trPr>
          <w:trHeight w:val="212"/>
        </w:trPr>
        <w:tc>
          <w:tcPr>
            <w:tcW w:w="2820" w:type="dxa"/>
            <w:vAlign w:val="bottom"/>
          </w:tcPr>
          <w:p>
            <w:pPr>
              <w:ind w:left="20"/>
              <w:spacing w:after="0"/>
              <w:rPr>
                <w:sz w:val="20"/>
                <w:szCs w:val="20"/>
                <w:color w:val="auto"/>
              </w:rPr>
            </w:pPr>
            <w:r>
              <w:rPr>
                <w:rFonts w:ascii="Arial" w:cs="Arial" w:eastAsia="Arial" w:hAnsi="Arial"/>
                <w:sz w:val="16"/>
                <w:szCs w:val="16"/>
                <w:color w:val="auto"/>
              </w:rPr>
              <w:t>Overdraft fees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3,800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10,728</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ATM and debit card fees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2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service charges and fees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2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service charges and fees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Mortgage loan gains and related fees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16,486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39,363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Brokerage and wealth management fees</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Gains on sales of other loans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 gains (losses), net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20" w:type="dxa"/>
            <w:vAlign w:val="bottom"/>
          </w:tcPr>
          <w:p>
            <w:pPr>
              <w:ind w:left="2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Bank owned life insurance ("BOLI")</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13"/>
        </w:trPr>
        <w:tc>
          <w:tcPr>
            <w:tcW w:w="2820" w:type="dxa"/>
            <w:vAlign w:val="bottom"/>
          </w:tcPr>
          <w:p>
            <w:pPr>
              <w:ind w:left="120"/>
              <w:spacing w:after="0"/>
              <w:rPr>
                <w:sz w:val="20"/>
                <w:szCs w:val="20"/>
                <w:color w:val="auto"/>
              </w:rPr>
            </w:pPr>
            <w:r>
              <w:rPr>
                <w:rFonts w:ascii="Arial" w:cs="Arial" w:eastAsia="Arial" w:hAnsi="Arial"/>
                <w:sz w:val="16"/>
                <w:szCs w:val="16"/>
                <w:color w:val="auto"/>
              </w:rPr>
              <w:t>Customer derivatives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2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noninterest income</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10,302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20,433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noninterest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114,734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74,530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third quarter and first nine months of 2020, noninterest income increased $19.7 million and $40.2 million, respectively, compared to the same periods of 2019. The increase was primarily due to increases in mortgage loan gains and related fees, brokerage and wealth management fees, and customer derivative income, partially offset by a decrease in service charges and fees and gains on sales of other loans.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Service charges and fees decreased $1.66 million and $3.54 million for the three and nine months ended September 30, 2020, respectively, in comparison to the same periods of 2019, which is mostly attributable to a decrease in overdraft fees. Lower customer transaction volume due to the economic shutdown during the third quarter and first nine months of 2020, combined with government stimulus payments during the second quarter and July of 2020, increased the balances of customer deposit accounts, which in turn reduced the number of overdraft transactions.</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Mortgage loan and related fees for the third quarter and first nine months of 2020 reflected an increase in fees on mortgage rate locks and mortgage closings compared to the same periods of last year. The increase was driven by both higher demand due to a historically low interest rate environment and the organic growth of our mortgage business in existing and new markets. The low rate environment was partially attributable to the 150 basis point decrease in the national federal funds rate during the first quarter of 2020 in response to the COVID-19 pandemic. For the first nine months of 2020, the increase in rate locks and closings was partially offset by negative fair value adjustments on the mortgage servicing rights asset due to the decrease in mortgage interest rates that resulted in an acceleration of prepayments.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rate locks during the third quarter of 2020 increased 79% to $910 million compared to $508 million in the third quarter of 2019. Mortgage production in the third quarter of 2020 also increased compared to the same period of 2019. We closed 2,102 mortgage loans totaling $569 million in the third quarter of 2020 compared with 1,265 mortgage loans totaling $330 million in the third quarter of 2019. We had $327 million in home purchase mortgage originations in the third quarter of 2020, which accounted for 57% of mortgage production volume, compared to $215 million, or 65% of production volume for the same period a year ago.</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rate locks during the first nine months of 2020 increased 108% to $2.51 billion compared to $1.21 billion for the same period of 2019. During the first nine months of 2020, we closed 5,667 mortgage loans totaling $1.52 billion compared to 3,110 loans totaling $770 million for the same period of last year. We had $789 million in home purchase mortgage originations in the first nine months of 2020, which accounted for 52% of mortgage production volume. During the first nine months of 2019, we had $540 million in home purchase originations, or 70% of production volume.</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57" w:name="page58"/>
    <w:bookmarkEnd w:id="57"/>
    <w:p>
      <w:pPr>
        <w:jc w:val="both"/>
        <w:spacing w:after="0" w:line="269" w:lineRule="auto"/>
        <w:rPr>
          <w:sz w:val="20"/>
          <w:szCs w:val="20"/>
          <w:color w:val="auto"/>
        </w:rPr>
      </w:pPr>
      <w:r>
        <w:rPr>
          <w:rFonts w:ascii="Arial" w:cs="Arial" w:eastAsia="Arial" w:hAnsi="Arial"/>
          <w:sz w:val="17"/>
          <w:szCs w:val="17"/>
          <w:color w:val="auto"/>
        </w:rPr>
        <w:t>As to non-mortgage loan sales, during the third quarter and first nine months of 2020, we realized net gains on the sale of other loans of $1.18 million and $3.89 million, respectively, which included the sale of the guaranteed portion of SBA loans and the sale of certain equipment financing loans. During the third quarter and first nine months of 2020, we sold $950,000 and $24.9 million, respectively, of equipment financing loans, which resulted in gains of $1.28 million for the nine months ended September 30, 2020, which includes nominal losses on third quarter sales. Our SBA/USDA lending strategy includes selling a portion of the loan production each quarter. The amount of loans sold depends on several variables including the current lending environment and balance sheet management activities. During the first quarter of 2020, less-favorable pricing for these loans driven by COVID-19 related market disruption led to our decision to hold more of our production in portfolio, rather than sell to the secondary market until market conditions improved during the second and third quarters of 2020. In the third quarter and first nine months of 2020, we sold the guaranteed portion of SBA loans in the amount of $13.5 million and $31.5 million, respectively, which resulted in gains of $1.18 million and $2.61 million, respectively. In the third quarter and first nine months of 2019, we sold the guaranteed portion of SBA loans in the amount of $21.0 million and $55.2 million, respectively, which resulted in gains of $1.64 million and $4.41 million, respectively.</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brokerage and wealth management fees during the third quarter and first nine months of 2020 from the same periods of 2019 was primarily a result of the addition of the Three Shores wealth management business in the third quarter of 2020.</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third quarter and first nine months of 2020, we recognized death benefit gains of $274,000 and $1.37 million, respectively, resulting in an increase in BOLI income compared to the same periods of 2019. Income from customer derivatives during the third quarter and first nine months of 2020 increased $1.61 million and $2.48 million, respectively, compared to the same periods of 2019 due to increased demand for fixed rates during the current low rate environment. The increase in customer derivative income for the first nine months of 2020 included the negative impact of an increase to the credit valuation adjustment on customer derivative positions during the second quarter of 2020. Other noninterest income for the third quarter of 2020 included a positive fair value adjustment on the SBA servicing asset. The decrease in other noninterest income for the first nine months of 2020 compared to the same period of 2019 was primarily driven by losses on other investments and reductions in miscellaneous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6 - Noninterest Expenses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6"/>
                <w:szCs w:val="16"/>
                <w:color w:val="auto"/>
              </w:rPr>
            </w:pPr>
          </w:p>
        </w:tc>
        <w:tc>
          <w:tcPr>
            <w:tcW w:w="1920" w:type="dxa"/>
            <w:vAlign w:val="bottom"/>
            <w:gridSpan w:val="4"/>
            <w:vMerge w:val="restart"/>
          </w:tcPr>
          <w:p>
            <w:pPr>
              <w:ind w:left="580"/>
              <w:spacing w:after="0"/>
              <w:rPr>
                <w:sz w:val="20"/>
                <w:szCs w:val="20"/>
                <w:color w:val="auto"/>
              </w:rPr>
            </w:pPr>
            <w:r>
              <w:rPr>
                <w:rFonts w:ascii="Arial" w:cs="Arial" w:eastAsia="Arial" w:hAnsi="Arial"/>
                <w:sz w:val="16"/>
                <w:szCs w:val="16"/>
                <w:b w:val="1"/>
                <w:bCs w:val="1"/>
                <w:color w:val="auto"/>
              </w:rPr>
              <w:t>Change</w:t>
            </w:r>
          </w:p>
        </w:tc>
        <w:tc>
          <w:tcPr>
            <w:tcW w:w="200" w:type="dxa"/>
            <w:vAlign w:val="bottom"/>
          </w:tcPr>
          <w:p>
            <w:pPr>
              <w:spacing w:after="0"/>
              <w:rPr>
                <w:sz w:val="16"/>
                <w:szCs w:val="16"/>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3"/>
              </w:rPr>
              <w:t>Nine Months Ended</w:t>
            </w:r>
          </w:p>
        </w:tc>
        <w:tc>
          <w:tcPr>
            <w:tcW w:w="140" w:type="dxa"/>
            <w:vAlign w:val="bottom"/>
          </w:tcPr>
          <w:p>
            <w:pPr>
              <w:spacing w:after="0"/>
              <w:rPr>
                <w:sz w:val="16"/>
                <w:szCs w:val="16"/>
                <w:color w:val="auto"/>
              </w:rPr>
            </w:pPr>
          </w:p>
        </w:tc>
        <w:tc>
          <w:tcPr>
            <w:tcW w:w="1820" w:type="dxa"/>
            <w:vAlign w:val="bottom"/>
            <w:gridSpan w:val="3"/>
            <w:vMerge w:val="restart"/>
          </w:tcPr>
          <w:p>
            <w:pPr>
              <w:jc w:val="right"/>
              <w:ind w:right="6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3"/>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92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18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0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120" w:type="dxa"/>
            <w:vAlign w:val="bottom"/>
            <w:tcBorders>
              <w:top w:val="single" w:sz="8" w:color="auto"/>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59,067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162,236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16,075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Communications and equipment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737</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19,462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1,229</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Occupancy</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Advertising and public relations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404</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1,056</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Postage, printing and supplies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w:t>
            </w:r>
          </w:p>
        </w:tc>
        <w:tc>
          <w:tcPr>
            <w:tcW w:w="102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11,930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2,073</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Lending and loan servicing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w:t>
            </w:r>
          </w:p>
        </w:tc>
        <w:tc>
          <w:tcPr>
            <w:tcW w:w="102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w:t>
            </w:r>
          </w:p>
        </w:tc>
        <w:tc>
          <w:tcPr>
            <w:tcW w:w="104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Outside services - electronic banking</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415</w:t>
            </w:r>
          </w:p>
        </w:tc>
        <w:tc>
          <w:tcPr>
            <w:tcW w:w="1040" w:type="dxa"/>
            <w:vAlign w:val="bottom"/>
            <w:gridSpan w:val="2"/>
          </w:tcPr>
          <w:p>
            <w:pPr>
              <w:jc w:val="right"/>
              <w:ind w:right="1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FDIC assessments and other regulatory</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2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3,571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40" w:type="dxa"/>
            <w:vAlign w:val="bottom"/>
            <w:gridSpan w:val="2"/>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2"/>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charges</w:t>
            </w: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core deposit intangibles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1020" w:type="dxa"/>
            <w:vAlign w:val="bottom"/>
            <w:gridSpan w:val="2"/>
          </w:tcPr>
          <w:p>
            <w:pPr>
              <w:jc w:val="right"/>
              <w:ind w:right="7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c>
          <w:tcPr>
            <w:tcW w:w="1040" w:type="dxa"/>
            <w:vAlign w:val="bottom"/>
            <w:gridSpan w:val="2"/>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0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11,077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46"/>
        </w:trPr>
        <w:tc>
          <w:tcPr>
            <w:tcW w:w="3040" w:type="dxa"/>
            <w:vAlign w:val="bottom"/>
          </w:tcPr>
          <w:p>
            <w:pPr>
              <w:ind w:left="120"/>
              <w:spacing w:after="0" w:line="146" w:lineRule="exact"/>
              <w:rPr>
                <w:sz w:val="20"/>
                <w:szCs w:val="20"/>
                <w:color w:val="auto"/>
              </w:rPr>
            </w:pPr>
            <w:r>
              <w:rPr>
                <w:rFonts w:ascii="Arial" w:cs="Arial" w:eastAsia="Arial" w:hAnsi="Arial"/>
                <w:sz w:val="16"/>
                <w:szCs w:val="16"/>
                <w:color w:val="auto"/>
              </w:rPr>
              <w:t>Total excluding merger-related and other</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92,620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80,319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12,301</w:t>
            </w:r>
          </w:p>
        </w:tc>
        <w:tc>
          <w:tcPr>
            <w:tcW w:w="102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256,933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233,390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23,543</w:t>
            </w:r>
          </w:p>
        </w:tc>
        <w:tc>
          <w:tcPr>
            <w:tcW w:w="1040" w:type="dxa"/>
            <w:vAlign w:val="bottom"/>
            <w:gridSpan w:val="2"/>
            <w:vMerge w:val="restart"/>
          </w:tcPr>
          <w:p>
            <w:pPr>
              <w:jc w:val="right"/>
              <w:ind w:right="1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9"/>
        </w:trPr>
        <w:tc>
          <w:tcPr>
            <w:tcW w:w="3040" w:type="dxa"/>
            <w:vAlign w:val="bottom"/>
          </w:tcPr>
          <w:p>
            <w:pPr>
              <w:ind w:left="120"/>
              <w:spacing w:after="0"/>
              <w:rPr>
                <w:sz w:val="20"/>
                <w:szCs w:val="20"/>
                <w:color w:val="auto"/>
              </w:rPr>
            </w:pPr>
            <w:r>
              <w:rPr>
                <w:rFonts w:ascii="Arial" w:cs="Arial" w:eastAsia="Arial" w:hAnsi="Arial"/>
                <w:sz w:val="16"/>
                <w:szCs w:val="16"/>
                <w:color w:val="auto"/>
              </w:rPr>
              <w:t>charges</w:t>
            </w: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Merger-related and other charges</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Amortization of noncompete agreements</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noninterest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13,057</w:t>
            </w:r>
          </w:p>
        </w:tc>
        <w:tc>
          <w:tcPr>
            <w:tcW w:w="102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261,499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240,821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20,678</w:t>
            </w:r>
          </w:p>
        </w:tc>
        <w:tc>
          <w:tcPr>
            <w:tcW w:w="104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Noninterest expenses for the third quarter and first nine months of 2020 totaled $96.0 million and $261 million, respectively, up 16% and 9%, respectively, from the same periods of 2019. Overall, the increase in noninterest expenses for these periods reflects the inclusion of Three Shores’ operating expenses since acquisition on July 1, 2020. Specifically, the addition of Three Shores’ employees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and locations contributed to much of the increase in salaries and employee benefits and occupancy costs during the third quarter and first nine months of 2020.</w:t>
      </w:r>
    </w:p>
    <w:p>
      <w:pPr>
        <w:spacing w:after="0" w:line="19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Salaries and employee benefits for the third quarter and first nine months of 2020 increased 17% and 11%, respectively, from the same periods of 2019. In addition to the growth in our employee base from the acquisition of Three Shores, the increase was a result of several factors including increased mortgage commissions and incentives resulting from increased production and merit-based salary increases awarded during the second quarter of 2020. These increases in expense were offset by higher deferred loan origination costs related to increases in loan production, including recording PPP loans in the second quarter of 2020. Full time equivalent headcount totaled 2,414 at September 30, 2020, up from 2,319 at September 30, 2019.</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Advertising and public relations expense for the three and nine months ended September 30, 2020 increased relative to the same periods of 2019 as a result of contributions to our newly formed private foundation, United Community Bank Foundation. In the third quarter of 2020, we contributed $500,000 to the United Community Bank Foundation, bringing year-to-date total contributions to $1.50 million. The increase in professional fees for the first nine months of 2020 was mostly attributable to increases in legal and consulting fees related to various projects in process. FDIC assessments and other regulatory charges for the third quarter and first nine months of 2020 increased from the same periods of 2019 due to the receipt of a one-time $1.38 million credit during the third quarter of 2019. Lending and loan servicing expense increased mostly due to the increase in mortgage origination volume.</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Merger-related and other charges for the third quarter of 2020 consisted primarily of expenses associated with the acquisition of Three Shores including investment banker fees and severance for eliminated positions. The nine months ended September 30, 2020 also included merger-related expenses associated with the acquisition of First Madison Bank &amp; Trust (“FMBT”), severance, and branch closure costs. Merger-related and other charges for the three and nine months ended September 30, 2019 included a $2.94 million charge for the termination and settlement of a pension plan, FMBT merger-related expenses, branch closure costs, executive retirement charges, and gains on the sale of surplus properties.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reduction of amortization of noncompete agreements was a result of the expiration of certain of these agreements since the third quarter of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assets at September 30, 2020 and December 31, 2019 were $17.2 billion and $12.9 billion, respectively. The increase in assets was primarily attributable to the acquisition of Three Shores, PPP loan originations and other loan growth during the year, and increased cash balances. Total liabilities at September 30, 2020 and December 31, 2019 were $15.2 billion and $11.3 billion, respectively, primarily due to deposit growth including deposits received through the acquisition of Three Shores. In addition to the inclusion of Three Shores’ deposits as of September 30, 2020, the increase in customer deposits was also directly attributable to the increase in PPP loans, as many of the balances remained deposited in customer accounts through the end of the period. Average total assets for the third quarter of 2020 were $17.0 billion, up from $12.7 billion for the same period of 2019. Average total assets for the first nine months of 2020 were $14.7 billion, up from $12.6 billion for the same period of 2019. Average total liabilities for the third quarter of 2020 were $15.1 billion, up from $11.1 billion for the same period of 2019. Average total liabilities for the first nine months of 2020 were $13.0 billion, up from $11.1 billion for the same period of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The following table presents a summary of the loan portfolio, of which approximately 65% was secured by real estate at September 30, 2020.</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7 - Loans Outstanding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Pr>
          <w:p>
            <w:pPr>
              <w:spacing w:after="0"/>
              <w:rPr>
                <w:sz w:val="18"/>
                <w:szCs w:val="18"/>
                <w:color w:val="auto"/>
              </w:rPr>
            </w:pPr>
          </w:p>
        </w:tc>
        <w:tc>
          <w:tcPr>
            <w:tcW w:w="35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r>
      <w:tr>
        <w:trPr>
          <w:trHeight w:val="199"/>
        </w:trPr>
        <w:tc>
          <w:tcPr>
            <w:tcW w:w="5480" w:type="dxa"/>
            <w:vAlign w:val="bottom"/>
            <w:tcBorders>
              <w:top w:val="single" w:sz="8" w:color="CCEEFF"/>
            </w:tcBorders>
            <w:shd w:val="clear" w:color="auto" w:fill="CCEEFF"/>
          </w:tcPr>
          <w:p>
            <w:pPr>
              <w:ind w:left="1880"/>
              <w:spacing w:after="0"/>
              <w:rPr>
                <w:sz w:val="20"/>
                <w:szCs w:val="20"/>
                <w:color w:val="auto"/>
              </w:rPr>
            </w:pPr>
            <w:r>
              <w:rPr>
                <w:rFonts w:ascii="Arial" w:cs="Arial" w:eastAsia="Arial" w:hAnsi="Arial"/>
                <w:sz w:val="16"/>
                <w:szCs w:val="16"/>
                <w:b w:val="1"/>
                <w:bCs w:val="1"/>
                <w:color w:val="auto"/>
              </w:rPr>
              <w:t>By Loan Type</w:t>
            </w: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1900" w:type="dxa"/>
            <w:vAlign w:val="bottom"/>
            <w:tcBorders>
              <w:top w:val="single" w:sz="8" w:color="CCEEFF"/>
            </w:tcBorders>
            <w:shd w:val="clear" w:color="auto" w:fill="CCEEFF"/>
          </w:tcPr>
          <w:p>
            <w:pPr>
              <w:spacing w:after="0"/>
              <w:rPr>
                <w:sz w:val="17"/>
                <w:szCs w:val="17"/>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2,008,674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1,720,227</w:t>
            </w: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2,493,625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2,007,950</w:t>
            </w:r>
          </w:p>
        </w:tc>
        <w:tc>
          <w:tcPr>
            <w:tcW w:w="1900" w:type="dxa"/>
            <w:vAlign w:val="bottom"/>
            <w:shd w:val="clear" w:color="auto" w:fill="CCEEFF"/>
          </w:tcPr>
          <w:p>
            <w:pPr>
              <w:spacing w:after="0"/>
              <w:rPr>
                <w:sz w:val="19"/>
                <w:szCs w:val="19"/>
                <w:color w:val="auto"/>
              </w:rPr>
            </w:pPr>
          </w:p>
        </w:tc>
      </w:tr>
      <w:tr>
        <w:trPr>
          <w:trHeight w:val="216"/>
        </w:trPr>
        <w:tc>
          <w:tcPr>
            <w:tcW w:w="5480" w:type="dxa"/>
            <w:vAlign w:val="bottom"/>
          </w:tcPr>
          <w:p>
            <w:pPr>
              <w:ind w:left="1880"/>
              <w:spacing w:after="0" w:line="216"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3,104,868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1,220,657</w:t>
            </w:r>
          </w:p>
        </w:tc>
        <w:tc>
          <w:tcPr>
            <w:tcW w:w="1900" w:type="dxa"/>
            <w:vAlign w:val="bottom"/>
          </w:tcPr>
          <w:p>
            <w:pPr>
              <w:spacing w:after="0"/>
              <w:rPr>
                <w:sz w:val="18"/>
                <w:szCs w:val="18"/>
                <w:color w:val="auto"/>
              </w:rPr>
            </w:pPr>
          </w:p>
        </w:tc>
      </w:tr>
      <w:tr>
        <w:trPr>
          <w:trHeight w:val="216"/>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Commercial construction</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981,371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976,215</w:t>
            </w:r>
          </w:p>
        </w:tc>
        <w:tc>
          <w:tcPr>
            <w:tcW w:w="1900" w:type="dxa"/>
            <w:vAlign w:val="bottom"/>
            <w:shd w:val="clear" w:color="auto" w:fill="CCEEFF"/>
          </w:tcPr>
          <w:p>
            <w:pPr>
              <w:spacing w:after="0"/>
              <w:rPr>
                <w:sz w:val="18"/>
                <w:szCs w:val="18"/>
                <w:color w:val="auto"/>
              </w:rPr>
            </w:pPr>
          </w:p>
        </w:tc>
      </w:tr>
      <w:tr>
        <w:trPr>
          <w:trHeight w:val="213"/>
        </w:trPr>
        <w:tc>
          <w:tcPr>
            <w:tcW w:w="5480" w:type="dxa"/>
            <w:vAlign w:val="bottom"/>
            <w:tcBorders>
              <w:bottom w:val="single" w:sz="8" w:color="CCEEFF"/>
            </w:tcBorders>
          </w:tcPr>
          <w:p>
            <w:pPr>
              <w:ind w:left="188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823,022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744,544</w:t>
            </w:r>
          </w:p>
        </w:tc>
        <w:tc>
          <w:tcPr>
            <w:tcW w:w="1900" w:type="dxa"/>
            <w:vAlign w:val="bottom"/>
            <w:tcBorders>
              <w:bottom w:val="single" w:sz="8" w:color="CCEEFF"/>
            </w:tcBorders>
          </w:tcPr>
          <w:p>
            <w:pPr>
              <w:spacing w:after="0"/>
              <w:rPr>
                <w:sz w:val="18"/>
                <w:szCs w:val="18"/>
                <w:color w:val="auto"/>
              </w:rPr>
            </w:pPr>
          </w:p>
        </w:tc>
      </w:tr>
      <w:tr>
        <w:trPr>
          <w:trHeight w:val="212"/>
        </w:trPr>
        <w:tc>
          <w:tcPr>
            <w:tcW w:w="5480" w:type="dxa"/>
            <w:vAlign w:val="bottom"/>
            <w:shd w:val="clear" w:color="auto" w:fill="CCEEFF"/>
          </w:tcPr>
          <w:p>
            <w:pPr>
              <w:ind w:left="2080"/>
              <w:spacing w:after="0"/>
              <w:rPr>
                <w:sz w:val="20"/>
                <w:szCs w:val="20"/>
                <w:color w:val="auto"/>
              </w:rPr>
            </w:pPr>
            <w:r>
              <w:rPr>
                <w:rFonts w:ascii="Arial" w:cs="Arial" w:eastAsia="Arial" w:hAnsi="Arial"/>
                <w:sz w:val="16"/>
                <w:szCs w:val="16"/>
                <w:color w:val="auto"/>
              </w:rPr>
              <w:t>Total commercial</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9,411,560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6,669,593</w:t>
            </w:r>
          </w:p>
        </w:tc>
        <w:tc>
          <w:tcPr>
            <w:tcW w:w="1900" w:type="dxa"/>
            <w:vAlign w:val="bottom"/>
            <w:shd w:val="clear" w:color="auto" w:fill="CCEEFF"/>
          </w:tcPr>
          <w:p>
            <w:pPr>
              <w:spacing w:after="0"/>
              <w:rPr>
                <w:sz w:val="18"/>
                <w:szCs w:val="18"/>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Residential mortgage</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1,269,548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1,117,616</w:t>
            </w: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Home equity lines of credit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706,877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660,675</w:t>
            </w:r>
          </w:p>
        </w:tc>
        <w:tc>
          <w:tcPr>
            <w:tcW w:w="1900" w:type="dxa"/>
            <w:vAlign w:val="bottom"/>
            <w:shd w:val="clear" w:color="auto" w:fill="CCEEFF"/>
          </w:tcPr>
          <w:p>
            <w:pPr>
              <w:spacing w:after="0"/>
              <w:rPr>
                <w:sz w:val="19"/>
                <w:szCs w:val="19"/>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Residential construction</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263,266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236,437</w:t>
            </w:r>
          </w:p>
        </w:tc>
        <w:tc>
          <w:tcPr>
            <w:tcW w:w="1900" w:type="dxa"/>
            <w:vAlign w:val="bottom"/>
          </w:tcPr>
          <w:p>
            <w:pPr>
              <w:spacing w:after="0"/>
              <w:rPr>
                <w:sz w:val="18"/>
                <w:szCs w:val="18"/>
                <w:color w:val="auto"/>
              </w:rPr>
            </w:pPr>
          </w:p>
        </w:tc>
      </w:tr>
      <w:tr>
        <w:trPr>
          <w:trHeight w:val="216"/>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147,659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128,232</w:t>
            </w:r>
          </w:p>
        </w:tc>
        <w:tc>
          <w:tcPr>
            <w:tcW w:w="1900" w:type="dxa"/>
            <w:vAlign w:val="bottom"/>
            <w:shd w:val="clear" w:color="auto" w:fill="CCEEFF"/>
          </w:tcPr>
          <w:p>
            <w:pPr>
              <w:spacing w:after="0"/>
              <w:rPr>
                <w:sz w:val="18"/>
                <w:szCs w:val="18"/>
                <w:color w:val="auto"/>
              </w:rPr>
            </w:pPr>
          </w:p>
        </w:tc>
      </w:tr>
      <w:tr>
        <w:trPr>
          <w:trHeight w:val="213"/>
        </w:trPr>
        <w:tc>
          <w:tcPr>
            <w:tcW w:w="5480" w:type="dxa"/>
            <w:vAlign w:val="bottom"/>
          </w:tcPr>
          <w:p>
            <w:pPr>
              <w:ind w:left="2080"/>
              <w:spacing w:after="0"/>
              <w:rPr>
                <w:sz w:val="20"/>
                <w:szCs w:val="20"/>
                <w:color w:val="auto"/>
              </w:rPr>
            </w:pPr>
            <w:r>
              <w:rPr>
                <w:rFonts w:ascii="Arial" w:cs="Arial" w:eastAsia="Arial" w:hAnsi="Arial"/>
                <w:sz w:val="16"/>
                <w:szCs w:val="16"/>
                <w:color w:val="auto"/>
              </w:rPr>
              <w:t>Total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11,798,910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8,812,553</w:t>
            </w:r>
          </w:p>
        </w:tc>
        <w:tc>
          <w:tcPr>
            <w:tcW w:w="1900" w:type="dxa"/>
            <w:vAlign w:val="bottom"/>
          </w:tcPr>
          <w:p>
            <w:pPr>
              <w:spacing w:after="0"/>
              <w:rPr>
                <w:sz w:val="18"/>
                <w:szCs w:val="18"/>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r>
      <w:tr>
        <w:trPr>
          <w:trHeight w:val="183"/>
        </w:trPr>
        <w:tc>
          <w:tcPr>
            <w:tcW w:w="5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As a percentage of total loans:</w:t>
            </w:r>
          </w:p>
        </w:tc>
        <w:tc>
          <w:tcPr>
            <w:tcW w:w="1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Owner occupied commercial real estate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900" w:type="dxa"/>
            <w:vAlign w:val="bottom"/>
            <w:shd w:val="clear" w:color="auto" w:fill="CCEEFF"/>
          </w:tcPr>
          <w:p>
            <w:pPr>
              <w:spacing w:after="0"/>
              <w:rPr>
                <w:sz w:val="19"/>
                <w:szCs w:val="19"/>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Income producing commercial real estate</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23</w:t>
            </w: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line="219" w:lineRule="exact"/>
              <w:rPr>
                <w:sz w:val="20"/>
                <w:szCs w:val="20"/>
                <w:color w:val="auto"/>
              </w:rPr>
            </w:pPr>
            <w:r>
              <w:rPr>
                <w:rFonts w:ascii="Arial" w:cs="Arial" w:eastAsia="Arial" w:hAnsi="Arial"/>
                <w:sz w:val="16"/>
                <w:szCs w:val="16"/>
                <w:color w:val="auto"/>
              </w:rPr>
              <w:t xml:space="preserve">Commercial &amp; industrial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c>
          <w:tcPr>
            <w:tcW w:w="1900" w:type="dxa"/>
            <w:vAlign w:val="bottom"/>
            <w:shd w:val="clear" w:color="auto" w:fill="CCEEFF"/>
          </w:tcPr>
          <w:p>
            <w:pPr>
              <w:spacing w:after="0"/>
              <w:rPr>
                <w:sz w:val="19"/>
                <w:szCs w:val="19"/>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Commercial construction</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11</w:t>
            </w: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Equipment financing</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900" w:type="dxa"/>
            <w:vAlign w:val="bottom"/>
            <w:shd w:val="clear" w:color="auto" w:fill="CCEEFF"/>
          </w:tcPr>
          <w:p>
            <w:pPr>
              <w:spacing w:after="0"/>
              <w:rPr>
                <w:sz w:val="19"/>
                <w:szCs w:val="19"/>
                <w:color w:val="auto"/>
              </w:rPr>
            </w:pPr>
          </w:p>
        </w:tc>
      </w:tr>
      <w:tr>
        <w:trPr>
          <w:trHeight w:val="206"/>
        </w:trPr>
        <w:tc>
          <w:tcPr>
            <w:tcW w:w="5480" w:type="dxa"/>
            <w:vAlign w:val="bottom"/>
          </w:tcPr>
          <w:p>
            <w:pPr>
              <w:ind w:left="2080"/>
              <w:spacing w:after="0"/>
              <w:rPr>
                <w:sz w:val="20"/>
                <w:szCs w:val="20"/>
                <w:color w:val="auto"/>
              </w:rPr>
            </w:pPr>
            <w:r>
              <w:rPr>
                <w:rFonts w:ascii="Arial" w:cs="Arial" w:eastAsia="Arial" w:hAnsi="Arial"/>
                <w:sz w:val="16"/>
                <w:szCs w:val="16"/>
                <w:color w:val="auto"/>
              </w:rPr>
              <w:t>Total commercial</w:t>
            </w:r>
          </w:p>
        </w:tc>
        <w:tc>
          <w:tcPr>
            <w:tcW w:w="180" w:type="dxa"/>
            <w:vAlign w:val="bottom"/>
          </w:tcPr>
          <w:p>
            <w:pPr>
              <w:spacing w:after="0"/>
              <w:rPr>
                <w:sz w:val="17"/>
                <w:szCs w:val="17"/>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1900" w:type="dxa"/>
            <w:vAlign w:val="bottom"/>
          </w:tcPr>
          <w:p>
            <w:pPr>
              <w:spacing w:after="0"/>
              <w:rPr>
                <w:sz w:val="17"/>
                <w:szCs w:val="17"/>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Residential mortgage</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900" w:type="dxa"/>
            <w:vAlign w:val="bottom"/>
            <w:shd w:val="clear" w:color="auto" w:fill="CCEEFF"/>
          </w:tcPr>
          <w:p>
            <w:pPr>
              <w:spacing w:after="0"/>
              <w:rPr>
                <w:sz w:val="19"/>
                <w:szCs w:val="19"/>
                <w:color w:val="auto"/>
              </w:rPr>
            </w:pPr>
          </w:p>
        </w:tc>
      </w:tr>
      <w:tr>
        <w:trPr>
          <w:trHeight w:val="213"/>
        </w:trPr>
        <w:tc>
          <w:tcPr>
            <w:tcW w:w="5480" w:type="dxa"/>
            <w:vAlign w:val="bottom"/>
          </w:tcPr>
          <w:p>
            <w:pPr>
              <w:ind w:left="1880"/>
              <w:spacing w:after="0"/>
              <w:rPr>
                <w:sz w:val="20"/>
                <w:szCs w:val="20"/>
                <w:color w:val="auto"/>
              </w:rPr>
            </w:pPr>
            <w:r>
              <w:rPr>
                <w:rFonts w:ascii="Arial" w:cs="Arial" w:eastAsia="Arial" w:hAnsi="Arial"/>
                <w:sz w:val="16"/>
                <w:szCs w:val="16"/>
                <w:color w:val="auto"/>
              </w:rPr>
              <w:t>Home equity lines of credit</w:t>
            </w:r>
          </w:p>
        </w:tc>
        <w:tc>
          <w:tcPr>
            <w:tcW w:w="180" w:type="dxa"/>
            <w:vAlign w:val="bottom"/>
          </w:tcPr>
          <w:p>
            <w:pPr>
              <w:spacing w:after="0"/>
              <w:rPr>
                <w:sz w:val="18"/>
                <w:szCs w:val="18"/>
                <w:color w:val="auto"/>
              </w:rPr>
            </w:pPr>
          </w:p>
        </w:tc>
        <w:tc>
          <w:tcPr>
            <w:tcW w:w="17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900" w:type="dxa"/>
            <w:vAlign w:val="bottom"/>
          </w:tcPr>
          <w:p>
            <w:pPr>
              <w:spacing w:after="0"/>
              <w:rPr>
                <w:sz w:val="18"/>
                <w:szCs w:val="18"/>
                <w:color w:val="auto"/>
              </w:rPr>
            </w:pPr>
          </w:p>
        </w:tc>
      </w:tr>
      <w:tr>
        <w:trPr>
          <w:trHeight w:val="219"/>
        </w:trPr>
        <w:tc>
          <w:tcPr>
            <w:tcW w:w="5480" w:type="dxa"/>
            <w:vAlign w:val="bottom"/>
            <w:shd w:val="clear" w:color="auto" w:fill="CCEEFF"/>
          </w:tcPr>
          <w:p>
            <w:pPr>
              <w:ind w:left="1880"/>
              <w:spacing w:after="0"/>
              <w:rPr>
                <w:sz w:val="20"/>
                <w:szCs w:val="20"/>
                <w:color w:val="auto"/>
              </w:rPr>
            </w:pPr>
            <w:r>
              <w:rPr>
                <w:rFonts w:ascii="Arial" w:cs="Arial" w:eastAsia="Arial" w:hAnsi="Arial"/>
                <w:sz w:val="16"/>
                <w:szCs w:val="16"/>
                <w:color w:val="auto"/>
              </w:rPr>
              <w:t>Residential construction</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900" w:type="dxa"/>
            <w:vAlign w:val="bottom"/>
            <w:shd w:val="clear" w:color="auto" w:fill="CCEEFF"/>
          </w:tcPr>
          <w:p>
            <w:pPr>
              <w:spacing w:after="0"/>
              <w:rPr>
                <w:sz w:val="19"/>
                <w:szCs w:val="19"/>
                <w:color w:val="auto"/>
              </w:rPr>
            </w:pPr>
          </w:p>
        </w:tc>
      </w:tr>
      <w:tr>
        <w:trPr>
          <w:trHeight w:val="213"/>
        </w:trPr>
        <w:tc>
          <w:tcPr>
            <w:tcW w:w="5480" w:type="dxa"/>
            <w:vAlign w:val="bottom"/>
            <w:tcBorders>
              <w:bottom w:val="single" w:sz="8" w:color="CCEEFF"/>
            </w:tcBorders>
          </w:tcPr>
          <w:p>
            <w:pPr>
              <w:ind w:left="188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w:t>
            </w:r>
          </w:p>
        </w:tc>
        <w:tc>
          <w:tcPr>
            <w:tcW w:w="1900" w:type="dxa"/>
            <w:vAlign w:val="bottom"/>
            <w:tcBorders>
              <w:bottom w:val="single" w:sz="8" w:color="CCEEFF"/>
            </w:tcBorders>
          </w:tcPr>
          <w:p>
            <w:pPr>
              <w:spacing w:after="0"/>
              <w:rPr>
                <w:sz w:val="18"/>
                <w:szCs w:val="18"/>
                <w:color w:val="auto"/>
              </w:rPr>
            </w:pPr>
          </w:p>
        </w:tc>
      </w:tr>
      <w:tr>
        <w:trPr>
          <w:trHeight w:val="238"/>
        </w:trPr>
        <w:tc>
          <w:tcPr>
            <w:tcW w:w="5480" w:type="dxa"/>
            <w:vAlign w:val="bottom"/>
            <w:tcBorders>
              <w:bottom w:val="single" w:sz="8" w:color="CCEEFF"/>
            </w:tcBorders>
            <w:shd w:val="clear" w:color="auto" w:fill="CCEEFF"/>
          </w:tcPr>
          <w:p>
            <w:pPr>
              <w:ind w:left="20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900" w:type="dxa"/>
            <w:vAlign w:val="bottom"/>
            <w:tcBorders>
              <w:bottom w:val="single" w:sz="8" w:color="CCEEFF"/>
            </w:tcBorders>
            <w:shd w:val="clear" w:color="auto" w:fill="CCEEFF"/>
          </w:tcPr>
          <w:p>
            <w:pPr>
              <w:spacing w:after="0"/>
              <w:rPr>
                <w:sz w:val="20"/>
                <w:szCs w:val="20"/>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r>
    </w:tbl>
    <w:p>
      <w:pPr>
        <w:spacing w:after="0" w:line="57"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Commercial and industrial loans as of September 30, 2020 included $1.32 billion of PPP loans.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manage asset quality and control credit risk through review and oversight of the loan portfolio as well as adherence to policies designed to promote sound underwriting and loan monitoring practices. Our credit administration function is responsible for monitoring asset quality and Board of Directors approved portfolio concentration limits, establishing credit policies and procedures and enforcing the consistent application of these policies and procedures. Additional information on our credit administration function is included in Part I, Item 1 under the heading </w:t>
      </w:r>
      <w:r>
        <w:rPr>
          <w:rFonts w:ascii="Arial" w:cs="Arial" w:eastAsia="Arial" w:hAnsi="Arial"/>
          <w:sz w:val="18"/>
          <w:szCs w:val="18"/>
          <w:i w:val="1"/>
          <w:iCs w:val="1"/>
          <w:color w:val="auto"/>
        </w:rPr>
        <w:t>Lending Activities</w:t>
      </w:r>
      <w:r>
        <w:rPr>
          <w:rFonts w:ascii="Arial" w:cs="Arial" w:eastAsia="Arial" w:hAnsi="Arial"/>
          <w:sz w:val="18"/>
          <w:szCs w:val="18"/>
          <w:color w:val="auto"/>
        </w:rPr>
        <w:t xml:space="preserve"> in our 2019 10-K.</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classify loans as “substandard” when there is a well-defined weakness or weaknesses that jeopardizes the repayment by the borrower and there is a distinct possibility that we could sustain some loss if the deficiency is not corrected. Performing substandard loans, which are substandard loans that are still accruing interest, totaled $125 million at both September 30, 2020 and December 31, 2019.</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 reviews of classified performing and non-performing loans, TDRs, past due loans and portfolio concentrations on a regular basis to identify risk migration and potential charges to the ACL. These items are discussed in a series of meetings attended by Credit Risk Management leadership and leadership from various lending groups. In addition to the reviews mentioned above, an independent loan review team reviews the portfolio to ensure consistent application of risk rating policies and procedures.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ACL at September 30, 2020 reflects management’s assessment of the life of loan expected credit losses in the loan portfolio and unfunded loan commitments. This assessment involves uncertainty and judgment and is subject to change in future periods. The amount of any changes could be significant if management’s assessment of loan quality or collateral values changes substantially with respect to one or more loan relationships or portfolios. The allocation of the ACL is based on reasonable and supportable forecasts,</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 xml:space="preserve">historical data, subjective judgment and estimates and therefore, is not necessarily indicative of the specific amounts or loan categories in which charge-offs may ultimately occur. In addition, bank regulatory authorities, as part of their periodic examination of the Bank, may require adjustments to the provision for credit losses in future periods if, in their opinion, the results of their review warrant such additions. See the </w:t>
      </w:r>
      <w:r>
        <w:rPr>
          <w:rFonts w:ascii="Arial" w:cs="Arial" w:eastAsia="Arial" w:hAnsi="Arial"/>
          <w:sz w:val="18"/>
          <w:szCs w:val="18"/>
          <w:i w:val="1"/>
          <w:iCs w:val="1"/>
          <w:color w:val="auto"/>
        </w:rPr>
        <w:t>Critical Accounting Policies</w:t>
      </w:r>
      <w:r>
        <w:rPr>
          <w:rFonts w:ascii="Arial" w:cs="Arial" w:eastAsia="Arial" w:hAnsi="Arial"/>
          <w:sz w:val="18"/>
          <w:szCs w:val="18"/>
          <w:color w:val="auto"/>
        </w:rPr>
        <w:t xml:space="preserve"> section for additional information on the allowance for credit losses.</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total ACL, which includes a portion related to unfunded commitments, totaled $146 million at September 30, 2020, compared with $65.5 million at December 31, 2019. At September 30, 2020, the ACL for loans was $134 million, or 1.14% of loans, compared with $62.1 million, or 0.70% of total loans, at December 31, 2019. The adoption of CECL on January 1, 2020 added $6.88 million to the ACL for loans and $1.87 million to the reserve for unfunded commitments resulting in a total ACL of $74.3 million at the time of adoption. The increase since adoption primarily reflects the impact of the COVID-19 pandemic, $11.2 million of allowance established for Seaside PCD loans at acquisition with no impact to earnings, as well as the impact of loan growth during 2020 including the non-PCD loans received through the Seaside acquisition. The impact of loan growth on the ACL was partially mitigated by the fact that PPP loans were considered low risk assets due to the 100% guarantee by the SBA.</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presents a summary of the changes in the ACL for the periods indicated.</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8 - ACL</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5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beginning of period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103,669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62,204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62,089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61,203</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6,880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loans, adjusted beginning balance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103,669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62,204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68,969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61,203</w:t>
            </w:r>
          </w:p>
        </w:tc>
      </w:tr>
      <w:tr>
        <w:trPr>
          <w:trHeight w:val="199"/>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merger - ACL - PCD loans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11,152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70"/>
        </w:trPr>
        <w:tc>
          <w:tcPr>
            <w:tcW w:w="55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Charge-offs: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8,033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977</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8,118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3,833</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1,376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6,366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3,810</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433</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Home equity lines of credit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653</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Consumer direct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1,782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1,721</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Indirect auto</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502</w:t>
            </w:r>
          </w:p>
        </w:tc>
      </w:tr>
      <w:tr>
        <w:trPr>
          <w:trHeight w:val="207"/>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loans charged-off</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6,756</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4,080</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25,620</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12,267</w:t>
            </w:r>
          </w:p>
        </w:tc>
      </w:tr>
      <w:tr>
        <w:trPr>
          <w:trHeight w:val="19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Recoveries: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2,225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166</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Commercial &amp; industrial</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408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645</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Commercial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804</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Equipment financing</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1,201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466</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mortgage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379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388</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Home equity lines of credit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466</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Residential construction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91</w:t>
            </w: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Consumer direct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511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1,028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672</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Indirect auto</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151</w:t>
            </w:r>
          </w:p>
        </w:tc>
      </w:tr>
      <w:tr>
        <w:trPr>
          <w:trHeight w:val="207"/>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recoveries</w:t>
            </w: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4,218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1,357</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8,819</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3,976</w:t>
            </w:r>
          </w:p>
        </w:tc>
      </w:tr>
      <w:tr>
        <w:trPr>
          <w:trHeight w:val="212"/>
        </w:trPr>
        <w:tc>
          <w:tcPr>
            <w:tcW w:w="5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charge-offs</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2,723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16,801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8,291</w:t>
            </w:r>
          </w:p>
        </w:tc>
      </w:tr>
      <w:tr>
        <w:trPr>
          <w:trHeight w:val="206"/>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credit losses - loans</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21,973</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3,033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70,936</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9,602</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loans, end of period</w:t>
            </w: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134,256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62,514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134,256</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62,514</w:t>
            </w:r>
          </w:p>
        </w:tc>
      </w:tr>
      <w:tr>
        <w:trPr>
          <w:trHeight w:val="199"/>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unfunded commitments, beginning of period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3,391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3,410</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Adoption of CECL</w:t>
            </w:r>
          </w:p>
        </w:tc>
        <w:tc>
          <w:tcPr>
            <w:tcW w:w="26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1,871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ACL - unfunded commitments, adjusted beginning balance</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12,100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3,391</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5,329</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3,410</w:t>
            </w:r>
          </w:p>
        </w:tc>
      </w:tr>
      <w:tr>
        <w:trPr>
          <w:trHeight w:val="213"/>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Provision for credit losses - unfunded commitments</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6,591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w:t>
            </w:r>
          </w:p>
        </w:tc>
      </w:tr>
      <w:tr>
        <w:trPr>
          <w:trHeight w:val="213"/>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ACL - unfunded commitments, end of period</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3,458</w:t>
            </w:r>
          </w:p>
        </w:tc>
      </w:tr>
      <w:tr>
        <w:trPr>
          <w:trHeight w:val="216"/>
        </w:trPr>
        <w:tc>
          <w:tcPr>
            <w:tcW w:w="5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r>
      <w:tr>
        <w:trPr>
          <w:trHeight w:val="235"/>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146,176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65,972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146,176</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65,972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loans: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At period-end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11,798,910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w w:val="89"/>
              </w:rPr>
              <w:t>8,903,266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11,798,910</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w w:val="92"/>
              </w:rPr>
              <w:t>8,903,266</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Average</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11,644,202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8,835,585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10,087,630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92"/>
              </w:rPr>
              <w:t>8,646,622</w:t>
            </w:r>
          </w:p>
        </w:tc>
      </w:tr>
      <w:tr>
        <w:trPr>
          <w:trHeight w:val="213"/>
        </w:trPr>
        <w:tc>
          <w:tcPr>
            <w:tcW w:w="5520" w:type="dxa"/>
            <w:vAlign w:val="bottom"/>
          </w:tcPr>
          <w:p>
            <w:pPr>
              <w:ind w:left="20"/>
              <w:spacing w:after="0"/>
              <w:rPr>
                <w:sz w:val="20"/>
                <w:szCs w:val="20"/>
                <w:color w:val="auto"/>
              </w:rPr>
            </w:pPr>
            <w:r>
              <w:rPr>
                <w:rFonts w:ascii="Arial" w:cs="Arial" w:eastAsia="Arial" w:hAnsi="Arial"/>
                <w:sz w:val="16"/>
                <w:szCs w:val="16"/>
                <w:color w:val="auto"/>
              </w:rPr>
              <w:t>ACL - loans, as a percentage of period-end loans</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0.70 %</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a percentage of average loans (annualized):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520" w:type="dxa"/>
            <w:vAlign w:val="bottom"/>
          </w:tcPr>
          <w:p>
            <w:pPr>
              <w:ind w:left="120"/>
              <w:spacing w:after="0"/>
              <w:rPr>
                <w:sz w:val="20"/>
                <w:szCs w:val="20"/>
                <w:color w:val="auto"/>
              </w:rPr>
            </w:pPr>
            <w:r>
              <w:rPr>
                <w:rFonts w:ascii="Arial" w:cs="Arial" w:eastAsia="Arial" w:hAnsi="Arial"/>
                <w:sz w:val="16"/>
                <w:szCs w:val="16"/>
                <w:color w:val="auto"/>
              </w:rPr>
              <w:t>Net charge-offs</w:t>
            </w: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0.13</w:t>
            </w:r>
          </w:p>
        </w:tc>
      </w:tr>
      <w:tr>
        <w:trPr>
          <w:trHeight w:val="219"/>
        </w:trPr>
        <w:tc>
          <w:tcPr>
            <w:tcW w:w="5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for credit losses - loans</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0.94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0.15</w:t>
            </w:r>
          </w:p>
        </w:tc>
      </w:tr>
    </w:tbl>
    <w:p>
      <w:pPr>
        <w:spacing w:after="0" w:line="200" w:lineRule="exact"/>
        <w:rPr>
          <w:sz w:val="20"/>
          <w:szCs w:val="20"/>
          <w:color w:val="auto"/>
        </w:rPr>
      </w:pPr>
    </w:p>
    <w:p>
      <w:pPr>
        <w:sectPr>
          <w:pgSz w:w="11900" w:h="16838" w:orient="portrait"/>
          <w:cols w:equalWidth="0" w:num="1">
            <w:col w:w="11220"/>
          </w:cols>
          <w:pgMar w:left="320" w:top="93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Nonperforming assets (“NPAs”), which include nonaccrual loans and foreclosed properties, totaled $50.0 million at September 30, 2020, compared with $35.8 million at December 31, 2019. The increase in NPAs since December 31, 2019 is primarily a result of an increase in nonaccrual loans. Specifically, there were a few large substandard credits that reached nonaccrual status during the second quarter of 2020. In addition, when we adopted CECL on January 1, 2020, we elected to disaggregate the former Purchased Credit Impaired (“PCI”) pools and no longer consider the loan pool to be the unit of account. Reporting these contractually delinquent Purchased Credit Deteriorated (“PCD”) loans as nonaccrual loans using the same criteria as other loans contributed $2.40 million to the increase in nonaccrual loans since December 31, 2019. The inclusion of Three Shores nonaccrual loans and foreclosed properties in the NPA balances also contributed to the increase from December 31, 2019.</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policy is to place loans on nonaccrual status when, in the opinion of management, the full principal and interest on a loan is not likely to be collected or when the loan becomes 90 days past due. A loan may continue on accrual after 90 days if it is well collateralized and in the process of collection. When a loan is placed on nonaccrual status, interest previously accrued but not collected is reversed against current interest revenue. Interest payments received on nonaccrual loans are applied to reduce the loan’s amortized cost. Loans are returned to accrual status when all the principal and interest amounts contractually due are brought current, there is a sustained period of repayment performance and future payments are reasonably assured.</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we do not commit to lend additional funds to customers whose loans are on nonaccrual status, although in certain isolated cases, we execute forbearance agreements whereby we agree to continue to fund construction loans to completion or other lines of credit as long as the borrower meets the conditions of the forbearance agreement. We may also fund other amounts necessary to protect collateral such as amounts to pay past due property taxes and insurance coverage.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NPAs.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9 - NPAs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27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 2019</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tcBorders>
              <w:top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Nonaccrual loans:</w:t>
            </w:r>
          </w:p>
        </w:tc>
        <w:tc>
          <w:tcPr>
            <w:tcW w:w="2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40"/>
              <w:spacing w:after="0"/>
              <w:rPr>
                <w:sz w:val="20"/>
                <w:szCs w:val="20"/>
                <w:color w:val="auto"/>
              </w:rPr>
            </w:pPr>
            <w:r>
              <w:rPr>
                <w:rFonts w:ascii="Arial" w:cs="Arial" w:eastAsia="Arial" w:hAnsi="Arial"/>
                <w:sz w:val="16"/>
                <w:szCs w:val="16"/>
                <w:color w:val="auto"/>
              </w:rPr>
              <w:t>Owner occupied commercial real estate</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11,075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10,544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Income producing commercial real estate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1,996</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40"/>
              <w:spacing w:after="0"/>
              <w:rPr>
                <w:sz w:val="20"/>
                <w:szCs w:val="20"/>
                <w:color w:val="auto"/>
              </w:rPr>
            </w:pPr>
            <w:r>
              <w:rPr>
                <w:rFonts w:ascii="Arial" w:cs="Arial" w:eastAsia="Arial" w:hAnsi="Arial"/>
                <w:sz w:val="16"/>
                <w:szCs w:val="16"/>
                <w:color w:val="auto"/>
              </w:rPr>
              <w:t>Commercial &amp; industrial</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2,545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Commercial construction</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2,277</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1440"/>
              <w:spacing w:after="0"/>
              <w:rPr>
                <w:sz w:val="20"/>
                <w:szCs w:val="20"/>
                <w:color w:val="auto"/>
              </w:rPr>
            </w:pPr>
            <w:r>
              <w:rPr>
                <w:rFonts w:ascii="Arial" w:cs="Arial" w:eastAsia="Arial" w:hAnsi="Arial"/>
                <w:sz w:val="16"/>
                <w:szCs w:val="16"/>
                <w:color w:val="auto"/>
              </w:rPr>
              <w:t>Equipment financing</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3,137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3,141</w:t>
            </w:r>
          </w:p>
        </w:tc>
        <w:tc>
          <w:tcPr>
            <w:tcW w:w="1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Total commercial</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31,839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20,503</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40"/>
              <w:spacing w:after="0"/>
              <w:rPr>
                <w:sz w:val="20"/>
                <w:szCs w:val="20"/>
                <w:color w:val="auto"/>
              </w:rPr>
            </w:pPr>
            <w:r>
              <w:rPr>
                <w:rFonts w:ascii="Arial" w:cs="Arial" w:eastAsia="Arial" w:hAnsi="Arial"/>
                <w:sz w:val="16"/>
                <w:szCs w:val="16"/>
                <w:color w:val="auto"/>
              </w:rPr>
              <w:t>Residential mortgage</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13,864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10,567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Home equity lines of credit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3,173</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440"/>
              <w:spacing w:after="0"/>
              <w:rPr>
                <w:sz w:val="20"/>
                <w:szCs w:val="20"/>
                <w:color w:val="auto"/>
              </w:rPr>
            </w:pPr>
            <w:r>
              <w:rPr>
                <w:rFonts w:ascii="Arial" w:cs="Arial" w:eastAsia="Arial" w:hAnsi="Arial"/>
                <w:sz w:val="16"/>
                <w:szCs w:val="16"/>
                <w:color w:val="auto"/>
              </w:rPr>
              <w:t>Residential construction</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939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440"/>
              <w:spacing w:after="0"/>
              <w:rPr>
                <w:sz w:val="20"/>
                <w:szCs w:val="20"/>
                <w:color w:val="auto"/>
              </w:rPr>
            </w:pPr>
            <w:r>
              <w:rPr>
                <w:rFonts w:ascii="Arial" w:cs="Arial" w:eastAsia="Arial" w:hAnsi="Arial"/>
                <w:sz w:val="16"/>
                <w:szCs w:val="16"/>
                <w:color w:val="auto"/>
              </w:rPr>
              <w:t>Consumer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159</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640" w:type="dxa"/>
            <w:vAlign w:val="bottom"/>
          </w:tcPr>
          <w:p>
            <w:pPr>
              <w:ind w:left="1520"/>
              <w:spacing w:after="0"/>
              <w:rPr>
                <w:sz w:val="20"/>
                <w:szCs w:val="20"/>
                <w:color w:val="auto"/>
              </w:rPr>
            </w:pPr>
            <w:r>
              <w:rPr>
                <w:rFonts w:ascii="Arial" w:cs="Arial" w:eastAsia="Arial" w:hAnsi="Arial"/>
                <w:sz w:val="16"/>
                <w:szCs w:val="16"/>
                <w:color w:val="auto"/>
              </w:rPr>
              <w:t>Total nonaccrual loans</w:t>
            </w:r>
          </w:p>
        </w:tc>
        <w:tc>
          <w:tcPr>
            <w:tcW w:w="200" w:type="dxa"/>
            <w:vAlign w:val="bottom"/>
          </w:tcPr>
          <w:p>
            <w:pPr>
              <w:spacing w:after="0"/>
              <w:rPr>
                <w:sz w:val="17"/>
                <w:szCs w:val="17"/>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49,084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35,341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Foreclosed properties/other real estate owned ("OREO")</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476</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520"/>
              <w:spacing w:after="0"/>
              <w:rPr>
                <w:sz w:val="20"/>
                <w:szCs w:val="20"/>
                <w:color w:val="auto"/>
              </w:rPr>
            </w:pPr>
            <w:r>
              <w:rPr>
                <w:rFonts w:ascii="Arial" w:cs="Arial" w:eastAsia="Arial" w:hAnsi="Arial"/>
                <w:sz w:val="16"/>
                <w:szCs w:val="16"/>
                <w:color w:val="auto"/>
              </w:rPr>
              <w:t>Total NPAs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50,037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35,817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1340"/>
              <w:spacing w:after="0"/>
              <w:rPr>
                <w:sz w:val="20"/>
                <w:szCs w:val="20"/>
                <w:color w:val="auto"/>
              </w:rPr>
            </w:pPr>
            <w:r>
              <w:rPr>
                <w:rFonts w:ascii="Arial" w:cs="Arial" w:eastAsia="Arial" w:hAnsi="Arial"/>
                <w:sz w:val="16"/>
                <w:szCs w:val="16"/>
                <w:color w:val="auto"/>
              </w:rPr>
              <w:t>Nonaccrual loans as a percentage of total loans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0.42 %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0.40 %</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1340"/>
              <w:spacing w:after="0"/>
              <w:rPr>
                <w:sz w:val="20"/>
                <w:szCs w:val="20"/>
                <w:color w:val="auto"/>
              </w:rPr>
            </w:pPr>
            <w:r>
              <w:rPr>
                <w:rFonts w:ascii="Arial" w:cs="Arial" w:eastAsia="Arial" w:hAnsi="Arial"/>
                <w:sz w:val="16"/>
                <w:szCs w:val="16"/>
                <w:color w:val="auto"/>
              </w:rPr>
              <w:t>NPAs as a percentage of total loans and OREO</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0.41</w:t>
            </w: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1340"/>
              <w:spacing w:after="0"/>
              <w:rPr>
                <w:sz w:val="20"/>
                <w:szCs w:val="20"/>
                <w:color w:val="auto"/>
              </w:rPr>
            </w:pPr>
            <w:r>
              <w:rPr>
                <w:rFonts w:ascii="Arial" w:cs="Arial" w:eastAsia="Arial" w:hAnsi="Arial"/>
                <w:sz w:val="16"/>
                <w:szCs w:val="16"/>
                <w:color w:val="auto"/>
              </w:rPr>
              <w:t>NPAs as a percentage of total assets</w:t>
            </w:r>
          </w:p>
        </w:tc>
        <w:tc>
          <w:tcPr>
            <w:tcW w:w="2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0.28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At September 30, 2020 and December 31, 2019, we had $54.5 million and $54.2 million, respectively, in loans with terms that have been modified in TDRs. Included therein were $17.3 million and $8.25 million, respectively, of TDRs that were classified as nonaccrual and were included in nonperforming loans. The remaining TDRs with an aggregate balance of $37.2 million and $46.0</w:t>
      </w:r>
    </w:p>
    <w:p>
      <w:pPr>
        <w:sectPr>
          <w:pgSz w:w="11900" w:h="16838" w:orient="portrait"/>
          <w:cols w:equalWidth="0" w:num="1">
            <w:col w:w="11240"/>
          </w:cols>
          <w:pgMar w:left="320" w:top="93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color w:val="auto"/>
        </w:rPr>
        <w:t>million, respectively, were performing according to their modified terms and were therefore not considered to be nonperforming assets.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mentioned, the CARES Act granted temporary relief from TDR classification for certain loans restructured as a result of COVID-19. During the first and second quarters of 2020 we granted a significant number of payment deferral requests to our borrowers related to the economic disruption created by COVID-19, most of which were exempt from TDR classification in the short term. In the third quarter, most of the loans with deferral periods had resumed normal payments. The table below presents remaining COVID-19 related short-term deferrals that, to the extent they qualified for exemption, were not considered TDRs as of September 30, 2020.</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Table 10 - COVID-19 Deferrals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180" w:type="dxa"/>
            <w:vAlign w:val="bottom"/>
            <w:gridSpan w:val="4"/>
          </w:tcPr>
          <w:p>
            <w:pPr>
              <w:ind w:left="660"/>
              <w:spacing w:after="0"/>
              <w:rPr>
                <w:sz w:val="20"/>
                <w:szCs w:val="20"/>
                <w:color w:val="auto"/>
              </w:rPr>
            </w:pPr>
            <w:r>
              <w:rPr>
                <w:rFonts w:ascii="Arial" w:cs="Arial" w:eastAsia="Arial" w:hAnsi="Arial"/>
                <w:sz w:val="16"/>
                <w:szCs w:val="16"/>
                <w:b w:val="1"/>
                <w:bCs w:val="1"/>
                <w:color w:val="auto"/>
              </w:rPr>
              <w:t>September 30, 2020</w:t>
            </w:r>
          </w:p>
        </w:tc>
      </w:tr>
      <w:tr>
        <w:trPr>
          <w:trHeight w:val="158"/>
        </w:trPr>
        <w:tc>
          <w:tcPr>
            <w:tcW w:w="58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59"/>
              <w:spacing w:after="0" w:line="158" w:lineRule="exact"/>
              <w:rPr>
                <w:sz w:val="20"/>
                <w:szCs w:val="20"/>
                <w:color w:val="auto"/>
              </w:rPr>
            </w:pPr>
            <w:r>
              <w:rPr>
                <w:rFonts w:ascii="Arial" w:cs="Arial" w:eastAsia="Arial" w:hAnsi="Arial"/>
                <w:sz w:val="16"/>
                <w:szCs w:val="16"/>
                <w:b w:val="1"/>
                <w:bCs w:val="1"/>
                <w:color w:val="auto"/>
              </w:rPr>
              <w:t>COVID-19</w:t>
            </w: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39"/>
              <w:spacing w:after="0" w:line="158" w:lineRule="exact"/>
              <w:rPr>
                <w:sz w:val="20"/>
                <w:szCs w:val="20"/>
                <w:color w:val="auto"/>
              </w:rPr>
            </w:pPr>
            <w:r>
              <w:rPr>
                <w:rFonts w:ascii="Arial" w:cs="Arial" w:eastAsia="Arial" w:hAnsi="Arial"/>
                <w:sz w:val="16"/>
                <w:szCs w:val="16"/>
                <w:b w:val="1"/>
                <w:bCs w:val="1"/>
                <w:color w:val="auto"/>
              </w:rPr>
              <w:t>Deferrals as a % of</w:t>
            </w:r>
          </w:p>
        </w:tc>
        <w:tc>
          <w:tcPr>
            <w:tcW w:w="2260" w:type="dxa"/>
            <w:vAlign w:val="bottom"/>
          </w:tcPr>
          <w:p>
            <w:pPr>
              <w:spacing w:after="0"/>
              <w:rPr>
                <w:sz w:val="13"/>
                <w:szCs w:val="13"/>
                <w:color w:val="auto"/>
              </w:rPr>
            </w:pPr>
          </w:p>
        </w:tc>
      </w:tr>
      <w:tr>
        <w:trPr>
          <w:trHeight w:val="213"/>
        </w:trPr>
        <w:tc>
          <w:tcPr>
            <w:tcW w:w="58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Deferrals</w:t>
            </w: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loan category</w:t>
            </w:r>
          </w:p>
        </w:tc>
        <w:tc>
          <w:tcPr>
            <w:tcW w:w="2260" w:type="dxa"/>
            <w:vAlign w:val="bottom"/>
            <w:tcBorders>
              <w:bottom w:val="single" w:sz="8" w:color="CCEEFF"/>
            </w:tcBorders>
          </w:tcPr>
          <w:p>
            <w:pPr>
              <w:spacing w:after="0"/>
              <w:rPr>
                <w:sz w:val="18"/>
                <w:szCs w:val="18"/>
                <w:color w:val="auto"/>
              </w:rPr>
            </w:pPr>
          </w:p>
        </w:tc>
      </w:tr>
      <w:tr>
        <w:trPr>
          <w:trHeight w:val="212"/>
        </w:trPr>
        <w:tc>
          <w:tcPr>
            <w:tcW w:w="582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2260" w:type="dxa"/>
            <w:vAlign w:val="bottom"/>
            <w:shd w:val="clear" w:color="auto" w:fill="CCEEFF"/>
          </w:tcPr>
          <w:p>
            <w:pPr>
              <w:spacing w:after="0"/>
              <w:rPr>
                <w:sz w:val="18"/>
                <w:szCs w:val="18"/>
                <w:color w:val="auto"/>
              </w:rPr>
            </w:pPr>
          </w:p>
        </w:tc>
      </w:tr>
      <w:tr>
        <w:trPr>
          <w:trHeight w:val="213"/>
        </w:trPr>
        <w:tc>
          <w:tcPr>
            <w:tcW w:w="5820" w:type="dxa"/>
            <w:vAlign w:val="bottom"/>
          </w:tcPr>
          <w:p>
            <w:pPr>
              <w:ind w:left="226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182,438</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7</w:t>
            </w:r>
          </w:p>
        </w:tc>
        <w:tc>
          <w:tcPr>
            <w:tcW w:w="2260" w:type="dxa"/>
            <w:vAlign w:val="bottom"/>
          </w:tcPr>
          <w:p>
            <w:pPr>
              <w:spacing w:after="0"/>
              <w:rPr>
                <w:sz w:val="18"/>
                <w:szCs w:val="18"/>
                <w:color w:val="auto"/>
              </w:rPr>
            </w:pPr>
          </w:p>
        </w:tc>
      </w:tr>
      <w:tr>
        <w:trPr>
          <w:trHeight w:val="219"/>
        </w:trPr>
        <w:tc>
          <w:tcPr>
            <w:tcW w:w="582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Commercial &amp; industrial</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51,429</w:t>
            </w:r>
          </w:p>
        </w:tc>
        <w:tc>
          <w:tcPr>
            <w:tcW w:w="1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2260" w:type="dxa"/>
            <w:vAlign w:val="bottom"/>
            <w:shd w:val="clear" w:color="auto" w:fill="CCEEFF"/>
          </w:tcPr>
          <w:p>
            <w:pPr>
              <w:spacing w:after="0"/>
              <w:rPr>
                <w:sz w:val="19"/>
                <w:szCs w:val="19"/>
                <w:color w:val="auto"/>
              </w:rPr>
            </w:pPr>
          </w:p>
        </w:tc>
      </w:tr>
      <w:tr>
        <w:trPr>
          <w:trHeight w:val="213"/>
        </w:trPr>
        <w:tc>
          <w:tcPr>
            <w:tcW w:w="5820" w:type="dxa"/>
            <w:vAlign w:val="bottom"/>
          </w:tcPr>
          <w:p>
            <w:pPr>
              <w:ind w:left="226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54,153</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6</w:t>
            </w:r>
          </w:p>
        </w:tc>
        <w:tc>
          <w:tcPr>
            <w:tcW w:w="2260" w:type="dxa"/>
            <w:vAlign w:val="bottom"/>
          </w:tcPr>
          <w:p>
            <w:pPr>
              <w:spacing w:after="0"/>
              <w:rPr>
                <w:sz w:val="18"/>
                <w:szCs w:val="18"/>
                <w:color w:val="auto"/>
              </w:rPr>
            </w:pPr>
          </w:p>
        </w:tc>
      </w:tr>
      <w:tr>
        <w:trPr>
          <w:trHeight w:val="219"/>
        </w:trPr>
        <w:tc>
          <w:tcPr>
            <w:tcW w:w="582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19,765</w:t>
            </w:r>
          </w:p>
        </w:tc>
        <w:tc>
          <w:tcPr>
            <w:tcW w:w="1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2260" w:type="dxa"/>
            <w:vAlign w:val="bottom"/>
            <w:shd w:val="clear" w:color="auto" w:fill="CCEEFF"/>
          </w:tcPr>
          <w:p>
            <w:pPr>
              <w:spacing w:after="0"/>
              <w:rPr>
                <w:sz w:val="19"/>
                <w:szCs w:val="19"/>
                <w:color w:val="auto"/>
              </w:rPr>
            </w:pPr>
          </w:p>
        </w:tc>
      </w:tr>
      <w:tr>
        <w:trPr>
          <w:trHeight w:val="207"/>
        </w:trPr>
        <w:tc>
          <w:tcPr>
            <w:tcW w:w="5820" w:type="dxa"/>
            <w:vAlign w:val="bottom"/>
          </w:tcPr>
          <w:p>
            <w:pPr>
              <w:ind w:left="2340"/>
              <w:spacing w:after="0"/>
              <w:rPr>
                <w:sz w:val="20"/>
                <w:szCs w:val="20"/>
                <w:color w:val="auto"/>
              </w:rPr>
            </w:pPr>
            <w:r>
              <w:rPr>
                <w:rFonts w:ascii="Arial" w:cs="Arial" w:eastAsia="Arial" w:hAnsi="Arial"/>
                <w:sz w:val="16"/>
                <w:szCs w:val="16"/>
                <w:color w:val="auto"/>
              </w:rPr>
              <w:t>Total commercial</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350,344</w:t>
            </w:r>
          </w:p>
        </w:tc>
        <w:tc>
          <w:tcPr>
            <w:tcW w:w="1700" w:type="dxa"/>
            <w:vAlign w:val="bottom"/>
            <w:gridSpan w:val="2"/>
          </w:tcPr>
          <w:p>
            <w:pPr>
              <w:jc w:val="right"/>
              <w:ind w:right="119"/>
              <w:spacing w:after="0"/>
              <w:rPr>
                <w:sz w:val="20"/>
                <w:szCs w:val="20"/>
                <w:color w:val="auto"/>
              </w:rPr>
            </w:pPr>
            <w:r>
              <w:rPr>
                <w:rFonts w:ascii="Arial" w:cs="Arial" w:eastAsia="Arial" w:hAnsi="Arial"/>
                <w:sz w:val="16"/>
                <w:szCs w:val="16"/>
                <w:color w:val="auto"/>
              </w:rPr>
              <w:t>4</w:t>
            </w:r>
          </w:p>
        </w:tc>
        <w:tc>
          <w:tcPr>
            <w:tcW w:w="2260" w:type="dxa"/>
            <w:vAlign w:val="bottom"/>
          </w:tcPr>
          <w:p>
            <w:pPr>
              <w:spacing w:after="0"/>
              <w:rPr>
                <w:sz w:val="17"/>
                <w:szCs w:val="17"/>
                <w:color w:val="auto"/>
              </w:rPr>
            </w:pPr>
          </w:p>
        </w:tc>
      </w:tr>
      <w:tr>
        <w:trPr>
          <w:trHeight w:val="219"/>
        </w:trPr>
        <w:tc>
          <w:tcPr>
            <w:tcW w:w="582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12,453</w:t>
            </w:r>
          </w:p>
        </w:tc>
        <w:tc>
          <w:tcPr>
            <w:tcW w:w="17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2260" w:type="dxa"/>
            <w:vAlign w:val="bottom"/>
            <w:shd w:val="clear" w:color="auto" w:fill="CCEEFF"/>
          </w:tcPr>
          <w:p>
            <w:pPr>
              <w:spacing w:after="0"/>
              <w:rPr>
                <w:sz w:val="19"/>
                <w:szCs w:val="19"/>
                <w:color w:val="auto"/>
              </w:rPr>
            </w:pPr>
          </w:p>
        </w:tc>
      </w:tr>
      <w:tr>
        <w:trPr>
          <w:trHeight w:val="213"/>
        </w:trPr>
        <w:tc>
          <w:tcPr>
            <w:tcW w:w="5820" w:type="dxa"/>
            <w:vAlign w:val="bottom"/>
          </w:tcPr>
          <w:p>
            <w:pPr>
              <w:ind w:left="2260"/>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1,451</w:t>
            </w:r>
          </w:p>
        </w:tc>
        <w:tc>
          <w:tcPr>
            <w:tcW w:w="120" w:type="dxa"/>
            <w:vAlign w:val="bottom"/>
          </w:tcPr>
          <w:p>
            <w:pPr>
              <w:spacing w:after="0"/>
              <w:rPr>
                <w:sz w:val="18"/>
                <w:szCs w:val="18"/>
                <w:color w:val="auto"/>
              </w:rPr>
            </w:pPr>
          </w:p>
        </w:tc>
        <w:tc>
          <w:tcPr>
            <w:tcW w:w="3840" w:type="dxa"/>
            <w:vAlign w:val="bottom"/>
            <w:gridSpan w:val="2"/>
          </w:tcPr>
          <w:p>
            <w:pPr>
              <w:jc w:val="right"/>
              <w:ind w:right="2460"/>
              <w:spacing w:after="0"/>
              <w:rPr>
                <w:sz w:val="20"/>
                <w:szCs w:val="20"/>
                <w:color w:val="auto"/>
              </w:rPr>
            </w:pPr>
            <w:r>
              <w:rPr>
                <w:rFonts w:ascii="Arial" w:cs="Arial" w:eastAsia="Arial" w:hAnsi="Arial"/>
                <w:sz w:val="16"/>
                <w:szCs w:val="16"/>
                <w:color w:val="auto"/>
              </w:rPr>
              <w:t>—</w:t>
            </w:r>
          </w:p>
        </w:tc>
      </w:tr>
      <w:tr>
        <w:trPr>
          <w:trHeight w:val="219"/>
        </w:trPr>
        <w:tc>
          <w:tcPr>
            <w:tcW w:w="5820" w:type="dxa"/>
            <w:vAlign w:val="bottom"/>
            <w:shd w:val="clear" w:color="auto" w:fill="CCEEFF"/>
          </w:tcPr>
          <w:p>
            <w:pPr>
              <w:ind w:left="2260"/>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CEEFF"/>
          </w:tcPr>
          <w:p>
            <w:pPr>
              <w:spacing w:after="0"/>
              <w:rPr>
                <w:sz w:val="19"/>
                <w:szCs w:val="19"/>
                <w:color w:val="auto"/>
              </w:rPr>
            </w:pPr>
          </w:p>
        </w:tc>
        <w:tc>
          <w:tcPr>
            <w:tcW w:w="3840" w:type="dxa"/>
            <w:vAlign w:val="bottom"/>
            <w:gridSpan w:val="2"/>
            <w:shd w:val="clear" w:color="auto" w:fill="CCEEFF"/>
          </w:tcPr>
          <w:p>
            <w:pPr>
              <w:jc w:val="right"/>
              <w:ind w:right="2460"/>
              <w:spacing w:after="0"/>
              <w:rPr>
                <w:sz w:val="20"/>
                <w:szCs w:val="20"/>
                <w:color w:val="auto"/>
              </w:rPr>
            </w:pPr>
            <w:r>
              <w:rPr>
                <w:rFonts w:ascii="Arial" w:cs="Arial" w:eastAsia="Arial" w:hAnsi="Arial"/>
                <w:sz w:val="16"/>
                <w:szCs w:val="16"/>
                <w:color w:val="auto"/>
              </w:rPr>
              <w:t>—</w:t>
            </w:r>
          </w:p>
        </w:tc>
      </w:tr>
      <w:tr>
        <w:trPr>
          <w:trHeight w:val="213"/>
        </w:trPr>
        <w:tc>
          <w:tcPr>
            <w:tcW w:w="5820" w:type="dxa"/>
            <w:vAlign w:val="bottom"/>
            <w:tcBorders>
              <w:bottom w:val="single" w:sz="8" w:color="CCEEFF"/>
            </w:tcBorders>
          </w:tcPr>
          <w:p>
            <w:pPr>
              <w:ind w:left="2260"/>
              <w:spacing w:after="0"/>
              <w:rPr>
                <w:sz w:val="20"/>
                <w:szCs w:val="20"/>
                <w:color w:val="auto"/>
              </w:rPr>
            </w:pPr>
            <w:r>
              <w:rPr>
                <w:rFonts w:ascii="Arial" w:cs="Arial" w:eastAsia="Arial" w:hAnsi="Arial"/>
                <w:sz w:val="16"/>
                <w:szCs w:val="16"/>
                <w:color w:val="auto"/>
              </w:rPr>
              <w:t>Consumer</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tcPr>
          <w:p>
            <w:pPr>
              <w:spacing w:after="0"/>
              <w:rPr>
                <w:sz w:val="18"/>
                <w:szCs w:val="18"/>
                <w:color w:val="auto"/>
              </w:rPr>
            </w:pPr>
          </w:p>
        </w:tc>
        <w:tc>
          <w:tcPr>
            <w:tcW w:w="3840" w:type="dxa"/>
            <w:vAlign w:val="bottom"/>
            <w:tcBorders>
              <w:bottom w:val="single" w:sz="8" w:color="CCEEFF"/>
            </w:tcBorders>
            <w:gridSpan w:val="2"/>
          </w:tcPr>
          <w:p>
            <w:pPr>
              <w:jc w:val="right"/>
              <w:ind w:right="2460"/>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Borders>
              <w:bottom w:val="single" w:sz="8" w:color="CCEEFF"/>
            </w:tcBorders>
            <w:shd w:val="clear" w:color="auto" w:fill="CCEEFF"/>
          </w:tcPr>
          <w:p>
            <w:pPr>
              <w:ind w:left="2340"/>
              <w:spacing w:after="0"/>
              <w:rPr>
                <w:sz w:val="20"/>
                <w:szCs w:val="20"/>
                <w:color w:val="auto"/>
              </w:rPr>
            </w:pPr>
            <w:r>
              <w:rPr>
                <w:rFonts w:ascii="Arial" w:cs="Arial" w:eastAsia="Arial" w:hAnsi="Arial"/>
                <w:sz w:val="16"/>
                <w:szCs w:val="16"/>
                <w:color w:val="auto"/>
              </w:rPr>
              <w:t>Total COVID-19 deferrals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364,797</w:t>
            </w:r>
          </w:p>
        </w:tc>
        <w:tc>
          <w:tcPr>
            <w:tcW w:w="17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2260" w:type="dxa"/>
            <w:vAlign w:val="bottom"/>
            <w:tcBorders>
              <w:bottom w:val="single" w:sz="8" w:color="CCEEFF"/>
            </w:tcBorders>
            <w:shd w:val="clear" w:color="auto" w:fill="CCEEFF"/>
          </w:tcPr>
          <w:p>
            <w:pPr>
              <w:spacing w:after="0"/>
              <w:rPr>
                <w:sz w:val="20"/>
                <w:szCs w:val="20"/>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our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w:t>
      </w:r>
    </w:p>
    <w:p>
      <w:pPr>
        <w:spacing w:after="0" w:line="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2020 and December 31, 2019, we had debt securities held-to-maturity with a carrying amount of $398 million and $284 million, respectively, and debt securities available-for-sale totaling $2.69 billion and $2.27 billion, respectively. The increased balances at September 30, 2020 reflected securities acquired from Three Shores as well as our decision to deploy excess liquidity by purchasing securities. At September 30, 2020 and December 31, 2019, the securities portfolio represented approximately 18% and 20%, respectively, of total assets.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and asset-backed securities rely on the underlying pools of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we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CECL, our held-to-maturity securities portfolio was evaluated to assess whether an ACL was required. We measure expected credit losses on held-to-maturity debt securities on a collective basis by major security type. The estimate of expected credit losses considers historical credit loss information that is adjusted for current conditions and reasonable and supportable forecasts. At adoption on January 1, 2020 and at September 30, 2020, calculated credit losses on held-to-maturity debt securities were not material due to the high credit quality of the portfolio, which included securities issued or guaranteed by U.S. Government agencies and high credit quality municipal securities. As a result, we did not record an ACL for held-to-maturity securities at adoption or at September 30, 2020.</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4" w:name="page65"/>
    <w:bookmarkEnd w:id="64"/>
    <w:p>
      <w:pPr>
        <w:jc w:val="both"/>
        <w:spacing w:after="0" w:line="291" w:lineRule="auto"/>
        <w:rPr>
          <w:sz w:val="20"/>
          <w:szCs w:val="20"/>
          <w:color w:val="auto"/>
        </w:rPr>
      </w:pPr>
      <w:r>
        <w:rPr>
          <w:rFonts w:ascii="Arial" w:cs="Arial" w:eastAsia="Arial" w:hAnsi="Arial"/>
          <w:sz w:val="16"/>
          <w:szCs w:val="16"/>
          <w:color w:val="auto"/>
        </w:rPr>
        <w:t>For available-for-sale debt securities in an unrealized loss position, if we intend to sell, or if it is more likely than not that we will be required to sell the security before recovery of its amortized cost basis, the security's amortized cost basis is written down to fair value through income. Absent an intent or more than likely requirement to sell, we evaluate whether the decline in fair value has resulted from credit losses or other factors. The evaluation considers factors such as the extent to which fair value is less than amortized cost, changes to the security’s rating, and adverse conditions specific to the security. If the evaluation indicates a credit loss exists, an ACL may be recorded, with such allowance limited to the amount by which fair value is below amortized cost. Any impairment unrelated to credit factors is recognized in other comprehensive income. At September 30, 2020, there was no ACL related to the available-for-sale portfolio. Losses on fixed income securities at September 30, 2020 primarily reflected the effect of changes in interest rates.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represents the premium paid for acquired companies above the net fair value of the assets acquired and liabilities assumed, including separately identifiable intangible assets. At September 30, 2020 and December 31, 2019, the net carrying amount of goodwill was $369 million and $327 million, respectively. Goodwill is not amortized but is assessed for impairment on an annual basis, or more often if events or circumstances indicate there may be impairment, referred to as a triggering event. Upon the occurrence of a triggering event, accounting guidance allows for an assessment of qualitative factors to determine whether it is more likely than not, or a greater than 50% likelihood, that the fair value of the entity is less than its carrying amount, including goodwill. When it is more likely than not that impairment has occurred, management is required to perform a quantitative analysis and, if necessary, adjust the carrying amount of goodwill by recording a goodwill impairment loss.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the latter part of the first quarter of 2020, as a result of market concerns about the potential impact of COVID-19, United’s stock price declined such that it traded below book value for much of the first nine months of 2020. United generally performs its annual goodwill impairment assessment during the fourth quarter of each year, using data as of the end of the third quarter; however as a result of this triggering event, management has qualitatively assessed and concluded that there was not a greater than 50% likelihood that United’s fair value was less than its carrying amount as of September 30, 2020, given the anticipated short duration of the change in macroeconomic conditions and excess of value as of the latest annual assessment performed as of September 30, 2019. Management will continue to monitor and assess the impact of the pandemic on the Company’s value as part of the annual goodwill assessment in the fourth quarter.</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us to believe that any impairment existed on core deposit intangible assets.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acquisition of Three Shores on July 1, 2020, we recorded goodwill and a core deposit intangible of $41.6 million and $3.36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Customer deposits are the primary source of funds for the continued growth of our earning assets. Our high level of service, as evidenced by our strong customer satisfaction scores, has been instrumental in attracting and retaining customer deposit accounts. In addition to organic growth, at September 30, 2020, the increase in core transaction deposits was also attributable to deposits acquired from Three Shores ($1.80 billion at the July 1, 2020 acquisition date) and PPP-related deposits. The following table sets forth the deposit composition for the periods indicated.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Deposits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2019</w:t>
            </w:r>
          </w:p>
        </w:tc>
      </w:tr>
      <w:tr>
        <w:trPr>
          <w:trHeight w:val="213"/>
        </w:trPr>
        <w:tc>
          <w:tcPr>
            <w:tcW w:w="5540" w:type="dxa"/>
            <w:vAlign w:val="bottom"/>
            <w:tcBorders>
              <w:top w:val="single" w:sz="8" w:color="CCEEFF"/>
            </w:tcBorders>
            <w:shd w:val="clear" w:color="auto" w:fill="CCEEFF"/>
          </w:tcPr>
          <w:p>
            <w:pPr>
              <w:ind w:left="1580"/>
              <w:spacing w:after="0"/>
              <w:rPr>
                <w:sz w:val="20"/>
                <w:szCs w:val="20"/>
                <w:color w:val="auto"/>
              </w:rPr>
            </w:pPr>
            <w:r>
              <w:rPr>
                <w:rFonts w:ascii="Arial" w:cs="Arial" w:eastAsia="Arial" w:hAnsi="Arial"/>
                <w:sz w:val="16"/>
                <w:szCs w:val="16"/>
                <w:color w:val="auto"/>
              </w:rPr>
              <w:t>Noninterest-bearing demand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5,227,170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3,477,979</w:t>
            </w:r>
          </w:p>
        </w:tc>
        <w:tc>
          <w:tcPr>
            <w:tcW w:w="1500" w:type="dxa"/>
            <w:vAlign w:val="bottom"/>
            <w:tcBorders>
              <w:top w:val="single" w:sz="8" w:color="CCEEFF"/>
            </w:tcBorders>
            <w:shd w:val="clear" w:color="auto" w:fill="CCEEFF"/>
          </w:tcPr>
          <w:p>
            <w:pPr>
              <w:spacing w:after="0"/>
              <w:rPr>
                <w:sz w:val="18"/>
                <w:szCs w:val="18"/>
                <w:color w:val="auto"/>
              </w:rPr>
            </w:pPr>
          </w:p>
        </w:tc>
      </w:tr>
      <w:tr>
        <w:trPr>
          <w:trHeight w:val="213"/>
        </w:trPr>
        <w:tc>
          <w:tcPr>
            <w:tcW w:w="5540" w:type="dxa"/>
            <w:vAlign w:val="bottom"/>
          </w:tcPr>
          <w:p>
            <w:pPr>
              <w:ind w:left="158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2,989,455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2,461,895</w:t>
            </w:r>
          </w:p>
        </w:tc>
        <w:tc>
          <w:tcPr>
            <w:tcW w:w="1500" w:type="dxa"/>
            <w:vAlign w:val="bottom"/>
          </w:tcPr>
          <w:p>
            <w:pPr>
              <w:spacing w:after="0"/>
              <w:rPr>
                <w:sz w:val="18"/>
                <w:szCs w:val="18"/>
                <w:color w:val="auto"/>
              </w:rPr>
            </w:pPr>
          </w:p>
        </w:tc>
      </w:tr>
      <w:tr>
        <w:trPr>
          <w:trHeight w:val="219"/>
        </w:trPr>
        <w:tc>
          <w:tcPr>
            <w:tcW w:w="554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Money market and savings</w:t>
            </w: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4,290,940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2,937,095</w:t>
            </w:r>
          </w:p>
        </w:tc>
        <w:tc>
          <w:tcPr>
            <w:tcW w:w="1500" w:type="dxa"/>
            <w:vAlign w:val="bottom"/>
            <w:shd w:val="clear" w:color="auto" w:fill="CCEEFF"/>
          </w:tcPr>
          <w:p>
            <w:pPr>
              <w:spacing w:after="0"/>
              <w:rPr>
                <w:sz w:val="19"/>
                <w:szCs w:val="19"/>
                <w:color w:val="auto"/>
              </w:rPr>
            </w:pPr>
          </w:p>
        </w:tc>
      </w:tr>
      <w:tr>
        <w:trPr>
          <w:trHeight w:val="213"/>
        </w:trPr>
        <w:tc>
          <w:tcPr>
            <w:tcW w:w="5540" w:type="dxa"/>
            <w:vAlign w:val="bottom"/>
            <w:tcBorders>
              <w:bottom w:val="single" w:sz="8" w:color="CCEEFF"/>
            </w:tcBorders>
          </w:tcPr>
          <w:p>
            <w:pPr>
              <w:ind w:left="158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1,819,586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1,859,574</w:t>
            </w:r>
          </w:p>
        </w:tc>
        <w:tc>
          <w:tcPr>
            <w:tcW w:w="1500" w:type="dxa"/>
            <w:vAlign w:val="bottom"/>
            <w:tcBorders>
              <w:bottom w:val="single" w:sz="8" w:color="CCEEFF"/>
            </w:tcBorders>
          </w:tcPr>
          <w:p>
            <w:pPr>
              <w:spacing w:after="0"/>
              <w:rPr>
                <w:sz w:val="18"/>
                <w:szCs w:val="18"/>
                <w:color w:val="auto"/>
              </w:rPr>
            </w:pPr>
          </w:p>
        </w:tc>
      </w:tr>
      <w:tr>
        <w:trPr>
          <w:trHeight w:val="213"/>
        </w:trPr>
        <w:tc>
          <w:tcPr>
            <w:tcW w:w="5540" w:type="dxa"/>
            <w:vAlign w:val="bottom"/>
            <w:shd w:val="clear" w:color="auto" w:fill="CCEEFF"/>
          </w:tcPr>
          <w:p>
            <w:pPr>
              <w:ind w:left="1660"/>
              <w:spacing w:after="0"/>
              <w:rPr>
                <w:sz w:val="20"/>
                <w:szCs w:val="20"/>
                <w:color w:val="auto"/>
              </w:rPr>
            </w:pPr>
            <w:r>
              <w:rPr>
                <w:rFonts w:ascii="Arial" w:cs="Arial" w:eastAsia="Arial" w:hAnsi="Arial"/>
                <w:sz w:val="16"/>
                <w:szCs w:val="16"/>
                <w:color w:val="auto"/>
              </w:rPr>
              <w:t>Total customer deposits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14,327,151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10,736,543</w:t>
            </w:r>
          </w:p>
        </w:tc>
        <w:tc>
          <w:tcPr>
            <w:tcW w:w="150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ind w:left="1580"/>
              <w:spacing w:after="0"/>
              <w:rPr>
                <w:sz w:val="20"/>
                <w:szCs w:val="20"/>
                <w:color w:val="auto"/>
              </w:rPr>
            </w:pPr>
            <w:r>
              <w:rPr>
                <w:rFonts w:ascii="Arial" w:cs="Arial" w:eastAsia="Arial" w:hAnsi="Arial"/>
                <w:sz w:val="16"/>
                <w:szCs w:val="16"/>
                <w:color w:val="auto"/>
              </w:rPr>
              <w:t>Brokered deposits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276,225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160,701</w:t>
            </w:r>
          </w:p>
        </w:tc>
        <w:tc>
          <w:tcPr>
            <w:tcW w:w="1500" w:type="dxa"/>
            <w:vAlign w:val="bottom"/>
            <w:tcBorders>
              <w:bottom w:val="single" w:sz="8" w:color="CCEEFF"/>
            </w:tcBorders>
          </w:tcPr>
          <w:p>
            <w:pPr>
              <w:spacing w:after="0"/>
              <w:rPr>
                <w:sz w:val="18"/>
                <w:szCs w:val="18"/>
                <w:color w:val="auto"/>
              </w:rPr>
            </w:pPr>
          </w:p>
        </w:tc>
      </w:tr>
      <w:tr>
        <w:trPr>
          <w:trHeight w:val="238"/>
        </w:trPr>
        <w:tc>
          <w:tcPr>
            <w:tcW w:w="55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6"/>
                <w:szCs w:val="16"/>
                <w:color w:val="auto"/>
              </w:rPr>
              <w:t>Total deposits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14,603,376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10,897,244</w:t>
            </w:r>
          </w:p>
        </w:tc>
        <w:tc>
          <w:tcPr>
            <w:tcW w:w="1500" w:type="dxa"/>
            <w:vAlign w:val="bottom"/>
            <w:tcBorders>
              <w:bottom w:val="single" w:sz="8" w:color="CCEEFF"/>
            </w:tcBorders>
            <w:shd w:val="clear" w:color="auto" w:fill="CCEEFF"/>
          </w:tcPr>
          <w:p>
            <w:pPr>
              <w:spacing w:after="0"/>
              <w:rPr>
                <w:sz w:val="20"/>
                <w:szCs w:val="20"/>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2020 and December 31, 2019, we had long-term debt outstanding of $327 million and $213 million, respectively, which includes senior debentures, subordinated debentures, and trust preferred securities. During the second quarter of 2020, we issued $100 million of 5% fixed-to-floating rate senior debentures with a maturity date of June 15, 2030. The proceeds generated from the issuance of these debentures will be used for general business purposes. During the third quarter of 2020, we assumed $15.0 million of subordinated debt from Three Shores. See Note 8 to the consolidated financial statements for additional information regarding long-term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our contractual obligations since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We use the same credit underwriting procedures for making commitments, letters of credit and financial guarantees, as we use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We are not involved in off-balance sheet contractual relationships, other than those disclosed in this report, that could result in liquidity needs or other commitments, or that could significantly affect earnings. See Note 21 to the consolidated financial statements included in our 2019 10-K and Note 16 to the consolidated financial statements in this Form 10-Q for additional information on off-balance sheet arrangements.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our overall financial goals. Based on economic conditions, asset quality and various other considerations, management establishes tolerance ranges for interest rate sensitivity and manages within these ranges.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We limit our exposure to fluctuations in interest rates through policies established by our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6" w:name="page67"/>
    <w:bookmarkEnd w:id="66"/>
    <w:p>
      <w:pPr>
        <w:jc w:val="both"/>
        <w:spacing w:after="0" w:line="263" w:lineRule="auto"/>
        <w:rPr>
          <w:sz w:val="20"/>
          <w:szCs w:val="20"/>
          <w:color w:val="auto"/>
        </w:rPr>
      </w:pPr>
      <w:r>
        <w:rPr>
          <w:rFonts w:ascii="Arial" w:cs="Arial" w:eastAsia="Arial" w:hAnsi="Arial"/>
          <w:sz w:val="18"/>
          <w:szCs w:val="18"/>
          <w:color w:val="auto"/>
        </w:rPr>
        <w:t>compared to the base scenario. Our assumptions include floors such that market rates and discount rates cannot go below zero. Other scenarios analyzed may include delayed rate shocks, yield curve steepening or flattening, or other variations in rate movements. While the primary policy scenarios focus on a 12-month time frame, longer time horizons are also modeled.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Our policy limits the projected change in net interest revenue over the first 12 months to an 8% decrease for each 100 basis point change in the increasing and decreasing rate ramp and shock scenarios. The following table presents our interest sensitivity position at the dates indicated.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Interest Sensitivity</w:t>
      </w:r>
    </w:p>
    <w:p>
      <w:pPr>
        <w:spacing w:after="0" w:line="145" w:lineRule="exact"/>
        <w:rPr>
          <w:sz w:val="20"/>
          <w:szCs w:val="20"/>
          <w:color w:val="auto"/>
        </w:rPr>
      </w:pPr>
    </w:p>
    <w:p>
      <w:pPr>
        <w:jc w:val="center"/>
        <w:ind w:left="3480"/>
        <w:spacing w:after="0"/>
        <w:rPr>
          <w:sz w:val="20"/>
          <w:szCs w:val="20"/>
          <w:color w:val="auto"/>
        </w:rPr>
      </w:pPr>
      <w:r>
        <w:rPr>
          <w:rFonts w:ascii="Arial" w:cs="Arial" w:eastAsia="Arial" w:hAnsi="Arial"/>
          <w:sz w:val="16"/>
          <w:szCs w:val="16"/>
          <w:b w:val="1"/>
          <w:bCs w:val="1"/>
          <w:color w:val="auto"/>
        </w:rPr>
        <w:t>Increase (Decrease) in Net Interest Revenue from Base Scenario</w:t>
      </w:r>
    </w:p>
    <w:p>
      <w:pPr>
        <w:jc w:val="center"/>
        <w:ind w:left="3480"/>
        <w:spacing w:after="0"/>
        <w:rPr>
          <w:sz w:val="20"/>
          <w:szCs w:val="20"/>
          <w:color w:val="auto"/>
        </w:rPr>
      </w:pPr>
      <w:r>
        <w:rPr>
          <w:rFonts w:ascii="Arial" w:cs="Arial" w:eastAsia="Arial" w:hAnsi="Arial"/>
          <w:sz w:val="16"/>
          <w:szCs w:val="16"/>
          <w:b w:val="1"/>
          <w:bCs w:val="1"/>
          <w:color w:val="auto"/>
        </w:rPr>
        <w:t>at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tcBorders>
              <w:top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September 30, 2020</w:t>
            </w:r>
          </w:p>
        </w:tc>
        <w:tc>
          <w:tcPr>
            <w:tcW w:w="2240" w:type="dxa"/>
            <w:vAlign w:val="bottom"/>
            <w:tcBorders>
              <w:top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December 31, 2019</w:t>
            </w:r>
          </w:p>
        </w:tc>
        <w:tc>
          <w:tcPr>
            <w:tcW w:w="1560" w:type="dxa"/>
            <w:vAlign w:val="bottom"/>
          </w:tcPr>
          <w:p>
            <w:pPr>
              <w:spacing w:after="0"/>
              <w:rPr>
                <w:sz w:val="18"/>
                <w:szCs w:val="18"/>
                <w:color w:val="auto"/>
              </w:rPr>
            </w:pPr>
          </w:p>
        </w:tc>
      </w:tr>
      <w:tr>
        <w:trPr>
          <w:trHeight w:val="212"/>
        </w:trPr>
        <w:tc>
          <w:tcPr>
            <w:tcW w:w="1520" w:type="dxa"/>
            <w:vAlign w:val="bottom"/>
            <w:tcBorders>
              <w:bottom w:val="single" w:sz="8" w:color="CCEEFF"/>
            </w:tcBorders>
          </w:tcPr>
          <w:p>
            <w:pPr>
              <w:spacing w:after="0"/>
              <w:rPr>
                <w:sz w:val="18"/>
                <w:szCs w:val="18"/>
                <w:color w:val="auto"/>
              </w:rPr>
            </w:pPr>
          </w:p>
        </w:tc>
        <w:tc>
          <w:tcPr>
            <w:tcW w:w="34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Change in Rates</w:t>
            </w:r>
          </w:p>
        </w:tc>
        <w:tc>
          <w:tcPr>
            <w:tcW w:w="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0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Shock</w:t>
            </w:r>
          </w:p>
        </w:tc>
        <w:tc>
          <w:tcPr>
            <w:tcW w:w="100" w:type="dxa"/>
            <w:vAlign w:val="bottom"/>
            <w:tcBorders>
              <w:top w:val="single" w:sz="8" w:color="auto"/>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Ramp</w:t>
            </w:r>
          </w:p>
        </w:tc>
        <w:tc>
          <w:tcPr>
            <w:tcW w:w="1560" w:type="dxa"/>
            <w:vAlign w:val="bottom"/>
            <w:tcBorders>
              <w:bottom w:val="single" w:sz="8" w:color="CCEEFF"/>
            </w:tcBorders>
          </w:tcPr>
          <w:p>
            <w:pPr>
              <w:spacing w:after="0"/>
              <w:rPr>
                <w:sz w:val="18"/>
                <w:szCs w:val="18"/>
                <w:color w:val="auto"/>
              </w:rPr>
            </w:pPr>
          </w:p>
        </w:tc>
      </w:tr>
      <w:tr>
        <w:trPr>
          <w:trHeight w:val="212"/>
        </w:trPr>
        <w:tc>
          <w:tcPr>
            <w:tcW w:w="15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100 basis point increase</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560" w:type="dxa"/>
            <w:vAlign w:val="bottom"/>
            <w:shd w:val="clear" w:color="auto" w:fill="CCEEFF"/>
          </w:tcPr>
          <w:p>
            <w:pPr>
              <w:spacing w:after="0"/>
              <w:rPr>
                <w:sz w:val="18"/>
                <w:szCs w:val="18"/>
                <w:color w:val="auto"/>
              </w:rPr>
            </w:pPr>
          </w:p>
        </w:tc>
      </w:tr>
      <w:tr>
        <w:trPr>
          <w:trHeight w:val="210"/>
        </w:trPr>
        <w:tc>
          <w:tcPr>
            <w:tcW w:w="1520" w:type="dxa"/>
            <w:vAlign w:val="bottom"/>
          </w:tcPr>
          <w:p>
            <w:pPr>
              <w:spacing w:after="0"/>
              <w:rPr>
                <w:sz w:val="18"/>
                <w:szCs w:val="18"/>
                <w:color w:val="auto"/>
              </w:rPr>
            </w:pPr>
          </w:p>
        </w:tc>
        <w:tc>
          <w:tcPr>
            <w:tcW w:w="3560" w:type="dxa"/>
            <w:vAlign w:val="bottom"/>
            <w:gridSpan w:val="2"/>
          </w:tcPr>
          <w:p>
            <w:pPr>
              <w:ind w:left="20"/>
              <w:spacing w:after="0"/>
              <w:rPr>
                <w:sz w:val="20"/>
                <w:szCs w:val="20"/>
                <w:color w:val="auto"/>
              </w:rPr>
            </w:pPr>
            <w:r>
              <w:rPr>
                <w:rFonts w:ascii="Arial" w:cs="Arial" w:eastAsia="Arial" w:hAnsi="Arial"/>
                <w:sz w:val="16"/>
                <w:szCs w:val="16"/>
                <w:color w:val="auto"/>
              </w:rPr>
              <w:t>100 basis point decrease</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(3.92)</w:t>
            </w:r>
          </w:p>
        </w:tc>
        <w:tc>
          <w:tcPr>
            <w:tcW w:w="1560" w:type="dxa"/>
            <w:vAlign w:val="bottom"/>
          </w:tcPr>
          <w:p>
            <w:pPr>
              <w:spacing w:after="0"/>
              <w:rPr>
                <w:sz w:val="18"/>
                <w:szCs w:val="18"/>
                <w:color w:val="auto"/>
              </w:rPr>
            </w:pPr>
          </w:p>
        </w:tc>
      </w:tr>
    </w:tbl>
    <w:p>
      <w:pPr>
        <w:spacing w:after="0" w:line="2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6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have discretion in the extent and timing of deposit repricing depending upon the competitive pressures in the markets in which we operate.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we pay a variable rate (or fixed rate, as the case may be) and receive a fixed rate (or variable rate, as the case may be). In addition, investment securities and wholesale funding strategies are used to manage interest rate risk.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We have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policy requires all non-customer derivative financial instruments be used only for asset/liability management through the hedging of specific transactions, positions or risks,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we may require the counterparties to derivative contracts to pledge cash and/or securities as collateral to cover the net exposure.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Liquidity Management</w:t>
      </w:r>
    </w:p>
    <w:p>
      <w:pPr>
        <w:spacing w:after="0" w:line="1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our primary goal is to maintain a sufficient level of liquidity in all expected economic environments. To assist in determining the adequacy of our liquidity, we perform a variety of liquidity stress tests. We maintain an unencumbered liquid asset reserve to help ensure our ability to meet our obligations under normal conditions for at least a 12-month period and under severely adverse liquidity conditions for a minimum of 30 days.</w:t>
      </w:r>
    </w:p>
    <w:p>
      <w:pPr>
        <w:spacing w:after="0" w:line="8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Bank’s main source of liquidity is customer interest-bearing and noninterest-bearing deposit accounts. Liquidity is also available from wholesale funding sources consisting primarily of Federal funds purchased, FHLB advances, and brokered deposits. These sources of liquidity are generally short-term in nature and are used as necessary to fund asset growth and meet other short-term liquidity needs.</w:t>
      </w:r>
    </w:p>
    <w:p>
      <w:pPr>
        <w:spacing w:after="0" w:line="1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entity and apart from the Bank, it must provide for its own liquidity. The Holding Company is responsible for the payment of dividends declared for its common and preferred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sources of its liquidity are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9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September 30, 2020, we had sufficient qualifying collateral to provide borrowing capacity for FHLB advances of $1.39 billion and Federal Reserve discount window borrowing capacity of $1.39 billion, as well as unpledged investment securities of $2.19 billion that could be used as collateral for additional borrowings. In addition to these wholesale sources, we have the ability to attract retail deposits by competing more aggressively on pricing. In the second quarter of 2020, we originated a significant amount of PPP loans, for which funding is available through the Paycheck Protection Program Lending Facility (“PPPLF”) announced by the Federal Reserve in April of 2020. As of September 30, 2020 we had outstanding PPP loans of $1.32 billion and no balance outstanding under the PPPLF as we have been able to self-fund the majority of our PPP loans through growth in deposits.</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disclosed in the consolidated statement of cash flows, net cash provided by operating activities was $53.6 million for the nine months ended September 30, 2020. Net income of $105 million for the nine-month period included non-cash expense and income items consisting of the following: provision expense of $77.5 million, stock-based compensation expense of $5.94 million and net depreciation, amortization and accretion expense of $5.33 million. Uses of cash from operating activities included an increase in other assets and accrued interest receivable of $44.6 million, an increase in loans held for sale of $69.9 million, and a decrease in accrued expenses and other liabilities of $20.9 million. Net cash used in investing activities of $1.43 billion included a $1.52 billion net increase in loans, $668 million in purchases of debt securities available-for-sale and equity securities, purchases of debt securities held-to-maturity of $106 million, and $5.99 million in purchases of premises and equipment. These uses of cash were partially offset by $604 million in proceeds from maturities and calls of debt securities available-for-sale and equity securities, $45.2 million in proceeds from maturities and calls of debt securities held-to-maturity and $40.4 million in proceeds from sales of debt securities available-for-sale and equity securities. Net cash provided by financing activities of $1.90 billion consisted primarily of a net increase in deposits of $1.90 billion, net proceeds from the issuance of senior debentures of $98.6 million, and net proceeds from the issuance of preferred stock of $96.4 million. These sources of cash were partially offset by the repayment of FHLB advances, some of which were assumed in the Three Shores transaction, of $134 million, payment of cash dividends on common and preferred stock of $44.9 million, and the repurchases of our common stock of $20.8 million. In the opinion of management, our liquidity position at September 30, 2020, was sufficient to meet our expected cash flow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Shareholders’ equity at September 30, 2020 was $1.97 billion, an increase of $332 million from December 31, 2019 due primarily to $164 million in common stock issued to Three Shores shareholders as part of the acquisition’s purchase price, the second quarter issuance of $100 million in non-cumulative perpetual preferred stock, year-to-date earnings less dividends declared and an increase in the value of available-for-sale securities, partially offset by $20.8 million in share repurchases.</w:t>
      </w:r>
    </w:p>
    <w:p>
      <w:pPr>
        <w:spacing w:after="0" w:line="17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Pursuant to the CARES Act, we have adopted relief provided by federal banking regulatory agencies for the delay of the adverse capital impact of CECL for the two-year period after adoption. This optional two-year delay is followed by an optional three-year transition period to phase out the aggregate amount of capital benefit provided during the initial two-year delay. Under the transition provision, the amount of aggregate capital benefit is phased out by 25% each year with the full impact of adoption completely recognized by the beginning of the sixth year after adoption.</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following table shows capital ratios, as calculated under applicable regulatory guidelines, at September 30, 2020 and December 31, 2019. As of September 30, 2020, capital levels remained characterized as “well-capitalized” under prompt corrective action provisions in effect at the time. The decrease in ratios as of September 30, 2020 was primarily attributable to the increase in assets due to the acquisition of Three Shores.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related to capital ratios, as calculated under regulatory guidelines, as of September 30, 2020 and December 31, 2019, is provided in Note 15 to the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United Community Banks, Inc.</w:t>
            </w:r>
          </w:p>
        </w:tc>
        <w:tc>
          <w:tcPr>
            <w:tcW w:w="2580" w:type="dxa"/>
            <w:vAlign w:val="bottom"/>
            <w:gridSpan w:val="3"/>
            <w:vMerge w:val="restart"/>
          </w:tcPr>
          <w:p>
            <w:pPr>
              <w:ind w:left="520"/>
              <w:spacing w:after="0"/>
              <w:rPr>
                <w:sz w:val="20"/>
                <w:szCs w:val="20"/>
                <w:color w:val="auto"/>
              </w:rPr>
            </w:pPr>
            <w:r>
              <w:rPr>
                <w:rFonts w:ascii="Arial" w:cs="Arial" w:eastAsia="Arial" w:hAnsi="Arial"/>
                <w:sz w:val="14"/>
                <w:szCs w:val="14"/>
                <w:b w:val="1"/>
                <w:bCs w:val="1"/>
                <w:color w:val="auto"/>
              </w:rPr>
              <w:t>United Community Bank</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(Consolidated)</w:t>
            </w:r>
          </w:p>
        </w:tc>
        <w:tc>
          <w:tcPr>
            <w:tcW w:w="100" w:type="dxa"/>
            <w:vAlign w:val="bottom"/>
          </w:tcPr>
          <w:p>
            <w:pPr>
              <w:spacing w:after="0"/>
              <w:rPr>
                <w:sz w:val="16"/>
                <w:szCs w:val="16"/>
                <w:color w:val="auto"/>
              </w:rPr>
            </w:pPr>
          </w:p>
        </w:tc>
        <w:tc>
          <w:tcPr>
            <w:tcW w:w="258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Well</w:t>
            </w:r>
          </w:p>
        </w:tc>
        <w:tc>
          <w:tcPr>
            <w:tcW w:w="154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7"/>
              </w:rPr>
              <w:t>Minimum Capital Plus</w:t>
            </w:r>
          </w:p>
        </w:tc>
        <w:tc>
          <w:tcPr>
            <w:tcW w:w="12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Minimum</w:t>
            </w:r>
          </w:p>
        </w:tc>
        <w:tc>
          <w:tcPr>
            <w:tcW w:w="1160" w:type="dxa"/>
            <w:vAlign w:val="bottom"/>
            <w:gridSpan w:val="2"/>
            <w:vMerge w:val="continue"/>
          </w:tcPr>
          <w:p>
            <w:pPr>
              <w:spacing w:after="0"/>
              <w:rPr>
                <w:sz w:val="11"/>
                <w:szCs w:val="11"/>
                <w:color w:val="auto"/>
              </w:rPr>
            </w:pPr>
          </w:p>
        </w:tc>
        <w:tc>
          <w:tcPr>
            <w:tcW w:w="16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Capital Conservation</w:t>
            </w:r>
          </w:p>
        </w:tc>
        <w:tc>
          <w:tcPr>
            <w:tcW w:w="1340" w:type="dxa"/>
            <w:vAlign w:val="bottom"/>
            <w:gridSpan w:val="2"/>
            <w:vMerge w:val="continue"/>
          </w:tcPr>
          <w:p>
            <w:pPr>
              <w:spacing w:after="0"/>
              <w:rPr>
                <w:sz w:val="11"/>
                <w:szCs w:val="11"/>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1340" w:type="dxa"/>
            <w:vAlign w:val="bottom"/>
            <w:gridSpan w:val="2"/>
            <w:vMerge w:val="continue"/>
          </w:tcPr>
          <w:p>
            <w:pPr>
              <w:spacing w:after="0"/>
              <w:rPr>
                <w:sz w:val="11"/>
                <w:szCs w:val="11"/>
                <w:color w:val="auto"/>
              </w:rPr>
            </w:pPr>
          </w:p>
        </w:tc>
        <w:tc>
          <w:tcPr>
            <w:tcW w:w="12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Capitalized</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Buffer</w:t>
            </w:r>
          </w:p>
        </w:tc>
        <w:tc>
          <w:tcPr>
            <w:tcW w:w="122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40" w:type="dxa"/>
            <w:vAlign w:val="bottom"/>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Risk-based ratios:</w:t>
            </w:r>
          </w:p>
        </w:tc>
        <w:tc>
          <w:tcPr>
            <w:tcW w:w="10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Arial" w:cs="Arial" w:eastAsia="Arial" w:hAnsi="Arial"/>
                <w:sz w:val="14"/>
                <w:szCs w:val="14"/>
                <w:color w:val="auto"/>
              </w:rPr>
              <w:t>Common equity tier 1 capital</w:t>
            </w:r>
          </w:p>
        </w:tc>
        <w:tc>
          <w:tcPr>
            <w:tcW w:w="1020" w:type="dxa"/>
            <w:vAlign w:val="bottom"/>
          </w:tcPr>
          <w:p>
            <w:pPr>
              <w:ind w:left="660"/>
              <w:spacing w:after="0"/>
              <w:rPr>
                <w:sz w:val="20"/>
                <w:szCs w:val="20"/>
                <w:color w:val="auto"/>
              </w:rPr>
            </w:pPr>
            <w:r>
              <w:rPr>
                <w:rFonts w:ascii="Arial" w:cs="Arial" w:eastAsia="Arial" w:hAnsi="Arial"/>
                <w:sz w:val="14"/>
                <w:szCs w:val="14"/>
                <w:color w:val="auto"/>
                <w:w w:val="94"/>
              </w:rPr>
              <w:t>4.5 %</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6.5 %</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12.31 %</w:t>
            </w:r>
          </w:p>
        </w:tc>
        <w:tc>
          <w:tcPr>
            <w:tcW w:w="120" w:type="dxa"/>
            <w:vAlign w:val="bottom"/>
          </w:tcPr>
          <w:p>
            <w:pPr>
              <w:spacing w:after="0"/>
              <w:rPr>
                <w:sz w:val="16"/>
                <w:szCs w:val="16"/>
                <w:color w:val="auto"/>
              </w:rPr>
            </w:pPr>
          </w:p>
        </w:tc>
        <w:tc>
          <w:tcPr>
            <w:tcW w:w="1220" w:type="dxa"/>
            <w:vAlign w:val="bottom"/>
          </w:tcPr>
          <w:p>
            <w:pPr>
              <w:ind w:left="720"/>
              <w:spacing w:after="0"/>
              <w:rPr>
                <w:sz w:val="20"/>
                <w:szCs w:val="20"/>
                <w:color w:val="auto"/>
              </w:rPr>
            </w:pPr>
            <w:r>
              <w:rPr>
                <w:rFonts w:ascii="Arial" w:cs="Arial" w:eastAsia="Arial" w:hAnsi="Arial"/>
                <w:sz w:val="14"/>
                <w:szCs w:val="14"/>
                <w:color w:val="auto"/>
                <w:w w:val="93"/>
              </w:rPr>
              <w:t>12.97 %</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13.20 %</w:t>
            </w:r>
          </w:p>
        </w:tc>
        <w:tc>
          <w:tcPr>
            <w:tcW w:w="100" w:type="dxa"/>
            <w:vAlign w:val="bottom"/>
          </w:tcPr>
          <w:p>
            <w:pPr>
              <w:spacing w:after="0"/>
              <w:rPr>
                <w:sz w:val="16"/>
                <w:szCs w:val="16"/>
                <w:color w:val="auto"/>
              </w:rPr>
            </w:pPr>
          </w:p>
        </w:tc>
        <w:tc>
          <w:tcPr>
            <w:tcW w:w="1240" w:type="dxa"/>
            <w:vAlign w:val="bottom"/>
          </w:tcPr>
          <w:p>
            <w:pPr>
              <w:ind w:left="720"/>
              <w:spacing w:after="0"/>
              <w:rPr>
                <w:sz w:val="20"/>
                <w:szCs w:val="20"/>
                <w:color w:val="auto"/>
              </w:rPr>
            </w:pPr>
            <w:r>
              <w:rPr>
                <w:rFonts w:ascii="Arial" w:cs="Arial" w:eastAsia="Arial" w:hAnsi="Arial"/>
                <w:sz w:val="14"/>
                <w:szCs w:val="14"/>
                <w:color w:val="auto"/>
                <w:w w:val="97"/>
              </w:rPr>
              <w:t>14.87 %</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Tier 1 capital</w:t>
            </w:r>
          </w:p>
        </w:tc>
        <w:tc>
          <w:tcPr>
            <w:tcW w:w="1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13.12</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13.21</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14.87</w:t>
            </w:r>
          </w:p>
        </w:tc>
        <w:tc>
          <w:tcPr>
            <w:tcW w:w="0" w:type="dxa"/>
            <w:vAlign w:val="bottom"/>
          </w:tcPr>
          <w:p>
            <w:pPr>
              <w:spacing w:after="0"/>
              <w:rPr>
                <w:sz w:val="1"/>
                <w:szCs w:val="1"/>
                <w:color w:val="auto"/>
              </w:rPr>
            </w:pPr>
          </w:p>
        </w:tc>
      </w:tr>
      <w:tr>
        <w:trPr>
          <w:trHeight w:val="186"/>
        </w:trPr>
        <w:tc>
          <w:tcPr>
            <w:tcW w:w="2040" w:type="dxa"/>
            <w:vAlign w:val="bottom"/>
          </w:tcPr>
          <w:p>
            <w:pPr>
              <w:ind w:left="120"/>
              <w:spacing w:after="0"/>
              <w:rPr>
                <w:sz w:val="20"/>
                <w:szCs w:val="20"/>
                <w:color w:val="auto"/>
              </w:rPr>
            </w:pPr>
            <w:r>
              <w:rPr>
                <w:rFonts w:ascii="Arial" w:cs="Arial" w:eastAsia="Arial" w:hAnsi="Arial"/>
                <w:sz w:val="14"/>
                <w:szCs w:val="14"/>
                <w:color w:val="auto"/>
              </w:rPr>
              <w:t>Total capital</w:t>
            </w:r>
          </w:p>
        </w:tc>
        <w:tc>
          <w:tcPr>
            <w:tcW w:w="1020" w:type="dxa"/>
            <w:vAlign w:val="bottom"/>
          </w:tcPr>
          <w:p>
            <w:pPr>
              <w:ind w:left="660"/>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540" w:type="dxa"/>
            <w:vAlign w:val="bottom"/>
          </w:tcPr>
          <w:p>
            <w:pPr>
              <w:jc w:val="right"/>
              <w:ind w:right="10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Arial" w:cs="Arial" w:eastAsia="Arial" w:hAnsi="Arial"/>
                <w:sz w:val="14"/>
                <w:szCs w:val="14"/>
                <w:color w:val="auto"/>
              </w:rPr>
              <w:t>15.27</w:t>
            </w:r>
          </w:p>
        </w:tc>
        <w:tc>
          <w:tcPr>
            <w:tcW w:w="120" w:type="dxa"/>
            <w:vAlign w:val="bottom"/>
          </w:tcPr>
          <w:p>
            <w:pPr>
              <w:spacing w:after="0"/>
              <w:rPr>
                <w:sz w:val="16"/>
                <w:szCs w:val="16"/>
                <w:color w:val="auto"/>
              </w:rPr>
            </w:pPr>
          </w:p>
        </w:tc>
        <w:tc>
          <w:tcPr>
            <w:tcW w:w="1220" w:type="dxa"/>
            <w:vAlign w:val="bottom"/>
          </w:tcPr>
          <w:p>
            <w:pPr>
              <w:ind w:left="720"/>
              <w:spacing w:after="0"/>
              <w:rPr>
                <w:sz w:val="20"/>
                <w:szCs w:val="20"/>
                <w:color w:val="auto"/>
              </w:rPr>
            </w:pPr>
            <w:r>
              <w:rPr>
                <w:rFonts w:ascii="Arial" w:cs="Arial" w:eastAsia="Arial" w:hAnsi="Arial"/>
                <w:sz w:val="14"/>
                <w:szCs w:val="14"/>
                <w:color w:val="auto"/>
              </w:rPr>
              <w:t>15.01</w:t>
            </w:r>
          </w:p>
        </w:tc>
        <w:tc>
          <w:tcPr>
            <w:tcW w:w="100" w:type="dxa"/>
            <w:vAlign w:val="bottom"/>
          </w:tcPr>
          <w:p>
            <w:pPr>
              <w:spacing w:after="0"/>
              <w:rPr>
                <w:sz w:val="16"/>
                <w:szCs w:val="16"/>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16"/>
                <w:szCs w:val="16"/>
                <w:color w:val="auto"/>
              </w:rPr>
            </w:pPr>
          </w:p>
        </w:tc>
        <w:tc>
          <w:tcPr>
            <w:tcW w:w="1240" w:type="dxa"/>
            <w:vAlign w:val="bottom"/>
          </w:tcPr>
          <w:p>
            <w:pPr>
              <w:ind w:left="720"/>
              <w:spacing w:after="0"/>
              <w:rPr>
                <w:sz w:val="20"/>
                <w:szCs w:val="20"/>
                <w:color w:val="auto"/>
              </w:rPr>
            </w:pPr>
            <w:r>
              <w:rPr>
                <w:rFonts w:ascii="Arial" w:cs="Arial" w:eastAsia="Arial" w:hAnsi="Arial"/>
                <w:sz w:val="14"/>
                <w:szCs w:val="14"/>
                <w:color w:val="auto"/>
              </w:rPr>
              <w:t>15.54</w:t>
            </w:r>
          </w:p>
        </w:tc>
        <w:tc>
          <w:tcPr>
            <w:tcW w:w="0" w:type="dxa"/>
            <w:vAlign w:val="bottom"/>
          </w:tcPr>
          <w:p>
            <w:pPr>
              <w:spacing w:after="0"/>
              <w:rPr>
                <w:sz w:val="1"/>
                <w:szCs w:val="1"/>
                <w:color w:val="auto"/>
              </w:rPr>
            </w:pPr>
          </w:p>
        </w:tc>
      </w:tr>
      <w:tr>
        <w:trPr>
          <w:trHeight w:val="19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Leverage ratio</w:t>
            </w:r>
          </w:p>
        </w:tc>
        <w:tc>
          <w:tcPr>
            <w:tcW w:w="10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2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9.38</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720"/>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ind w:left="740"/>
              <w:spacing w:after="0"/>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believes the effect of inflation on financial results depends on our ability to react to changes in interest rates, and by such reaction, reduce the inflationary effect on performance. We have an asset/liability management program to manage interest rate sensitivity. In addition, periodic reviews of banking services and products are conducted to adjust pricing in view of current and expected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9" w:name="page70"/>
    <w:bookmarkEnd w:id="69"/>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material changes in our market risk as of September 30, 2020 from that presented in our 2019 10-K. Our interest rate sensitivity position at September 30, 2020 is set forth in Table 10 in Part I - Item 2 - “Management’s Discussion and Analysis of Financial Condition and Results of Operations” of this Quarterly Report on Form 10-Q and incorporated herein by this reference.</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firstLine="210"/>
        <w:spacing w:after="0" w:line="259" w:lineRule="auto"/>
        <w:tabs>
          <w:tab w:leader="none" w:pos="45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principal financial officer, we conducted an evaluation of our disclosure controls and procedures (as such term is defined in Exchange Act Rule 13a-15(e)) as of September 30, 2020. Based on that evaluation, our principal executive officer and chief financial officer concluded that our disclosure controls and procedures were effective as of the end of the period covered by this report.</w:t>
      </w:r>
    </w:p>
    <w:p>
      <w:pPr>
        <w:spacing w:after="0" w:line="21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On July 1, 2020, we completed our acquisition of Three Shores Bancorporation, Inc. (“Three Shores”) as described in Note 3 to the consolidated financial statements. We are in the process of evaluating the existing controls and procedures of Three Shores and integrating Three Shores into our disclosure controls and procedures and internal control over financial reporting. In accordance with published SEC Staff guidance permitting a company to exclude an acquired business from management’s assessment of the effectiveness of internal control over financial reporting for the year in which the acquisition is completed, and similarly exclude an acquired business from the quarterly evaluation of disclosure controls and procedures to the extent that they are subsumed by internal control over financial reporting, the scope of management’s assessment of the effectiveness of the design and operation of the Company’s disclosure controls and procedures as of September 30, 2020 includes all of our consolidated operations except for those disclosure controls and procedures of Three Shores that are subsumed by internal control over financial reporting. The Three Shores acquisition represented approximately 11% of total consolidated assets at September 30, 2020 and approximately 2% of our total consolidated revenue for the nine months ended September 30, 2020.</w:t>
      </w:r>
    </w:p>
    <w:p>
      <w:pPr>
        <w:spacing w:after="0" w:line="215" w:lineRule="exact"/>
        <w:rPr>
          <w:sz w:val="20"/>
          <w:szCs w:val="20"/>
          <w:color w:val="auto"/>
        </w:rPr>
      </w:pPr>
    </w:p>
    <w:p>
      <w:pPr>
        <w:jc w:val="both"/>
        <w:ind w:firstLine="285"/>
        <w:spacing w:after="0" w:line="259" w:lineRule="auto"/>
        <w:tabs>
          <w:tab w:leader="none" w:pos="556"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September 30, 2020 that materially affected, or is reasonably likely to materially affect, our internal control over financial reporting. We are currently in the process of assessing and integrating Three Shores’ internal control over financial reporting with our existing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Holding Company and the Bank are parties to various legal proceedings. Additionally, in the ordinary course of business, the Holding Company and the Bank are subject to regulatory examinations and investigations. Based on our current knowledge and advice of counsel, in the opinion of management there is no such pending or threatened legal matter which would result in a material adverse effect upon our consolidated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56"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393939"/>
        </w:rPr>
        <w:t>Except as set forth in Part II, Item 1 of the Company’s Quarterly Report on Form 10-Q for the quarter ended March 31, 2020 and filed with the SEC on May 7, 2020, which is incorporated herein by this reference, there have been no material changes to the risk factors previously disclosed in the Company’s Annual Report on Form 10-K for the fiscal year ended December 31, 2020 filed with the SEC on February 27,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Exhibits. </w:t>
      </w:r>
      <w:r>
        <w:rPr>
          <w:rFonts w:ascii="Arial" w:cs="Arial" w:eastAsia="Arial" w:hAnsi="Arial"/>
          <w:sz w:val="18"/>
          <w:szCs w:val="18"/>
          <w:color w:val="auto"/>
        </w:rPr>
        <w:t>See Exhibit Index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9" w:lineRule="exact"/>
        <w:rPr>
          <w:sz w:val="20"/>
          <w:szCs w:val="20"/>
          <w:color w:val="auto"/>
        </w:rPr>
      </w:pPr>
    </w:p>
    <w:p>
      <w:pPr>
        <w:ind w:left="440"/>
        <w:spacing w:after="0"/>
        <w:tabs>
          <w:tab w:leader="none" w:pos="606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left="1840" w:right="20" w:hanging="746"/>
        <w:spacing w:after="0" w:line="224" w:lineRule="auto"/>
        <w:tabs>
          <w:tab w:leader="none" w:pos="1820" w:val="left"/>
        </w:tabs>
        <w:rPr>
          <w:rFonts w:ascii="Arial" w:cs="Arial" w:eastAsia="Arial" w:hAnsi="Arial"/>
          <w:sz w:val="18"/>
          <w:szCs w:val="18"/>
          <w:u w:val="single" w:color="auto"/>
          <w:color w:val="0000FF"/>
        </w:rPr>
      </w:pPr>
      <w:hyperlink r:id="rId103">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03">
        <w:r>
          <w:rPr>
            <w:rFonts w:ascii="Arial" w:cs="Arial" w:eastAsia="Arial" w:hAnsi="Arial"/>
            <w:sz w:val="18"/>
            <w:szCs w:val="18"/>
            <w:u w:val="single" w:color="auto"/>
            <w:color w:val="0000FF"/>
          </w:rPr>
          <w:t>Agreement and Plan of Merger, dated as of March 9, 2020 by and between United Community Banks, Inc. and Three Shores</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Bancorporation, Inc. (incorporated herein by reference to Exhibit 2.1 to United Community Banks, Inc.’s Current Report on Form</w:t>
        </w:r>
      </w:hyperlink>
      <w:r>
        <w:rPr>
          <w:rFonts w:ascii="Arial" w:cs="Arial" w:eastAsia="Arial" w:hAnsi="Arial"/>
          <w:sz w:val="18"/>
          <w:szCs w:val="18"/>
          <w:u w:val="single" w:color="auto"/>
          <w:color w:val="0000FF"/>
        </w:rPr>
        <w:t xml:space="preserve"> </w:t>
      </w:r>
      <w:hyperlink r:id="rId103">
        <w:r>
          <w:rPr>
            <w:rFonts w:ascii="Arial" w:cs="Arial" w:eastAsia="Arial" w:hAnsi="Arial"/>
            <w:sz w:val="18"/>
            <w:szCs w:val="18"/>
            <w:u w:val="single" w:color="auto"/>
            <w:color w:val="0000FF"/>
          </w:rPr>
          <w:t>8-K dated March 9, 2020 and filed with the SEC on March 10, 2020).</w:t>
        </w:r>
      </w:hyperlink>
    </w:p>
    <w:p>
      <w:pPr>
        <w:spacing w:after="0" w:line="257" w:lineRule="exact"/>
        <w:rPr>
          <w:rFonts w:ascii="Arial" w:cs="Arial" w:eastAsia="Arial" w:hAnsi="Arial"/>
          <w:sz w:val="18"/>
          <w:szCs w:val="18"/>
          <w:u w:val="single" w:color="auto"/>
          <w:color w:val="0000FF"/>
        </w:rPr>
      </w:pPr>
    </w:p>
    <w:p>
      <w:pPr>
        <w:jc w:val="both"/>
        <w:ind w:left="1840" w:right="20" w:hanging="746"/>
        <w:spacing w:after="0" w:line="224" w:lineRule="auto"/>
        <w:tabs>
          <w:tab w:leader="none" w:pos="1820" w:val="left"/>
        </w:tabs>
        <w:rPr>
          <w:rFonts w:ascii="Arial" w:cs="Arial" w:eastAsia="Arial" w:hAnsi="Arial"/>
          <w:sz w:val="18"/>
          <w:szCs w:val="18"/>
          <w:u w:val="single" w:color="auto"/>
          <w:color w:val="0000FF"/>
        </w:rPr>
      </w:pPr>
      <w:hyperlink r:id="rId104">
        <w:r>
          <w:rPr>
            <w:rFonts w:ascii="Arial" w:cs="Arial" w:eastAsia="Arial" w:hAnsi="Arial"/>
            <w:sz w:val="18"/>
            <w:szCs w:val="18"/>
            <w:u w:val="single" w:color="auto"/>
            <w:color w:val="0000FF"/>
          </w:rPr>
          <w:t>3.1</w:t>
        </w:r>
      </w:hyperlink>
      <w:r>
        <w:rPr>
          <w:rFonts w:ascii="Arial" w:cs="Arial" w:eastAsia="Arial" w:hAnsi="Arial"/>
          <w:sz w:val="18"/>
          <w:szCs w:val="18"/>
          <w:u w:val="single" w:color="auto"/>
          <w:color w:val="0000FF"/>
        </w:rPr>
        <w:tab/>
      </w:r>
      <w:hyperlink r:id="rId104">
        <w:r>
          <w:rPr>
            <w:rFonts w:ascii="Arial" w:cs="Arial" w:eastAsia="Arial" w:hAnsi="Arial"/>
            <w:sz w:val="18"/>
            <w:szCs w:val="18"/>
            <w:u w:val="single" w:color="auto"/>
            <w:color w:val="0000FF"/>
          </w:rPr>
          <w:t>Restated Articles of Incorporation of United Community Banks, Inc., as amended to date (incorporated herein by reference to</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Exhibit 3.1 to United Community Banks, Inc.’s Quarterly Report on Form 10-Q for the period ended June 30, 2020, filed with the</w:t>
        </w:r>
      </w:hyperlink>
      <w:r>
        <w:rPr>
          <w:rFonts w:ascii="Arial" w:cs="Arial" w:eastAsia="Arial" w:hAnsi="Arial"/>
          <w:sz w:val="18"/>
          <w:szCs w:val="18"/>
          <w:u w:val="single" w:color="auto"/>
          <w:color w:val="0000FF"/>
        </w:rPr>
        <w:t xml:space="preserve"> </w:t>
      </w:r>
      <w:hyperlink r:id="rId104">
        <w:r>
          <w:rPr>
            <w:rFonts w:ascii="Arial" w:cs="Arial" w:eastAsia="Arial" w:hAnsi="Arial"/>
            <w:sz w:val="18"/>
            <w:szCs w:val="18"/>
            <w:u w:val="single" w:color="auto"/>
            <w:color w:val="0000FF"/>
          </w:rPr>
          <w:t>SEC on August 6, 2020).</w:t>
        </w:r>
      </w:hyperlink>
    </w:p>
    <w:p>
      <w:pPr>
        <w:spacing w:after="0" w:line="163" w:lineRule="exact"/>
        <w:rPr>
          <w:rFonts w:ascii="Arial" w:cs="Arial" w:eastAsia="Arial" w:hAnsi="Arial"/>
          <w:sz w:val="18"/>
          <w:szCs w:val="18"/>
          <w:u w:val="single" w:color="auto"/>
          <w:color w:val="0000FF"/>
        </w:rPr>
      </w:pPr>
    </w:p>
    <w:p>
      <w:pPr>
        <w:jc w:val="both"/>
        <w:ind w:left="1840" w:right="20" w:hanging="746"/>
        <w:spacing w:after="0" w:line="224" w:lineRule="auto"/>
        <w:tabs>
          <w:tab w:leader="none" w:pos="1820" w:val="left"/>
        </w:tabs>
        <w:rPr>
          <w:rFonts w:ascii="Arial" w:cs="Arial" w:eastAsia="Arial" w:hAnsi="Arial"/>
          <w:sz w:val="18"/>
          <w:szCs w:val="18"/>
          <w:u w:val="single" w:color="auto"/>
          <w:color w:val="0000FF"/>
        </w:rPr>
      </w:pPr>
      <w:hyperlink r:id="rId105">
        <w:r>
          <w:rPr>
            <w:rFonts w:ascii="Arial" w:cs="Arial" w:eastAsia="Arial" w:hAnsi="Arial"/>
            <w:sz w:val="18"/>
            <w:szCs w:val="18"/>
            <w:u w:val="single" w:color="auto"/>
            <w:color w:val="0000FF"/>
          </w:rPr>
          <w:t>3.2</w:t>
        </w:r>
      </w:hyperlink>
      <w:r>
        <w:rPr>
          <w:rFonts w:ascii="Arial" w:cs="Arial" w:eastAsia="Arial" w:hAnsi="Arial"/>
          <w:sz w:val="18"/>
          <w:szCs w:val="18"/>
          <w:u w:val="single" w:color="auto"/>
          <w:color w:val="0000FF"/>
        </w:rPr>
        <w:tab/>
      </w:r>
      <w:hyperlink r:id="rId105">
        <w:r>
          <w:rPr>
            <w:rFonts w:ascii="Arial" w:cs="Arial" w:eastAsia="Arial" w:hAnsi="Arial"/>
            <w:sz w:val="18"/>
            <w:szCs w:val="18"/>
            <w:u w:val="single" w:color="auto"/>
            <w:color w:val="0000FF"/>
          </w:rPr>
          <w:t>Amended and Restated Bylaws of United Community Banks, Inc., as amended (incorporated herein by reference to Exhibit 3.2 to</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United Community Banks, Inc.’s Quarterly Report on Form 10-Q for the period ended March 31, 2015, filed with the SEC on</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May 11, 2015).</w:t>
        </w:r>
      </w:hyperlink>
    </w:p>
    <w:p>
      <w:pPr>
        <w:spacing w:after="0" w:line="163" w:lineRule="exact"/>
        <w:rPr>
          <w:rFonts w:ascii="Arial" w:cs="Arial" w:eastAsia="Arial" w:hAnsi="Arial"/>
          <w:sz w:val="18"/>
          <w:szCs w:val="18"/>
          <w:u w:val="single" w:color="auto"/>
          <w:color w:val="0000FF"/>
        </w:rPr>
      </w:pPr>
    </w:p>
    <w:p>
      <w:pPr>
        <w:ind w:left="1840" w:right="20" w:hanging="836"/>
        <w:spacing w:after="0" w:line="235" w:lineRule="auto"/>
        <w:tabs>
          <w:tab w:leader="none" w:pos="1820" w:val="left"/>
        </w:tabs>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31.1</w:t>
        </w:r>
      </w:hyperlink>
      <w:r>
        <w:rPr>
          <w:rFonts w:ascii="Arial" w:cs="Arial" w:eastAsia="Arial" w:hAnsi="Arial"/>
          <w:sz w:val="18"/>
          <w:szCs w:val="18"/>
          <w:u w:val="single" w:color="auto"/>
          <w:color w:val="0000FF"/>
        </w:rPr>
        <w:tab/>
      </w:r>
      <w:hyperlink w:anchor="page73">
        <w:r>
          <w:rPr>
            <w:rFonts w:ascii="Arial" w:cs="Arial" w:eastAsia="Arial" w:hAnsi="Arial"/>
            <w:sz w:val="18"/>
            <w:szCs w:val="18"/>
            <w:u w:val="single" w:color="auto"/>
            <w:color w:val="0000FF"/>
          </w:rPr>
          <w:t>Certification by H. Lynn Harton, President and Chief Executive Officer of United Community Banks, Inc., pursuant to Exchange</w:t>
        </w:r>
      </w:hyperlink>
      <w:r>
        <w:rPr>
          <w:rFonts w:ascii="Arial" w:cs="Arial" w:eastAsia="Arial" w:hAnsi="Arial"/>
          <w:sz w:val="18"/>
          <w:szCs w:val="18"/>
          <w:u w:val="single" w:color="auto"/>
          <w:color w:val="0000FF"/>
        </w:rPr>
        <w:t xml:space="preserve"> </w:t>
      </w:r>
      <w:hyperlink w:anchor="page73">
        <w:r>
          <w:rPr>
            <w:rFonts w:ascii="Arial" w:cs="Arial" w:eastAsia="Arial" w:hAnsi="Arial"/>
            <w:sz w:val="18"/>
            <w:szCs w:val="18"/>
            <w:u w:val="single" w:color="auto"/>
            <w:color w:val="0000FF"/>
          </w:rPr>
          <w:t>Act Rule 13a-14(a).</w:t>
        </w:r>
      </w:hyperlink>
    </w:p>
    <w:p>
      <w:pPr>
        <w:spacing w:after="0" w:line="162" w:lineRule="exact"/>
        <w:rPr>
          <w:rFonts w:ascii="Arial" w:cs="Arial" w:eastAsia="Arial" w:hAnsi="Arial"/>
          <w:sz w:val="18"/>
          <w:szCs w:val="18"/>
          <w:u w:val="single" w:color="auto"/>
          <w:color w:val="0000FF"/>
        </w:rPr>
      </w:pPr>
    </w:p>
    <w:p>
      <w:pPr>
        <w:ind w:left="1840" w:right="20" w:hanging="836"/>
        <w:spacing w:after="0" w:line="235" w:lineRule="auto"/>
        <w:tabs>
          <w:tab w:leader="none" w:pos="1820" w:val="left"/>
        </w:tabs>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31.2</w:t>
        </w:r>
      </w:hyperlink>
      <w:r>
        <w:rPr>
          <w:rFonts w:ascii="Arial" w:cs="Arial" w:eastAsia="Arial" w:hAnsi="Arial"/>
          <w:sz w:val="18"/>
          <w:szCs w:val="18"/>
          <w:u w:val="single" w:color="auto"/>
          <w:color w:val="0000FF"/>
        </w:rPr>
        <w:tab/>
      </w:r>
      <w:hyperlink w:anchor="page74">
        <w:r>
          <w:rPr>
            <w:rFonts w:ascii="Arial" w:cs="Arial" w:eastAsia="Arial" w:hAnsi="Arial"/>
            <w:sz w:val="18"/>
            <w:szCs w:val="18"/>
            <w:u w:val="single" w:color="auto"/>
            <w:color w:val="0000FF"/>
          </w:rPr>
          <w:t>Certification by Jefferson L. Harralson, Executive Vice President and Chief Financial Officer of United Community Banks, Inc.,</w:t>
        </w:r>
      </w:hyperlink>
      <w:r>
        <w:rPr>
          <w:rFonts w:ascii="Arial" w:cs="Arial" w:eastAsia="Arial" w:hAnsi="Arial"/>
          <w:sz w:val="18"/>
          <w:szCs w:val="18"/>
          <w:u w:val="single" w:color="auto"/>
          <w:color w:val="0000FF"/>
        </w:rPr>
        <w:t xml:space="preserve"> </w:t>
      </w:r>
      <w:hyperlink w:anchor="page74">
        <w:r>
          <w:rPr>
            <w:rFonts w:ascii="Arial" w:cs="Arial" w:eastAsia="Arial" w:hAnsi="Arial"/>
            <w:sz w:val="18"/>
            <w:szCs w:val="18"/>
            <w:u w:val="single" w:color="auto"/>
            <w:color w:val="0000FF"/>
          </w:rPr>
          <w:t>pursuant to Exchange Act Rule 13a-14(a).</w:t>
        </w:r>
      </w:hyperlink>
    </w:p>
    <w:p>
      <w:pPr>
        <w:spacing w:after="0" w:line="162" w:lineRule="exact"/>
        <w:rPr>
          <w:rFonts w:ascii="Arial" w:cs="Arial" w:eastAsia="Arial" w:hAnsi="Arial"/>
          <w:sz w:val="18"/>
          <w:szCs w:val="18"/>
          <w:u w:val="single" w:color="auto"/>
          <w:color w:val="0000FF"/>
        </w:rPr>
      </w:pPr>
    </w:p>
    <w:p>
      <w:pPr>
        <w:ind w:left="1140"/>
        <w:spacing w:after="0"/>
        <w:tabs>
          <w:tab w:leader="none" w:pos="1820" w:val="left"/>
        </w:tabs>
        <w:rPr>
          <w:rFonts w:ascii="Arial" w:cs="Arial" w:eastAsia="Arial" w:hAnsi="Arial"/>
          <w:sz w:val="18"/>
          <w:szCs w:val="18"/>
          <w:color w:val="0000FF"/>
        </w:rPr>
      </w:pPr>
      <w:r>
        <w:rPr>
          <w:rFonts w:ascii="Arial" w:cs="Arial" w:eastAsia="Arial" w:hAnsi="Arial"/>
          <w:sz w:val="18"/>
          <w:szCs w:val="18"/>
          <w:u w:val="single" w:color="auto"/>
          <w:color w:val="0000FF"/>
        </w:rPr>
        <w:t>32</w:t>
      </w:r>
      <w:r>
        <w:rPr>
          <w:sz w:val="20"/>
          <w:szCs w:val="20"/>
          <w:color w:val="auto"/>
        </w:rPr>
        <w:tab/>
      </w:r>
      <w:hyperlink w:anchor="page75">
        <w:r>
          <w:rPr>
            <w:rFonts w:ascii="Arial" w:cs="Arial" w:eastAsia="Arial" w:hAnsi="Arial"/>
            <w:sz w:val="18"/>
            <w:szCs w:val="18"/>
            <w:u w:val="single" w:color="auto"/>
            <w:color w:val="0000FF"/>
          </w:rPr>
          <w:t>Certification of CEO and CFO pursuant to 18 U.S.C. Section 1350</w:t>
        </w:r>
        <w:r>
          <w:rPr>
            <w:rFonts w:ascii="Arial" w:cs="Arial" w:eastAsia="Arial" w:hAnsi="Arial"/>
            <w:sz w:val="18"/>
            <w:szCs w:val="18"/>
            <w:color w:val="0000FF"/>
          </w:rPr>
          <w:t>.</w:t>
        </w:r>
      </w:hyperlink>
    </w:p>
    <w:p>
      <w:pPr>
        <w:spacing w:after="0" w:line="185" w:lineRule="exact"/>
        <w:rPr>
          <w:rFonts w:ascii="Arial" w:cs="Arial" w:eastAsia="Arial" w:hAnsi="Arial"/>
          <w:sz w:val="18"/>
          <w:szCs w:val="18"/>
          <w:u w:val="single" w:color="auto"/>
          <w:color w:val="0000FF"/>
        </w:rPr>
      </w:pPr>
    </w:p>
    <w:p>
      <w:pPr>
        <w:jc w:val="both"/>
        <w:ind w:left="1840" w:right="20" w:hanging="797"/>
        <w:spacing w:after="0" w:line="216" w:lineRule="auto"/>
        <w:tabs>
          <w:tab w:leader="none" w:pos="18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Interactive data files for United Community Bank, Inc.’s Quarterly Report on Form 10-Q for the quarter ended September 30, 2020, formatted in Inline XBRL: </w:t>
      </w:r>
      <w:r>
        <w:rPr>
          <w:rFonts w:ascii="Arial" w:cs="Arial" w:eastAsia="Arial" w:hAnsi="Arial"/>
          <w:sz w:val="18"/>
          <w:szCs w:val="18"/>
          <w:color w:val="212529"/>
        </w:rPr>
        <w:t>(i) the Consolidated Balance Sheets (unaudited); (ii) the Consolidated Statements of Income</w:t>
      </w:r>
      <w:r>
        <w:rPr>
          <w:rFonts w:ascii="Arial" w:cs="Arial" w:eastAsia="Arial" w:hAnsi="Arial"/>
          <w:sz w:val="18"/>
          <w:szCs w:val="18"/>
          <w:color w:val="auto"/>
        </w:rPr>
        <w:t xml:space="preserve"> </w:t>
      </w:r>
      <w:r>
        <w:rPr>
          <w:rFonts w:ascii="Arial" w:cs="Arial" w:eastAsia="Arial" w:hAnsi="Arial"/>
          <w:sz w:val="18"/>
          <w:szCs w:val="18"/>
          <w:color w:val="212529"/>
        </w:rPr>
        <w:t>(unaudited); (iii) the Consolidated Statements of Comprehensive Income (unaudited); (iv) the Consolidated Statements in Shareholders’ Equity (unaudited); (v) the Consolidated Statements of Cash Flows (unaudited); and (vi) the Notes to Consolidated Financial Statements (unaudited)</w:t>
      </w:r>
      <w:r>
        <w:rPr>
          <w:rFonts w:ascii="Arial" w:cs="Arial" w:eastAsia="Arial" w:hAnsi="Arial"/>
          <w:sz w:val="18"/>
          <w:szCs w:val="18"/>
          <w:color w:val="000000"/>
        </w:rPr>
        <w:t>.</w:t>
      </w:r>
    </w:p>
    <w:p>
      <w:pPr>
        <w:spacing w:after="0" w:line="162" w:lineRule="exact"/>
        <w:rPr>
          <w:rFonts w:ascii="Arial" w:cs="Arial" w:eastAsia="Arial" w:hAnsi="Arial"/>
          <w:sz w:val="18"/>
          <w:szCs w:val="18"/>
          <w:u w:val="single" w:color="auto"/>
          <w:color w:val="0000FF"/>
        </w:rPr>
      </w:pPr>
    </w:p>
    <w:p>
      <w:pPr>
        <w:ind w:left="1840" w:right="20" w:hanging="797"/>
        <w:spacing w:after="0" w:line="235" w:lineRule="auto"/>
        <w:tabs>
          <w:tab w:leader="none" w:pos="1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cover page from United Community Bank’s Quarterly Report on Form 10-Q for the quarter ended September 30, 2020 (formatted in Inline XBRL and included in Exhibit 101)</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90" w:lineRule="exact"/>
        <w:rPr>
          <w:rFonts w:ascii="Arial" w:cs="Arial" w:eastAsia="Arial" w:hAnsi="Arial"/>
          <w:sz w:val="18"/>
          <w:szCs w:val="18"/>
          <w:u w:val="single" w:color="auto"/>
          <w:color w:val="0000FF"/>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UNITED COMMUNITY BANKS, INC.</w:t>
      </w:r>
    </w:p>
    <w:p>
      <w:pPr>
        <w:spacing w:after="0" w:line="25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Senior Vice President and Chief Accounting Officer</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Accounting Officer)</w:t>
      </w:r>
    </w:p>
    <w:p>
      <w:pPr>
        <w:spacing w:after="0" w:line="25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Date: November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931" w:right="339" w:bottom="1440" w:gutter="0" w:footer="0" w:header="0"/>
        </w:sectPr>
      </w:pPr>
    </w:p>
    <w:bookmarkStart w:id="72" w:name="page73"/>
    <w:bookmarkEnd w:id="7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240"/>
          </w:cols>
          <w:pgMar w:left="320" w:top="891" w:right="339" w:bottom="1440" w:gutter="0" w:footer="0" w:header="0"/>
        </w:sectPr>
      </w:pPr>
    </w:p>
    <w:bookmarkStart w:id="73" w:name="page74"/>
    <w:bookmarkEnd w:id="7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7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0" w:firstLine="656"/>
        <w:spacing w:after="0" w:line="308" w:lineRule="auto"/>
        <w:tabs>
          <w:tab w:leader="none" w:pos="869" w:val="left"/>
        </w:tabs>
        <w:numPr>
          <w:ilvl w:val="1"/>
          <w:numId w:val="2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656"/>
        <w:spacing w:after="0" w:line="263" w:lineRule="auto"/>
        <w:tabs>
          <w:tab w:leader="none" w:pos="851"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37"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4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6, 2020</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2020 filed with the Securities and Exchange Commission on the date hereof (the “Report”), each of the undersigned officers of United certifies, pursuant to 18 U.S.C. Section 1350, as adopted pursuant to Section 906 of the Sarbanes-Oxley Act of 2002, that:</w:t>
      </w:r>
    </w:p>
    <w:p>
      <w:pPr>
        <w:spacing w:after="0" w:line="184"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30"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 Lynn Harton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H. Lynn Harton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6, 2020</w:t>
            </w:r>
          </w:p>
        </w:tc>
      </w:tr>
      <w:tr>
        <w:trPr>
          <w:trHeight w:val="459"/>
        </w:trPr>
        <w:tc>
          <w:tcPr>
            <w:tcW w:w="780" w:type="dxa"/>
            <w:vAlign w:val="bottom"/>
          </w:tcPr>
          <w:p>
            <w:pPr>
              <w:spacing w:after="0"/>
              <w:rPr>
                <w:sz w:val="24"/>
                <w:szCs w:val="24"/>
                <w:color w:val="auto"/>
              </w:rPr>
            </w:pPr>
          </w:p>
        </w:tc>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Jefferson L. Harralson</w:t>
            </w:r>
          </w:p>
        </w:tc>
      </w:t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Name:</w:t>
            </w:r>
          </w:p>
        </w:tc>
        <w:tc>
          <w:tcPr>
            <w:tcW w:w="5100" w:type="dxa"/>
            <w:vAlign w:val="bottom"/>
          </w:tcPr>
          <w:p>
            <w:pPr>
              <w:ind w:left="20"/>
              <w:spacing w:after="0"/>
              <w:rPr>
                <w:sz w:val="20"/>
                <w:szCs w:val="20"/>
                <w:color w:val="auto"/>
              </w:rPr>
            </w:pPr>
            <w:r>
              <w:rPr>
                <w:rFonts w:ascii="Arial" w:cs="Arial" w:eastAsia="Arial" w:hAnsi="Arial"/>
                <w:sz w:val="18"/>
                <w:szCs w:val="18"/>
                <w:color w:val="auto"/>
              </w:rPr>
              <w:t>Jefferson L. Harralson</w:t>
            </w:r>
          </w:p>
        </w:tc>
      </w:tr>
      <w:tr>
        <w:trPr>
          <w:trHeight w:val="229"/>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Date:</w:t>
            </w:r>
          </w:p>
        </w:tc>
        <w:tc>
          <w:tcPr>
            <w:tcW w:w="5100" w:type="dxa"/>
            <w:vAlign w:val="bottom"/>
          </w:tcPr>
          <w:p>
            <w:pPr>
              <w:ind w:left="20"/>
              <w:spacing w:after="0"/>
              <w:rPr>
                <w:sz w:val="20"/>
                <w:szCs w:val="20"/>
                <w:color w:val="auto"/>
              </w:rPr>
            </w:pPr>
            <w:r>
              <w:rPr>
                <w:rFonts w:ascii="Arial" w:cs="Arial" w:eastAsia="Arial" w:hAnsi="Arial"/>
                <w:sz w:val="18"/>
                <w:szCs w:val="18"/>
                <w:color w:val="auto"/>
              </w:rPr>
              <w:t>November 6, 2020</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lvl w:ilvl="1">
      <w:lvlJc w:val="left"/>
      <w:lvlText w:val="(%2)"/>
      <w:numFmt w:val="decimal"/>
      <w:start w:val="1"/>
    </w:lvl>
  </w:abstractNum>
  <w:abstractNum w:abstractNumId="11">
    <w:nsid w:val="7C83E458"/>
    <w:multiLevelType w:val="hybridMultilevel"/>
    <w:lvl w:ilvl="0">
      <w:lvlJc w:val="left"/>
      <w:lvlText w:val="(%1)"/>
      <w:numFmt w:val="decimal"/>
      <w:start w:val="2"/>
    </w:lvl>
    <w:lvl w:ilvl="1">
      <w:lvlJc w:val="left"/>
      <w:lvlText w:val="%2"/>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lowerLetter"/>
      <w:start w:val="4"/>
    </w:lvl>
  </w:abstractNum>
  <w:abstractNum w:abstractNumId="21">
    <w:nsid w:val="75A2A8D4"/>
    <w:multiLevelType w:val="hybridMultilevel"/>
    <w:lvl w:ilvl="0">
      <w:lvlJc w:val="left"/>
      <w:lvlText w:val="%1"/>
      <w:numFmt w:val="decimal"/>
      <w:start w:val="101"/>
    </w:lvl>
  </w:abstractNum>
  <w:abstractNum w:abstractNumId="22">
    <w:nsid w:val="8EDBDAB"/>
    <w:multiLevelType w:val="hybridMultilevel"/>
    <w:lvl w:ilvl="0">
      <w:lvlJc w:val="left"/>
      <w:lvlText w:val="%1"/>
      <w:numFmt w:val="decimal"/>
      <w:start w:val="104"/>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03" Type="http://schemas.openxmlformats.org/officeDocument/2006/relationships/hyperlink" Target="http://www.sec.gov/Archives/edgar/data/857855/000085785520000016/exhibit21-agreementand.htm" TargetMode="External"/><Relationship Id="rId104" Type="http://schemas.openxmlformats.org/officeDocument/2006/relationships/hyperlink" Target="http://www.sec.gov/Archives/edgar/data/857855/000085785520000051/ucbi6302010-qexhibit31.htm" TargetMode="External"/><Relationship Id="rId105" Type="http://schemas.openxmlformats.org/officeDocument/2006/relationships/hyperlink" Target="http://www.sec.gov/Archives/edgar/data/857855/000157104915003882/t82199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2020-11-06T13:36:02Z</dcterms:created>
  <dcterms:modified xsi:type="dcterms:W3CDTF">2020-11-06T13:36:02Z</dcterms:modified>
</cp:coreProperties>
</file>